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中共新疆巴音郭楞蒙古自治州委员会政法委员会2024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B75F686">
      <w:r>
        <w:br w:type="page"/>
      </w:r>
    </w:p>
    <w:p w14:paraId="66633C2E">
      <w:pPr>
        <w:spacing w:line="640" w:lineRule="exact"/>
        <w:jc w:val="center"/>
        <w:outlineLvl w:val="1"/>
      </w:pPr>
      <w:r>
        <w:rPr>
          <w:rFonts w:ascii="黑体" w:hAnsi="黑体" w:eastAsia="黑体"/>
          <w:sz w:val="32"/>
        </w:rPr>
        <w:t>第一部分 部门概况</w:t>
      </w:r>
    </w:p>
    <w:p w14:paraId="53805E6D">
      <w:pPr>
        <w:spacing w:line="640" w:lineRule="exact"/>
        <w:ind w:firstLine="640"/>
        <w:jc w:val="both"/>
        <w:outlineLvl w:val="2"/>
      </w:pPr>
      <w:r>
        <w:rPr>
          <w:rFonts w:ascii="黑体" w:hAnsi="黑体" w:eastAsia="黑体"/>
          <w:sz w:val="32"/>
        </w:rPr>
        <w:t>一、主要职能</w:t>
      </w:r>
    </w:p>
    <w:p w14:paraId="74FB4B2E">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部署安排全州政法各项工作，并对落实情况加强监督检查。</w:t>
      </w:r>
    </w:p>
    <w:p w14:paraId="6BE2A3A8">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组织、协调、指导全州各项政法工作。</w:t>
      </w:r>
    </w:p>
    <w:p w14:paraId="49492096">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支持和监督自治州政法各部门依法行使职权，研究、协调有争议重大、疑难案件。</w:t>
      </w:r>
    </w:p>
    <w:p w14:paraId="01ED7531">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检查自治州政法部门执行法律法规和党的方针政策的情况，协助有关部门查处政法干部的违法犯罪案件，研究制定严肃执法、落实党的方针政策的具体措施。</w:t>
      </w:r>
    </w:p>
    <w:p w14:paraId="6F511486">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研究、制定加强政法队伍建设和领导班子建设的措施，协助考察、管理政法部门的领导干部。</w:t>
      </w:r>
    </w:p>
    <w:p w14:paraId="4080119A">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依据上级关于社会治安综合治理的法律及规定，结合本地区实际，统一领导、部署本地区的综合治理工作。</w:t>
      </w:r>
    </w:p>
    <w:p w14:paraId="193F529F">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认真落实综合治理领导责任制，实行目标管理，把综合治理的各项任务落实到基层。</w:t>
      </w:r>
    </w:p>
    <w:p w14:paraId="6E7C6475">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定期分析本地区的治安形势和综合治理情况，提出相应的工作措施。</w:t>
      </w:r>
    </w:p>
    <w:p w14:paraId="363B351A">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开展调查研究，负责指导协调各单位、各部门的综合治理工作，实行齐抓共管，充分发挥整体作用。</w:t>
      </w:r>
    </w:p>
    <w:p w14:paraId="250C7253">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加强对综合治理工作的检查、考核和监督，决定奖惩事项，提出奖惩建议和实行“一票否决制”的建议。</w:t>
      </w:r>
    </w:p>
    <w:p w14:paraId="7E71822A">
      <w:pPr>
        <w:spacing w:line="580" w:lineRule="exact"/>
        <w:ind w:firstLine="640"/>
        <w:jc w:val="both"/>
      </w:pPr>
      <w:r>
        <w:rPr>
          <w:rFonts w:hint="eastAsia" w:ascii="仿宋_GB2312" w:hAnsi="仿宋_GB2312" w:eastAsia="仿宋_GB2312"/>
          <w:sz w:val="32"/>
          <w:lang w:eastAsia="zh-CN"/>
        </w:rPr>
        <w:t>11.</w:t>
      </w:r>
      <w:r>
        <w:rPr>
          <w:rFonts w:ascii="仿宋_GB2312" w:hAnsi="仿宋_GB2312" w:eastAsia="仿宋_GB2312"/>
          <w:sz w:val="32"/>
        </w:rPr>
        <w:t>认真开展巴州法学的各项工作。</w:t>
      </w:r>
    </w:p>
    <w:p w14:paraId="18F77D23">
      <w:pPr>
        <w:spacing w:line="640" w:lineRule="exact"/>
        <w:ind w:firstLine="640"/>
        <w:jc w:val="both"/>
        <w:outlineLvl w:val="2"/>
      </w:pPr>
      <w:r>
        <w:rPr>
          <w:rFonts w:ascii="黑体" w:hAnsi="黑体" w:eastAsia="黑体"/>
          <w:sz w:val="32"/>
        </w:rPr>
        <w:t>二、机构设置及人员情况</w:t>
      </w:r>
    </w:p>
    <w:p w14:paraId="09137C68">
      <w:pPr>
        <w:spacing w:line="580" w:lineRule="exact"/>
        <w:ind w:firstLine="640"/>
        <w:jc w:val="both"/>
      </w:pPr>
      <w:r>
        <w:rPr>
          <w:rFonts w:ascii="仿宋_GB2312" w:hAnsi="仿宋_GB2312" w:eastAsia="仿宋_GB2312"/>
          <w:sz w:val="32"/>
        </w:rPr>
        <w:t>中共新疆巴音郭楞蒙古自治州委员会政法委员会2024年度，实有人数72人，其中：在职人员58人，减少2人；离休人员0人，增加0人；退休人员14人,增加0人。</w:t>
      </w:r>
    </w:p>
    <w:p w14:paraId="2AFA9422">
      <w:pPr>
        <w:spacing w:line="580" w:lineRule="exact"/>
        <w:ind w:firstLine="640"/>
        <w:jc w:val="both"/>
      </w:pPr>
      <w:r>
        <w:rPr>
          <w:rFonts w:ascii="仿宋_GB2312" w:hAnsi="仿宋_GB2312" w:eastAsia="仿宋_GB2312"/>
          <w:sz w:val="32"/>
        </w:rPr>
        <w:t>中共新疆巴音郭楞蒙古自治州委员会政法委员会无下属预算单位，下设10个科室，分别是：办公室、研究室、政治安全科、综治指导科、基层社会治理科、反邪教协调科、执法监督科、政工宣教科、</w:t>
      </w:r>
      <w:r>
        <w:rPr>
          <w:rFonts w:hint="eastAsia" w:ascii="仿宋_GB2312" w:hAnsi="仿宋_GB2312" w:eastAsia="仿宋_GB2312"/>
          <w:sz w:val="32"/>
          <w:lang w:val="en-US" w:eastAsia="zh-CN"/>
        </w:rPr>
        <w:t>维稳</w:t>
      </w:r>
      <w:r>
        <w:rPr>
          <w:rFonts w:ascii="仿宋_GB2312" w:hAnsi="仿宋_GB2312" w:eastAsia="仿宋_GB2312"/>
          <w:sz w:val="32"/>
        </w:rPr>
        <w:t>指导科、信息资源管理科。</w:t>
      </w:r>
    </w:p>
    <w:p w14:paraId="776A663E">
      <w:r>
        <w:br w:type="page"/>
      </w:r>
    </w:p>
    <w:p w14:paraId="0055BC49">
      <w:pPr>
        <w:spacing w:line="240" w:lineRule="auto"/>
        <w:jc w:val="center"/>
        <w:outlineLvl w:val="1"/>
      </w:pPr>
      <w:r>
        <w:rPr>
          <w:rFonts w:ascii="黑体" w:hAnsi="黑体" w:eastAsia="黑体"/>
          <w:sz w:val="32"/>
        </w:rPr>
        <w:t>第二部分 部门决算情况说明</w:t>
      </w:r>
    </w:p>
    <w:p w14:paraId="76921343">
      <w:pPr>
        <w:spacing w:line="640" w:lineRule="exact"/>
        <w:ind w:firstLine="640"/>
        <w:jc w:val="both"/>
        <w:outlineLvl w:val="2"/>
      </w:pPr>
      <w:r>
        <w:rPr>
          <w:rFonts w:ascii="黑体" w:hAnsi="黑体" w:eastAsia="黑体"/>
          <w:sz w:val="32"/>
        </w:rPr>
        <w:t>一、收入支出决算总体情况说明</w:t>
      </w:r>
    </w:p>
    <w:p w14:paraId="218435AD">
      <w:pPr>
        <w:spacing w:line="580" w:lineRule="exact"/>
        <w:ind w:firstLine="640"/>
        <w:jc w:val="both"/>
      </w:pPr>
      <w:r>
        <w:rPr>
          <w:rFonts w:ascii="仿宋_GB2312" w:hAnsi="仿宋_GB2312" w:eastAsia="仿宋_GB2312"/>
          <w:b/>
          <w:sz w:val="32"/>
        </w:rPr>
        <w:t>2024年度收入总计1,365.43万元，</w:t>
      </w:r>
      <w:r>
        <w:rPr>
          <w:rFonts w:ascii="仿宋_GB2312" w:hAnsi="仿宋_GB2312" w:eastAsia="仿宋_GB2312"/>
          <w:b w:val="0"/>
          <w:sz w:val="32"/>
        </w:rPr>
        <w:t>其中：本年收入合计1,364.96万元，使用非财政拨款结余（含专用结余）0.00万元，年初结转和结余0.47万元。</w:t>
      </w:r>
    </w:p>
    <w:p w14:paraId="6ECAC0F6">
      <w:pPr>
        <w:spacing w:line="580" w:lineRule="exact"/>
        <w:ind w:firstLine="640"/>
        <w:jc w:val="both"/>
      </w:pPr>
      <w:r>
        <w:rPr>
          <w:rFonts w:ascii="仿宋_GB2312" w:hAnsi="仿宋_GB2312" w:eastAsia="仿宋_GB2312"/>
          <w:b/>
          <w:sz w:val="32"/>
        </w:rPr>
        <w:t>2024年度支出总计1,365.43万元，</w:t>
      </w:r>
      <w:r>
        <w:rPr>
          <w:rFonts w:ascii="仿宋_GB2312" w:hAnsi="仿宋_GB2312" w:eastAsia="仿宋_GB2312"/>
          <w:b w:val="0"/>
          <w:sz w:val="32"/>
        </w:rPr>
        <w:t>其中：本年支出合计1,364.65万元，结余分配0.00万元，年末结转和结余0.78万元。</w:t>
      </w:r>
    </w:p>
    <w:p w14:paraId="4D4E8E99">
      <w:pPr>
        <w:spacing w:line="580" w:lineRule="exact"/>
        <w:ind w:firstLine="640"/>
        <w:jc w:val="both"/>
      </w:pPr>
      <w:r>
        <w:rPr>
          <w:rFonts w:ascii="仿宋_GB2312" w:hAnsi="仿宋_GB2312" w:eastAsia="仿宋_GB2312"/>
          <w:b w:val="0"/>
          <w:sz w:val="32"/>
        </w:rPr>
        <w:t>收入支出总体与上年相比，减少228.00万元，下降14.31%，主要原因是：上年补发津贴补贴，绩效奖金，本年正常发放，导致事业人员经费较上减少；减少政法工作专项补助经费；本年无死亡人员，无死亡抚恤支出。</w:t>
      </w:r>
    </w:p>
    <w:p w14:paraId="7861E971">
      <w:pPr>
        <w:spacing w:line="640" w:lineRule="exact"/>
        <w:ind w:firstLine="640"/>
        <w:jc w:val="both"/>
        <w:outlineLvl w:val="2"/>
      </w:pPr>
      <w:r>
        <w:rPr>
          <w:rFonts w:ascii="黑体" w:hAnsi="黑体" w:eastAsia="黑体"/>
          <w:sz w:val="32"/>
        </w:rPr>
        <w:t>二、收入决算情况说明</w:t>
      </w:r>
    </w:p>
    <w:p w14:paraId="4B951402">
      <w:pPr>
        <w:spacing w:line="580" w:lineRule="exact"/>
        <w:ind w:firstLine="640"/>
        <w:jc w:val="both"/>
      </w:pPr>
      <w:r>
        <w:rPr>
          <w:rFonts w:ascii="仿宋_GB2312" w:hAnsi="仿宋_GB2312" w:eastAsia="仿宋_GB2312"/>
          <w:b/>
          <w:sz w:val="32"/>
        </w:rPr>
        <w:t>本年收入1,364.96万元，</w:t>
      </w:r>
      <w:r>
        <w:rPr>
          <w:rFonts w:ascii="仿宋_GB2312" w:hAnsi="仿宋_GB2312" w:eastAsia="仿宋_GB2312"/>
          <w:b w:val="0"/>
          <w:sz w:val="32"/>
        </w:rPr>
        <w:t>其中：财政拨款收入1,364.65万元，占99.98%；上级补助收入0.00万元，占0.00%；事业收入0.00万元，占0.00%；经营收入0.00万元，占0.00%；附属单位上缴收入0.00万元，占0.00%；其他收入0.31万元，占0.02%。</w:t>
      </w:r>
    </w:p>
    <w:p w14:paraId="5FEFEF0E">
      <w:pPr>
        <w:spacing w:line="640" w:lineRule="exact"/>
        <w:ind w:firstLine="640"/>
        <w:jc w:val="both"/>
        <w:outlineLvl w:val="2"/>
      </w:pPr>
      <w:r>
        <w:rPr>
          <w:rFonts w:ascii="黑体" w:hAnsi="黑体" w:eastAsia="黑体"/>
          <w:sz w:val="32"/>
        </w:rPr>
        <w:t>三、支出决算情况说明</w:t>
      </w:r>
    </w:p>
    <w:p w14:paraId="30E58D45">
      <w:pPr>
        <w:spacing w:line="580" w:lineRule="exact"/>
        <w:ind w:firstLine="640"/>
        <w:jc w:val="both"/>
      </w:pPr>
      <w:r>
        <w:rPr>
          <w:rFonts w:ascii="仿宋_GB2312" w:hAnsi="仿宋_GB2312" w:eastAsia="仿宋_GB2312"/>
          <w:b/>
          <w:sz w:val="32"/>
        </w:rPr>
        <w:t>本年支出1,364.65万元，</w:t>
      </w:r>
      <w:r>
        <w:rPr>
          <w:rFonts w:ascii="仿宋_GB2312" w:hAnsi="仿宋_GB2312" w:eastAsia="仿宋_GB2312"/>
          <w:b w:val="0"/>
          <w:sz w:val="32"/>
        </w:rPr>
        <w:t>其中：基本支出1,111.15万元，占81.42%；项目支出253.50万元，占18.58%；上缴上级支出0.00万元，占0.00%；经营支出0.00万元，占0.00%；对附属单位补助支出0.00万元，占0.00%。</w:t>
      </w:r>
    </w:p>
    <w:p w14:paraId="3E9B5714">
      <w:pPr>
        <w:spacing w:line="640" w:lineRule="exact"/>
        <w:ind w:firstLine="640"/>
        <w:jc w:val="both"/>
        <w:outlineLvl w:val="2"/>
      </w:pPr>
      <w:r>
        <w:rPr>
          <w:rFonts w:ascii="黑体" w:hAnsi="黑体" w:eastAsia="黑体"/>
          <w:sz w:val="32"/>
        </w:rPr>
        <w:t>四、财政拨款收入支出决算总体情况说明</w:t>
      </w:r>
    </w:p>
    <w:p w14:paraId="6607738F">
      <w:pPr>
        <w:spacing w:line="580" w:lineRule="exact"/>
        <w:ind w:firstLine="640"/>
        <w:jc w:val="both"/>
      </w:pPr>
      <w:r>
        <w:rPr>
          <w:rFonts w:ascii="仿宋_GB2312" w:hAnsi="仿宋_GB2312" w:eastAsia="仿宋_GB2312"/>
          <w:b/>
          <w:sz w:val="32"/>
        </w:rPr>
        <w:t>2024年度财政拨款收入总计1,364.65万元，</w:t>
      </w:r>
      <w:r>
        <w:rPr>
          <w:rFonts w:ascii="仿宋_GB2312" w:hAnsi="仿宋_GB2312" w:eastAsia="仿宋_GB2312"/>
          <w:b w:val="0"/>
          <w:sz w:val="32"/>
        </w:rPr>
        <w:t>其中：年初财政拨款结转和结余0.00万元，本年财政拨款收入1,364.65万元。</w:t>
      </w:r>
      <w:r>
        <w:rPr>
          <w:rFonts w:ascii="仿宋_GB2312" w:hAnsi="仿宋_GB2312" w:eastAsia="仿宋_GB2312"/>
          <w:b/>
          <w:sz w:val="32"/>
        </w:rPr>
        <w:t>财政拨款支出总计1,364.65万元，</w:t>
      </w:r>
      <w:r>
        <w:rPr>
          <w:rFonts w:ascii="仿宋_GB2312" w:hAnsi="仿宋_GB2312" w:eastAsia="仿宋_GB2312"/>
          <w:b w:val="0"/>
          <w:sz w:val="32"/>
        </w:rPr>
        <w:t>其中：年末财政拨款结转和结余0.00万元，本年财政拨款支出1,364.65万元。</w:t>
      </w:r>
    </w:p>
    <w:p w14:paraId="34BB919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减少158.11万元，下降10.38%，主要原因是：上年补发津贴补贴，绩效奖金，本年正常发放，导致事业人员经费较上减少；本年无死亡人员，无死亡抚恤支出。</w:t>
      </w:r>
      <w:r>
        <w:rPr>
          <w:rFonts w:ascii="仿宋_GB2312" w:hAnsi="仿宋_GB2312" w:eastAsia="仿宋_GB2312"/>
          <w:b/>
          <w:sz w:val="32"/>
        </w:rPr>
        <w:t>与年初预算相比，</w:t>
      </w:r>
      <w:r>
        <w:rPr>
          <w:rFonts w:ascii="仿宋_GB2312" w:hAnsi="仿宋_GB2312" w:eastAsia="仿宋_GB2312"/>
          <w:b w:val="0"/>
          <w:sz w:val="32"/>
        </w:rPr>
        <w:t>年初预算数1,321.23万元，决算数1,364.65万元，预决算差异率3.29%，主要原因是：年中追加人员工资、社保、公积金基数调增部分资金，导致预决算存在差异。</w:t>
      </w:r>
    </w:p>
    <w:p w14:paraId="02C90EE5">
      <w:pPr>
        <w:spacing w:line="640" w:lineRule="exact"/>
        <w:ind w:firstLine="640"/>
        <w:jc w:val="both"/>
        <w:outlineLvl w:val="2"/>
      </w:pPr>
      <w:r>
        <w:rPr>
          <w:rFonts w:ascii="黑体" w:hAnsi="黑体" w:eastAsia="黑体"/>
          <w:sz w:val="32"/>
        </w:rPr>
        <w:t>五、一般公共预算财政拨款支出决算情况说明</w:t>
      </w:r>
    </w:p>
    <w:p w14:paraId="18B61C31">
      <w:pPr>
        <w:spacing w:line="640" w:lineRule="exact"/>
        <w:ind w:firstLine="640"/>
        <w:jc w:val="both"/>
        <w:outlineLvl w:val="3"/>
      </w:pPr>
      <w:r>
        <w:rPr>
          <w:rFonts w:ascii="楷体_GB2312" w:hAnsi="楷体_GB2312" w:eastAsia="楷体_GB2312"/>
          <w:b/>
          <w:sz w:val="32"/>
        </w:rPr>
        <w:t>（一）一般公共预算财政拨款支出决算总体情况</w:t>
      </w:r>
    </w:p>
    <w:p w14:paraId="0D9A6E24">
      <w:pPr>
        <w:spacing w:line="580" w:lineRule="exact"/>
        <w:ind w:firstLine="640"/>
        <w:jc w:val="both"/>
      </w:pPr>
      <w:r>
        <w:rPr>
          <w:rFonts w:ascii="仿宋_GB2312" w:hAnsi="仿宋_GB2312" w:eastAsia="仿宋_GB2312"/>
          <w:b/>
          <w:sz w:val="32"/>
        </w:rPr>
        <w:t>2024年度一般公共预算财政拨款支出1,364.65万元，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减少158.11万元，下降10.38%，主要原因是：上年补发津贴补贴，绩效奖金，本年正常发放，导致事业人员经费较上减少；本年无死亡人员，无死亡抚恤支出。</w:t>
      </w:r>
      <w:r>
        <w:rPr>
          <w:rFonts w:ascii="仿宋_GB2312" w:hAnsi="仿宋_GB2312" w:eastAsia="仿宋_GB2312"/>
          <w:b/>
          <w:sz w:val="32"/>
        </w:rPr>
        <w:t>与年初预算相比,</w:t>
      </w:r>
      <w:r>
        <w:rPr>
          <w:rFonts w:ascii="仿宋_GB2312" w:hAnsi="仿宋_GB2312" w:eastAsia="仿宋_GB2312"/>
          <w:b w:val="0"/>
          <w:sz w:val="32"/>
        </w:rPr>
        <w:t>年初预算数1,321.23万元，决算数1,364.65万元，预决算差异率3.29%，主要原因是：年中追加人员工资、社保、公积金基数调增部分资金，导致预决算存在差异。</w:t>
      </w:r>
    </w:p>
    <w:p w14:paraId="7F4013D8">
      <w:pPr>
        <w:spacing w:line="640" w:lineRule="exact"/>
        <w:ind w:firstLine="640"/>
        <w:jc w:val="both"/>
        <w:outlineLvl w:val="3"/>
      </w:pPr>
      <w:r>
        <w:rPr>
          <w:rFonts w:ascii="楷体_GB2312" w:hAnsi="楷体_GB2312" w:eastAsia="楷体_GB2312"/>
          <w:b/>
          <w:sz w:val="32"/>
        </w:rPr>
        <w:t>（二）一般公共预算财政拨款支出决算结构情况</w:t>
      </w:r>
    </w:p>
    <w:p w14:paraId="6DB3BEA1">
      <w:pPr>
        <w:spacing w:line="580" w:lineRule="exact"/>
        <w:ind w:firstLine="640"/>
        <w:jc w:val="both"/>
      </w:pPr>
      <w:r>
        <w:rPr>
          <w:rFonts w:ascii="仿宋_GB2312" w:hAnsi="仿宋_GB2312" w:eastAsia="仿宋_GB2312"/>
          <w:b w:val="0"/>
          <w:sz w:val="32"/>
        </w:rPr>
        <w:t>1.一般公共服务支出(类)1078.79万元,占79.05%。</w:t>
      </w:r>
    </w:p>
    <w:p w14:paraId="34244335">
      <w:pPr>
        <w:spacing w:line="580" w:lineRule="exact"/>
        <w:ind w:firstLine="640"/>
        <w:jc w:val="both"/>
      </w:pPr>
      <w:r>
        <w:rPr>
          <w:rFonts w:ascii="仿宋_GB2312" w:hAnsi="仿宋_GB2312" w:eastAsia="仿宋_GB2312"/>
          <w:b w:val="0"/>
          <w:sz w:val="32"/>
        </w:rPr>
        <w:t>2.教育支出(类)1.65万元,占0.12%。</w:t>
      </w:r>
    </w:p>
    <w:p w14:paraId="13ED25A3">
      <w:pPr>
        <w:spacing w:line="580" w:lineRule="exact"/>
        <w:ind w:firstLine="640"/>
        <w:jc w:val="both"/>
      </w:pPr>
      <w:r>
        <w:rPr>
          <w:rFonts w:ascii="仿宋_GB2312" w:hAnsi="仿宋_GB2312" w:eastAsia="仿宋_GB2312"/>
          <w:b w:val="0"/>
          <w:sz w:val="32"/>
        </w:rPr>
        <w:t>3.社会保障和就业支出(类)144.28万元,占10.57%。</w:t>
      </w:r>
    </w:p>
    <w:p w14:paraId="6680E9D0">
      <w:pPr>
        <w:spacing w:line="580" w:lineRule="exact"/>
        <w:ind w:firstLine="640"/>
        <w:jc w:val="both"/>
      </w:pPr>
      <w:r>
        <w:rPr>
          <w:rFonts w:ascii="仿宋_GB2312" w:hAnsi="仿宋_GB2312" w:eastAsia="仿宋_GB2312"/>
          <w:b w:val="0"/>
          <w:sz w:val="32"/>
        </w:rPr>
        <w:t>4.卫生健康支出(类)58.83万元,占4.31%。</w:t>
      </w:r>
    </w:p>
    <w:p w14:paraId="5F160AEB">
      <w:pPr>
        <w:spacing w:line="580" w:lineRule="exact"/>
        <w:ind w:firstLine="640"/>
        <w:jc w:val="both"/>
      </w:pPr>
      <w:r>
        <w:rPr>
          <w:rFonts w:ascii="仿宋_GB2312" w:hAnsi="仿宋_GB2312" w:eastAsia="仿宋_GB2312"/>
          <w:b w:val="0"/>
          <w:sz w:val="32"/>
        </w:rPr>
        <w:t>5.住房保障支出(类)81.1万元,占5.94%。</w:t>
      </w:r>
    </w:p>
    <w:p w14:paraId="728079D6">
      <w:pPr>
        <w:spacing w:line="640" w:lineRule="exact"/>
        <w:ind w:firstLine="640"/>
        <w:jc w:val="both"/>
        <w:outlineLvl w:val="3"/>
      </w:pPr>
      <w:r>
        <w:rPr>
          <w:rFonts w:ascii="楷体_GB2312" w:hAnsi="楷体_GB2312" w:eastAsia="楷体_GB2312"/>
          <w:b/>
          <w:sz w:val="32"/>
        </w:rPr>
        <w:t>（三）一般公共预算财政拨款支出决算具体情况</w:t>
      </w:r>
    </w:p>
    <w:p w14:paraId="030F6047">
      <w:pPr>
        <w:spacing w:line="580" w:lineRule="exact"/>
        <w:ind w:firstLine="640"/>
        <w:jc w:val="both"/>
      </w:pPr>
      <w:r>
        <w:rPr>
          <w:rFonts w:ascii="仿宋_GB2312" w:hAnsi="仿宋_GB2312" w:eastAsia="仿宋_GB2312"/>
          <w:b w:val="0"/>
          <w:sz w:val="32"/>
        </w:rPr>
        <w:t>1.一般公共服务支出(类)其他共产党事务支出(款)行政运行(项):支出决算数为447.97万元，比上年决算减少38.93万元，下降8.00%,主要原因是：本年在职人员减少，相关人员经费较上年减少。</w:t>
      </w:r>
    </w:p>
    <w:p w14:paraId="53729FB7">
      <w:pPr>
        <w:spacing w:line="580" w:lineRule="exact"/>
        <w:ind w:firstLine="640"/>
        <w:jc w:val="both"/>
      </w:pPr>
      <w:r>
        <w:rPr>
          <w:rFonts w:ascii="仿宋_GB2312" w:hAnsi="仿宋_GB2312" w:eastAsia="仿宋_GB2312"/>
          <w:b w:val="0"/>
          <w:sz w:val="32"/>
        </w:rPr>
        <w:t>2.一般公共服务支出(类)其他共产党事务支出(款)一般行政管理事务(项):支出决算数为253.5万元，比上年决算增加1.37万元，增长0.54%,主要原因是：本年增加政法专项工作经费。</w:t>
      </w:r>
    </w:p>
    <w:p w14:paraId="5FCDB423">
      <w:pPr>
        <w:spacing w:line="580" w:lineRule="exact"/>
        <w:ind w:firstLine="640"/>
        <w:jc w:val="both"/>
      </w:pPr>
      <w:r>
        <w:rPr>
          <w:rFonts w:ascii="仿宋_GB2312" w:hAnsi="仿宋_GB2312" w:eastAsia="仿宋_GB2312"/>
          <w:b w:val="0"/>
          <w:sz w:val="32"/>
        </w:rPr>
        <w:t>3.一般公共服务支出(类)其他共产党事务支出(款)事业运行(项):支出决算数为377.32万元，比上年决算减少105.54万元，下降21.86%,主要原因是：本年事业人员转行政人员，上年补发津贴补贴，绩效奖金，本年正常发放，导致事业人员经费较上减少。</w:t>
      </w:r>
    </w:p>
    <w:p w14:paraId="23D0B818">
      <w:pPr>
        <w:spacing w:line="580" w:lineRule="exact"/>
        <w:ind w:firstLine="640"/>
        <w:jc w:val="both"/>
      </w:pPr>
      <w:r>
        <w:rPr>
          <w:rFonts w:ascii="仿宋_GB2312" w:hAnsi="仿宋_GB2312" w:eastAsia="仿宋_GB2312"/>
          <w:b w:val="0"/>
          <w:sz w:val="32"/>
        </w:rPr>
        <w:t>4.教育支出(类)进修及培训(款)培训支出(项):支出决算数为1.65万元，比上年决算减少1.95万元，下降54.17%,主要原因是：本年度业务培训减少，故培训支出较上年减少。</w:t>
      </w:r>
    </w:p>
    <w:p w14:paraId="5F6E5275">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5.社会保障和就业支出(类)行政事业单位养老支出(款)行政单位离退休(项):支出决算数为15.52万元，比上年决算增加3.79万元，增长32.31%,主要原因是：本年增加退休人员基础绩效奖，退休费支出增加。</w:t>
      </w:r>
    </w:p>
    <w:p w14:paraId="12EC7AF1">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109.58万元，比上年决算减少1.36万元，下降1.23%,主要原因是：本年在职人员减少，单位基本养老保险缴费较上年减少。</w:t>
      </w:r>
      <w:bookmarkStart w:id="0" w:name="_GoBack"/>
      <w:bookmarkEnd w:id="0"/>
    </w:p>
    <w:p w14:paraId="529A4B7E">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19.18万元，比上年决算增加8.81万元，增长84.96%,主要原因是：本年单位人员调出，故机关事业单位职业年金缴费支出增加。</w:t>
      </w:r>
    </w:p>
    <w:p w14:paraId="201AD262">
      <w:pPr>
        <w:spacing w:line="580" w:lineRule="exact"/>
        <w:ind w:firstLine="640"/>
        <w:jc w:val="both"/>
      </w:pPr>
      <w:r>
        <w:rPr>
          <w:rFonts w:ascii="仿宋_GB2312" w:hAnsi="仿宋_GB2312" w:eastAsia="仿宋_GB2312"/>
          <w:b w:val="0"/>
          <w:sz w:val="32"/>
        </w:rPr>
        <w:t>8.社会保障和就业支出(类)抚恤(款)死亡抚恤(项):支出决算数为0.00万元，比上年决算减少24.75万元，下降100.00%,主要原因是：本年无新增死亡人员，死亡抚恤支出较上年减少。</w:t>
      </w:r>
    </w:p>
    <w:p w14:paraId="5BCC72D9">
      <w:pPr>
        <w:spacing w:line="580" w:lineRule="exact"/>
        <w:ind w:firstLine="640"/>
        <w:jc w:val="both"/>
      </w:pPr>
      <w:r>
        <w:rPr>
          <w:rFonts w:ascii="仿宋_GB2312" w:hAnsi="仿宋_GB2312" w:eastAsia="仿宋_GB2312"/>
          <w:b w:val="0"/>
          <w:sz w:val="32"/>
        </w:rPr>
        <w:t>9.卫生健康支出(类)行政事业单位医疗(款)行政单位医疗(项):支出决算数为24.95万元，比上年决算增加7.50万元，增长42.98%,主要原因是：本年在职人员工资基数调增，医疗缴费基数上涨，相应支出增加。</w:t>
      </w:r>
    </w:p>
    <w:p w14:paraId="11023BC4">
      <w:pPr>
        <w:spacing w:line="580" w:lineRule="exact"/>
        <w:ind w:firstLine="640"/>
        <w:jc w:val="both"/>
      </w:pPr>
      <w:r>
        <w:rPr>
          <w:rFonts w:ascii="仿宋_GB2312" w:hAnsi="仿宋_GB2312" w:eastAsia="仿宋_GB2312"/>
          <w:b w:val="0"/>
          <w:sz w:val="32"/>
        </w:rPr>
        <w:t>10.卫生健康支出(类)行政事业单位医疗(款)事业单位医疗(项):支出决算数为22.99万元，比上年决算减少7.99万元，下降25.79%,主要原因是：本年在职人员减少，事业单位医疗支出较上年减少。</w:t>
      </w:r>
    </w:p>
    <w:p w14:paraId="046DE788">
      <w:pPr>
        <w:spacing w:line="580" w:lineRule="exact"/>
        <w:ind w:firstLine="640"/>
        <w:jc w:val="both"/>
      </w:pPr>
      <w:r>
        <w:rPr>
          <w:rFonts w:ascii="仿宋_GB2312" w:hAnsi="仿宋_GB2312" w:eastAsia="仿宋_GB2312"/>
          <w:b w:val="0"/>
          <w:sz w:val="32"/>
        </w:rPr>
        <w:t>11.卫生健康支出(类)行政事业单位医疗(款)公务员医疗补助(项):支出决算数为9.24万元，比上年决算增加0.40万元，增长4.52%,主要原因是：本年在职人员工资基数调增，医疗缴费基数上涨，相应支出增加。</w:t>
      </w:r>
    </w:p>
    <w:p w14:paraId="5C104BF8">
      <w:pPr>
        <w:spacing w:line="580" w:lineRule="exact"/>
        <w:ind w:firstLine="640"/>
        <w:jc w:val="both"/>
      </w:pPr>
      <w:r>
        <w:rPr>
          <w:rFonts w:ascii="仿宋_GB2312" w:hAnsi="仿宋_GB2312" w:eastAsia="仿宋_GB2312"/>
          <w:b w:val="0"/>
          <w:sz w:val="32"/>
        </w:rPr>
        <w:t>12.卫生健康支出(类)行政事业单位医疗(款)其他行政事业单位医疗支出(项):支出决算数为1.66万元，比上年决算减少0.25万元，下降13.09%,主要原因是：本年在职人员减少，其他行政事业单位医疗支出较上年减少。</w:t>
      </w:r>
    </w:p>
    <w:p w14:paraId="6F7DF6B0">
      <w:pPr>
        <w:spacing w:line="580" w:lineRule="exact"/>
        <w:ind w:firstLine="640"/>
        <w:jc w:val="both"/>
      </w:pPr>
      <w:r>
        <w:rPr>
          <w:rFonts w:ascii="仿宋_GB2312" w:hAnsi="仿宋_GB2312" w:eastAsia="仿宋_GB2312"/>
          <w:b w:val="0"/>
          <w:sz w:val="32"/>
        </w:rPr>
        <w:t>13.住房保障支出(类)住房改革支出(款)住房公积金(项):支出决算数为81.1万元，比上年决算增加0.82万元，增长1.02%,主要原因是：本年在职人员工资基数调增，公积金缴费基数上涨，相应支出增加。</w:t>
      </w:r>
    </w:p>
    <w:p w14:paraId="471ECF62">
      <w:pPr>
        <w:spacing w:line="640" w:lineRule="exact"/>
        <w:ind w:firstLine="640"/>
        <w:jc w:val="both"/>
        <w:outlineLvl w:val="2"/>
      </w:pPr>
      <w:r>
        <w:rPr>
          <w:rFonts w:ascii="黑体" w:hAnsi="黑体" w:eastAsia="黑体"/>
          <w:sz w:val="32"/>
        </w:rPr>
        <w:t>六、一般公共预算财政拨款基本支出决算情况说明</w:t>
      </w:r>
    </w:p>
    <w:p w14:paraId="2C769183">
      <w:pPr>
        <w:spacing w:line="580" w:lineRule="exact"/>
        <w:ind w:firstLine="640"/>
        <w:jc w:val="both"/>
      </w:pPr>
      <w:r>
        <w:rPr>
          <w:rFonts w:ascii="仿宋_GB2312" w:hAnsi="仿宋_GB2312" w:eastAsia="仿宋_GB2312"/>
          <w:b w:val="0"/>
          <w:sz w:val="32"/>
        </w:rPr>
        <w:t>2024年度一般公共预算财政拨款基本支出1,111.15万元，其中：</w:t>
      </w:r>
      <w:r>
        <w:rPr>
          <w:rFonts w:ascii="仿宋_GB2312" w:hAnsi="仿宋_GB2312" w:eastAsia="仿宋_GB2312"/>
          <w:b/>
          <w:sz w:val="32"/>
        </w:rPr>
        <w:t>人员经费1,034.44万元，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退休费、生活补助、奖励金。</w:t>
      </w:r>
    </w:p>
    <w:p w14:paraId="0B660EEB">
      <w:pPr>
        <w:spacing w:line="580" w:lineRule="exact"/>
        <w:ind w:firstLine="640"/>
        <w:jc w:val="both"/>
      </w:pPr>
      <w:r>
        <w:rPr>
          <w:rFonts w:ascii="仿宋_GB2312" w:hAnsi="仿宋_GB2312" w:eastAsia="仿宋_GB2312"/>
          <w:b/>
          <w:sz w:val="32"/>
        </w:rPr>
        <w:t>公用经费76.71万元，</w:t>
      </w:r>
      <w:r>
        <w:rPr>
          <w:rFonts w:ascii="仿宋_GB2312" w:hAnsi="仿宋_GB2312" w:eastAsia="仿宋_GB2312"/>
          <w:b w:val="0"/>
          <w:sz w:val="32"/>
        </w:rPr>
        <w:t>包括：办公费、印刷费、邮电费、取暖费、物业管理费、差旅费、培训费、公务接待费、劳务费、工会经费、福利费、公务用车运行维护费。</w:t>
      </w:r>
    </w:p>
    <w:p w14:paraId="7051BA3B">
      <w:pPr>
        <w:spacing w:line="640" w:lineRule="exact"/>
        <w:ind w:firstLine="640"/>
        <w:jc w:val="both"/>
        <w:outlineLvl w:val="2"/>
      </w:pPr>
      <w:r>
        <w:rPr>
          <w:rFonts w:ascii="黑体" w:hAnsi="黑体" w:eastAsia="黑体"/>
          <w:sz w:val="32"/>
        </w:rPr>
        <w:t>七、政府性基金预算财政拨款收入支出决算情况说明</w:t>
      </w:r>
    </w:p>
    <w:p w14:paraId="3A29455F">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493F9666">
      <w:pPr>
        <w:spacing w:line="640" w:lineRule="exact"/>
        <w:ind w:firstLine="640"/>
        <w:jc w:val="both"/>
        <w:outlineLvl w:val="2"/>
      </w:pPr>
      <w:r>
        <w:rPr>
          <w:rFonts w:ascii="黑体" w:hAnsi="黑体" w:eastAsia="黑体"/>
          <w:sz w:val="32"/>
        </w:rPr>
        <w:t>八、国有资本经营预算财政拨款收入支出决算情况说明</w:t>
      </w:r>
    </w:p>
    <w:p w14:paraId="2FA8C2C8">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4D6DC563">
      <w:pPr>
        <w:spacing w:line="640" w:lineRule="exact"/>
        <w:ind w:firstLine="640"/>
        <w:jc w:val="both"/>
        <w:outlineLvl w:val="2"/>
      </w:pPr>
      <w:r>
        <w:rPr>
          <w:rFonts w:ascii="黑体" w:hAnsi="黑体" w:eastAsia="黑体"/>
          <w:sz w:val="32"/>
        </w:rPr>
        <w:t>九、财政拨款“三公”经费支出决算情况说明</w:t>
      </w:r>
    </w:p>
    <w:p w14:paraId="20D2BBB2">
      <w:pPr>
        <w:spacing w:line="580" w:lineRule="exact"/>
        <w:ind w:firstLine="640"/>
        <w:jc w:val="both"/>
      </w:pPr>
      <w:r>
        <w:rPr>
          <w:rFonts w:ascii="仿宋_GB2312" w:hAnsi="仿宋_GB2312" w:eastAsia="仿宋_GB2312"/>
          <w:b/>
          <w:sz w:val="32"/>
        </w:rPr>
        <w:t>2024年度财政拨款“三公”经费支出21.22万元，</w:t>
      </w:r>
      <w:r>
        <w:rPr>
          <w:rFonts w:ascii="仿宋_GB2312" w:hAnsi="仿宋_GB2312" w:eastAsia="仿宋_GB2312"/>
          <w:b w:val="0"/>
          <w:sz w:val="32"/>
        </w:rPr>
        <w:t>比上年减少0.55万元，下降2.53%，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20.43万元，占96.28%，比上年减少0.54万元，下降2.58%，主要原因是：严格落实中央八项规定精神，厉行节约，减少公务用车运行维护费。公务接待费支出0.79万元，占3.72%，比上年减少0.01万元，下降1.25%，主要原因是：严格落实中央八项规定精神，厉行节约，减少公务接待费。</w:t>
      </w:r>
    </w:p>
    <w:p w14:paraId="20E8C4F2">
      <w:pPr>
        <w:spacing w:line="580" w:lineRule="exact"/>
        <w:ind w:firstLine="640"/>
        <w:jc w:val="both"/>
      </w:pPr>
      <w:r>
        <w:rPr>
          <w:rFonts w:ascii="仿宋_GB2312" w:hAnsi="仿宋_GB2312" w:eastAsia="仿宋_GB2312"/>
          <w:b/>
          <w:sz w:val="32"/>
        </w:rPr>
        <w:t>具体情况如下：</w:t>
      </w:r>
    </w:p>
    <w:p w14:paraId="50E4B205">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2AE2E73D">
      <w:pPr>
        <w:spacing w:line="580" w:lineRule="exact"/>
        <w:ind w:firstLine="640"/>
        <w:jc w:val="both"/>
      </w:pPr>
      <w:r>
        <w:rPr>
          <w:rFonts w:ascii="仿宋_GB2312" w:hAnsi="仿宋_GB2312" w:eastAsia="仿宋_GB2312"/>
          <w:b w:val="0"/>
          <w:sz w:val="32"/>
        </w:rPr>
        <w:t>公务用车购置及运行维护费20.43万元，其中：公务用车购置费0.00万元，公务用车运行维护费20.43万元。公务用车运行维护费开支内容包括车辆加油费、维修费、保险费、审车费、过路费。公务用车购置数0辆，公务用车保有量6辆。国有资产占用情况中固定资产车辆6辆，与公务用车保有量差异原因是：本部门固定资产车辆与公务用车保有量一致无差异。</w:t>
      </w:r>
    </w:p>
    <w:p w14:paraId="6639D756">
      <w:pPr>
        <w:spacing w:line="580" w:lineRule="exact"/>
        <w:ind w:firstLine="640"/>
        <w:jc w:val="both"/>
      </w:pPr>
      <w:r>
        <w:rPr>
          <w:rFonts w:ascii="仿宋_GB2312" w:hAnsi="仿宋_GB2312" w:eastAsia="仿宋_GB2312"/>
          <w:b w:val="0"/>
          <w:sz w:val="32"/>
        </w:rPr>
        <w:t>公务接待费0.79万元，开支内容包括因工作指导，接待上级领导产生的就餐费。部门全年安排的国内公务接待10批次，108人次。</w:t>
      </w:r>
    </w:p>
    <w:p w14:paraId="5B225CA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21.22万元，决算数21.22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20.43万元，决算数20.43万元，预决算差异率0.00%，主要原因是：严格按照预算执行，预决算无差异。公务接待费全年预算数0.79万元，决算数0.79万元，预决算差异率0.00%，主要原因是：严格按照预算执行，预决算无差异。</w:t>
      </w:r>
    </w:p>
    <w:p w14:paraId="6A77F7E2">
      <w:pPr>
        <w:spacing w:line="640" w:lineRule="exact"/>
        <w:ind w:firstLine="640"/>
        <w:jc w:val="both"/>
        <w:outlineLvl w:val="2"/>
      </w:pPr>
      <w:r>
        <w:rPr>
          <w:rFonts w:ascii="黑体" w:hAnsi="黑体" w:eastAsia="黑体"/>
          <w:sz w:val="32"/>
        </w:rPr>
        <w:t>十、其他重要事项的情况说明</w:t>
      </w:r>
    </w:p>
    <w:p w14:paraId="1FBCD1DD">
      <w:pPr>
        <w:spacing w:line="640" w:lineRule="exact"/>
        <w:ind w:firstLine="640"/>
        <w:jc w:val="both"/>
        <w:outlineLvl w:val="3"/>
      </w:pPr>
      <w:r>
        <w:rPr>
          <w:rFonts w:ascii="楷体_GB2312" w:hAnsi="楷体_GB2312" w:eastAsia="楷体_GB2312"/>
          <w:b/>
          <w:sz w:val="32"/>
        </w:rPr>
        <w:t>（一）机关运行经费及公用经费支出情况</w:t>
      </w:r>
    </w:p>
    <w:p w14:paraId="21C21F05">
      <w:pPr>
        <w:spacing w:line="580" w:lineRule="exact"/>
        <w:ind w:firstLine="640"/>
        <w:jc w:val="both"/>
      </w:pPr>
      <w:r>
        <w:rPr>
          <w:rFonts w:ascii="仿宋_GB2312" w:hAnsi="仿宋_GB2312" w:eastAsia="仿宋_GB2312"/>
          <w:b w:val="0"/>
          <w:sz w:val="32"/>
        </w:rPr>
        <w:t>2024年度中共新疆巴音郭楞蒙古自治州委员会政法委员会（行政单位和参照公务员法管理事业单位）机关运行经费支出76.71万元，比上年减少22.36万元，下降22.57%，主要原因是：本年度维修费、培训费、委托业务费减少，故机关运行经费支出减少。</w:t>
      </w:r>
    </w:p>
    <w:p w14:paraId="0732A0A6">
      <w:pPr>
        <w:spacing w:line="640" w:lineRule="exact"/>
        <w:ind w:firstLine="640"/>
        <w:jc w:val="both"/>
        <w:outlineLvl w:val="3"/>
      </w:pPr>
      <w:r>
        <w:rPr>
          <w:rFonts w:ascii="楷体_GB2312" w:hAnsi="楷体_GB2312" w:eastAsia="楷体_GB2312"/>
          <w:b/>
          <w:sz w:val="32"/>
        </w:rPr>
        <w:t>（二）政府采购情况</w:t>
      </w:r>
    </w:p>
    <w:p w14:paraId="112E5923">
      <w:pPr>
        <w:spacing w:line="580" w:lineRule="exact"/>
        <w:ind w:firstLine="640"/>
        <w:jc w:val="both"/>
      </w:pPr>
      <w:r>
        <w:rPr>
          <w:rFonts w:ascii="仿宋_GB2312" w:hAnsi="仿宋_GB2312" w:eastAsia="仿宋_GB2312"/>
          <w:b w:val="0"/>
          <w:sz w:val="32"/>
        </w:rPr>
        <w:t>2024年度政府采购支出总额14.58万元，其中：政府采购货物支出5.58万元、政府采购工程支出9.00万元、政府采购服务支出0.00万元。</w:t>
      </w:r>
    </w:p>
    <w:p w14:paraId="763923FE">
      <w:pPr>
        <w:spacing w:line="580" w:lineRule="exact"/>
        <w:ind w:firstLine="640"/>
        <w:jc w:val="both"/>
      </w:pPr>
      <w:r>
        <w:rPr>
          <w:rFonts w:ascii="仿宋_GB2312" w:hAnsi="仿宋_GB2312" w:eastAsia="仿宋_GB2312"/>
          <w:b w:val="0"/>
          <w:sz w:val="32"/>
        </w:rPr>
        <w:t>授予中小企业合同金额7.39万元，占政府采购支出总额的50.69%，其中：授予小微企业合同金额7.39万元，占政府采购支出总额的50.69%。</w:t>
      </w:r>
    </w:p>
    <w:p w14:paraId="453AD408">
      <w:pPr>
        <w:spacing w:line="640" w:lineRule="exact"/>
        <w:ind w:firstLine="640"/>
        <w:jc w:val="both"/>
        <w:outlineLvl w:val="3"/>
      </w:pPr>
      <w:r>
        <w:rPr>
          <w:rFonts w:ascii="楷体_GB2312" w:hAnsi="楷体_GB2312" w:eastAsia="楷体_GB2312"/>
          <w:b/>
          <w:sz w:val="32"/>
        </w:rPr>
        <w:t>（三）国有资产占用情况说明</w:t>
      </w:r>
    </w:p>
    <w:p w14:paraId="601AFB60">
      <w:pPr>
        <w:spacing w:line="580" w:lineRule="exact"/>
        <w:ind w:firstLine="640"/>
        <w:jc w:val="both"/>
      </w:pPr>
      <w:r>
        <w:rPr>
          <w:rFonts w:ascii="仿宋_GB2312" w:hAnsi="仿宋_GB2312" w:eastAsia="仿宋_GB2312"/>
          <w:b w:val="0"/>
          <w:sz w:val="32"/>
        </w:rPr>
        <w:t>截至2024年12月31日，房屋0.00平方米，价值0.00万元。车辆6辆，价值135.47万元，其中：副部（省）级及以上领导用车0辆、主要负责人用车2辆、机要通信用车0辆、应急保障用车0辆、执法执勤用车2辆、特种专业技术用车0辆、离退休干部服务用车0辆、其他用车2辆，其他用车主要是：一般公务用车。单价100万元（含）以上设备（不含车辆）8台（套）。</w:t>
      </w:r>
    </w:p>
    <w:p w14:paraId="378B22C5">
      <w:pPr>
        <w:spacing w:line="640" w:lineRule="exact"/>
        <w:ind w:firstLine="640"/>
        <w:jc w:val="both"/>
        <w:outlineLvl w:val="2"/>
      </w:pPr>
      <w:r>
        <w:rPr>
          <w:rFonts w:ascii="黑体" w:hAnsi="黑体" w:eastAsia="黑体"/>
          <w:sz w:val="32"/>
        </w:rPr>
        <w:t>十一、预算绩效的情况说明</w:t>
      </w:r>
    </w:p>
    <w:p w14:paraId="4EC118E0">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w:t>
      </w:r>
      <w:r>
        <w:rPr>
          <w:rFonts w:hint="eastAsia" w:ascii="仿宋_GB2312" w:hAnsi="仿宋_GB2312" w:eastAsia="仿宋_GB2312"/>
          <w:b w:val="0"/>
          <w:sz w:val="32"/>
        </w:rPr>
        <w:t>1,365.43</w:t>
      </w:r>
      <w:r>
        <w:rPr>
          <w:rFonts w:ascii="仿宋_GB2312" w:hAnsi="仿宋_GB2312" w:eastAsia="仿宋_GB2312"/>
          <w:b w:val="0"/>
          <w:sz w:val="32"/>
        </w:rPr>
        <w:t>万元，实际执行总额</w:t>
      </w:r>
      <w:r>
        <w:rPr>
          <w:rFonts w:hint="eastAsia" w:ascii="仿宋_GB2312" w:hAnsi="仿宋_GB2312" w:eastAsia="仿宋_GB2312"/>
          <w:b w:val="0"/>
          <w:sz w:val="32"/>
        </w:rPr>
        <w:t>1,364.65</w:t>
      </w:r>
      <w:r>
        <w:rPr>
          <w:rFonts w:ascii="仿宋_GB2312" w:hAnsi="仿宋_GB2312" w:eastAsia="仿宋_GB2312"/>
          <w:b w:val="0"/>
          <w:sz w:val="32"/>
        </w:rPr>
        <w:t>万元；预算绩效评价项目</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个，全年预算数252.5</w:t>
      </w:r>
      <w:r>
        <w:rPr>
          <w:rFonts w:hint="eastAsia" w:ascii="仿宋_GB2312" w:hAnsi="仿宋_GB2312" w:eastAsia="仿宋_GB2312"/>
          <w:b w:val="0"/>
          <w:sz w:val="32"/>
          <w:lang w:val="en-US" w:eastAsia="zh-CN"/>
        </w:rPr>
        <w:t>0</w:t>
      </w:r>
      <w:r>
        <w:rPr>
          <w:rFonts w:ascii="仿宋_GB2312" w:hAnsi="仿宋_GB2312" w:eastAsia="仿宋_GB2312"/>
          <w:b w:val="0"/>
          <w:sz w:val="32"/>
        </w:rPr>
        <w:t>万元，全年执行数252.5</w:t>
      </w:r>
      <w:r>
        <w:rPr>
          <w:rFonts w:hint="eastAsia" w:ascii="仿宋_GB2312" w:hAnsi="仿宋_GB2312" w:eastAsia="仿宋_GB2312"/>
          <w:b w:val="0"/>
          <w:sz w:val="32"/>
          <w:lang w:val="en-US" w:eastAsia="zh-CN"/>
        </w:rPr>
        <w:t>0</w:t>
      </w:r>
      <w:r>
        <w:rPr>
          <w:rFonts w:ascii="仿宋_GB2312" w:hAnsi="仿宋_GB2312" w:eastAsia="仿宋_GB2312"/>
          <w:b w:val="0"/>
          <w:sz w:val="32"/>
        </w:rPr>
        <w:t>万元。预算绩效管理取得的成效：本部门绩效自评项目涉密，不予公开。发现的问题及原因：本部门绩效自评项目涉密，不予公开。下一步改进措施：本部门绩效自评项目涉密，不予公开。</w:t>
      </w:r>
    </w:p>
    <w:p w14:paraId="3F84FE3C">
      <w:r>
        <w:br w:type="page"/>
      </w:r>
    </w:p>
    <w:p w14:paraId="4942C85A">
      <w:pPr>
        <w:spacing w:line="640" w:lineRule="exact"/>
        <w:ind w:firstLine="640"/>
        <w:jc w:val="both"/>
        <w:outlineLvl w:val="2"/>
      </w:pPr>
      <w:r>
        <w:rPr>
          <w:rFonts w:ascii="黑体" w:hAnsi="黑体" w:eastAsia="黑体"/>
          <w:sz w:val="32"/>
        </w:rPr>
        <w:t>十二、其他需说明的事项</w:t>
      </w:r>
    </w:p>
    <w:p w14:paraId="72D0F378">
      <w:pPr>
        <w:spacing w:line="580" w:lineRule="exact"/>
        <w:ind w:firstLine="640"/>
        <w:jc w:val="both"/>
      </w:pPr>
      <w:r>
        <w:rPr>
          <w:rFonts w:ascii="仿宋_GB2312" w:hAnsi="仿宋_GB2312" w:eastAsia="仿宋_GB2312"/>
          <w:b w:val="0"/>
          <w:sz w:val="32"/>
        </w:rPr>
        <w:t>本年度本部门整体绩效自评表不予公开。</w:t>
      </w:r>
    </w:p>
    <w:p w14:paraId="26330072">
      <w:pPr>
        <w:spacing w:line="580" w:lineRule="exact"/>
        <w:ind w:firstLine="640"/>
        <w:jc w:val="both"/>
      </w:pPr>
      <w:r>
        <w:rPr>
          <w:rFonts w:ascii="仿宋_GB2312" w:hAnsi="仿宋_GB2312" w:eastAsia="仿宋_GB2312"/>
          <w:b w:val="0"/>
          <w:sz w:val="32"/>
        </w:rPr>
        <w:t>本年本部门SM项目4个，全年预算数252.5</w:t>
      </w:r>
      <w:r>
        <w:rPr>
          <w:rFonts w:hint="eastAsia" w:ascii="仿宋_GB2312" w:hAnsi="仿宋_GB2312" w:eastAsia="仿宋_GB2312"/>
          <w:b w:val="0"/>
          <w:sz w:val="32"/>
          <w:lang w:val="en-US" w:eastAsia="zh-CN"/>
        </w:rPr>
        <w:t>0</w:t>
      </w:r>
      <w:r>
        <w:rPr>
          <w:rFonts w:ascii="仿宋_GB2312" w:hAnsi="仿宋_GB2312" w:eastAsia="仿宋_GB2312"/>
          <w:b w:val="0"/>
          <w:sz w:val="32"/>
        </w:rPr>
        <w:t>万元，全年执行数252.5</w:t>
      </w:r>
      <w:r>
        <w:rPr>
          <w:rFonts w:hint="eastAsia" w:ascii="仿宋_GB2312" w:hAnsi="仿宋_GB2312" w:eastAsia="仿宋_GB2312"/>
          <w:b w:val="0"/>
          <w:sz w:val="32"/>
          <w:lang w:val="en-US" w:eastAsia="zh-CN"/>
        </w:rPr>
        <w:t>0</w:t>
      </w:r>
      <w:r>
        <w:rPr>
          <w:rFonts w:ascii="仿宋_GB2312" w:hAnsi="仿宋_GB2312" w:eastAsia="仿宋_GB2312"/>
          <w:b w:val="0"/>
          <w:sz w:val="32"/>
        </w:rPr>
        <w:t>万元。</w:t>
      </w:r>
    </w:p>
    <w:p w14:paraId="7590B3CB">
      <w:r>
        <w:br w:type="page"/>
      </w:r>
    </w:p>
    <w:p w14:paraId="138E170A">
      <w:pPr>
        <w:spacing w:line="240" w:lineRule="auto"/>
        <w:jc w:val="center"/>
        <w:outlineLvl w:val="1"/>
      </w:pPr>
      <w:r>
        <w:rPr>
          <w:rFonts w:ascii="黑体" w:hAnsi="黑体" w:eastAsia="黑体"/>
          <w:sz w:val="32"/>
        </w:rPr>
        <w:t>第三部分 专业名词解释</w:t>
      </w:r>
    </w:p>
    <w:p w14:paraId="0AFF89D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DDCD82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95E2FD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0DF439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0FE127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3BEEEA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AA907C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253A54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3657C9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6EB10D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7C7DE1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9E0015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BE0084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928566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CFC5B50">
      <w:r>
        <w:br w:type="page"/>
      </w:r>
    </w:p>
    <w:p w14:paraId="5FECB58B">
      <w:pPr>
        <w:spacing w:line="240" w:lineRule="auto"/>
        <w:jc w:val="center"/>
        <w:outlineLvl w:val="1"/>
      </w:pPr>
      <w:r>
        <w:rPr>
          <w:rFonts w:ascii="黑体" w:hAnsi="黑体" w:eastAsia="黑体"/>
          <w:sz w:val="32"/>
        </w:rPr>
        <w:t>第四部分 部门决算报表（见附表）</w:t>
      </w:r>
    </w:p>
    <w:p w14:paraId="2F0D68F0">
      <w:pPr>
        <w:spacing w:line="240" w:lineRule="auto"/>
        <w:ind w:firstLine="640"/>
        <w:jc w:val="both"/>
      </w:pPr>
      <w:r>
        <w:rPr>
          <w:rFonts w:ascii="仿宋_GB2312" w:hAnsi="仿宋_GB2312" w:eastAsia="仿宋_GB2312"/>
          <w:b w:val="0"/>
          <w:sz w:val="32"/>
        </w:rPr>
        <w:t>一、《收入支出决算总表》</w:t>
      </w:r>
    </w:p>
    <w:p w14:paraId="2E6F2CED">
      <w:pPr>
        <w:spacing w:line="240" w:lineRule="auto"/>
        <w:ind w:firstLine="640"/>
        <w:jc w:val="both"/>
      </w:pPr>
      <w:r>
        <w:rPr>
          <w:rFonts w:ascii="仿宋_GB2312" w:hAnsi="仿宋_GB2312" w:eastAsia="仿宋_GB2312"/>
          <w:b w:val="0"/>
          <w:sz w:val="32"/>
        </w:rPr>
        <w:t>二、《收入决算表》</w:t>
      </w:r>
    </w:p>
    <w:p w14:paraId="78665899">
      <w:pPr>
        <w:spacing w:line="240" w:lineRule="auto"/>
        <w:ind w:firstLine="640"/>
        <w:jc w:val="both"/>
      </w:pPr>
      <w:r>
        <w:rPr>
          <w:rFonts w:ascii="仿宋_GB2312" w:hAnsi="仿宋_GB2312" w:eastAsia="仿宋_GB2312"/>
          <w:b w:val="0"/>
          <w:sz w:val="32"/>
        </w:rPr>
        <w:t>三、《支出决算表》</w:t>
      </w:r>
    </w:p>
    <w:p w14:paraId="26A6989A">
      <w:pPr>
        <w:spacing w:line="240" w:lineRule="auto"/>
        <w:ind w:firstLine="640"/>
        <w:jc w:val="both"/>
      </w:pPr>
      <w:r>
        <w:rPr>
          <w:rFonts w:ascii="仿宋_GB2312" w:hAnsi="仿宋_GB2312" w:eastAsia="仿宋_GB2312"/>
          <w:b w:val="0"/>
          <w:sz w:val="32"/>
        </w:rPr>
        <w:t>四、《财政拨款收入支出决算总表》</w:t>
      </w:r>
    </w:p>
    <w:p w14:paraId="78659F0C">
      <w:pPr>
        <w:spacing w:line="240" w:lineRule="auto"/>
        <w:ind w:firstLine="640"/>
        <w:jc w:val="both"/>
      </w:pPr>
      <w:r>
        <w:rPr>
          <w:rFonts w:ascii="仿宋_GB2312" w:hAnsi="仿宋_GB2312" w:eastAsia="仿宋_GB2312"/>
          <w:b w:val="0"/>
          <w:sz w:val="32"/>
        </w:rPr>
        <w:t>五、《一般公共预算财政拨款支出决算表》</w:t>
      </w:r>
    </w:p>
    <w:p w14:paraId="418BB4CB">
      <w:pPr>
        <w:spacing w:line="240" w:lineRule="auto"/>
        <w:ind w:firstLine="640"/>
        <w:jc w:val="both"/>
      </w:pPr>
      <w:r>
        <w:rPr>
          <w:rFonts w:ascii="仿宋_GB2312" w:hAnsi="仿宋_GB2312" w:eastAsia="仿宋_GB2312"/>
          <w:b w:val="0"/>
          <w:sz w:val="32"/>
        </w:rPr>
        <w:t>六、《一般公共预算财政拨款基本支出决算表》</w:t>
      </w:r>
    </w:p>
    <w:p w14:paraId="1DB71158">
      <w:pPr>
        <w:spacing w:line="240" w:lineRule="auto"/>
        <w:ind w:firstLine="640"/>
        <w:jc w:val="both"/>
      </w:pPr>
      <w:r>
        <w:rPr>
          <w:rFonts w:ascii="仿宋_GB2312" w:hAnsi="仿宋_GB2312" w:eastAsia="仿宋_GB2312"/>
          <w:b w:val="0"/>
          <w:sz w:val="32"/>
        </w:rPr>
        <w:t>七、《政府性基金预算财政拨款收入支出决算表》</w:t>
      </w:r>
    </w:p>
    <w:p w14:paraId="7EB9E8E1">
      <w:pPr>
        <w:spacing w:line="240" w:lineRule="auto"/>
        <w:ind w:firstLine="640"/>
        <w:jc w:val="both"/>
      </w:pPr>
      <w:r>
        <w:rPr>
          <w:rFonts w:ascii="仿宋_GB2312" w:hAnsi="仿宋_GB2312" w:eastAsia="仿宋_GB2312"/>
          <w:b w:val="0"/>
          <w:sz w:val="32"/>
        </w:rPr>
        <w:t>八、《国有资本经营预算财政拨款收入支出决算表》</w:t>
      </w:r>
    </w:p>
    <w:p w14:paraId="74651BD5">
      <w:pPr>
        <w:spacing w:line="240" w:lineRule="auto"/>
        <w:ind w:firstLine="640"/>
        <w:jc w:val="both"/>
      </w:pPr>
      <w:r>
        <w:rPr>
          <w:rFonts w:ascii="仿宋_GB2312" w:hAnsi="仿宋_GB2312" w:eastAsia="仿宋_GB2312"/>
          <w:b w:val="0"/>
          <w:sz w:val="32"/>
        </w:rPr>
        <w:t>九、《财政拨款“三公”经费支出决算表》</w:t>
      </w:r>
    </w:p>
    <w:p w14:paraId="397FDE1D">
      <w:pPr>
        <w:spacing w:line="240" w:lineRule="auto"/>
        <w:ind w:firstLine="640"/>
        <w:jc w:val="both"/>
      </w:pPr>
    </w:p>
    <w:p w14:paraId="04ED1937">
      <w:pPr>
        <w:spacing w:line="240" w:lineRule="auto"/>
        <w:ind w:firstLine="640"/>
        <w:jc w:val="both"/>
      </w:pPr>
    </w:p>
    <w:p w14:paraId="0D18B0D1">
      <w:pPr>
        <w:spacing w:line="240" w:lineRule="auto"/>
        <w:ind w:firstLine="640"/>
        <w:jc w:val="both"/>
      </w:pPr>
    </w:p>
    <w:p w14:paraId="289AF64A">
      <w:pPr>
        <w:spacing w:line="240" w:lineRule="auto"/>
        <w:ind w:firstLine="640"/>
        <w:jc w:val="both"/>
      </w:pPr>
    </w:p>
    <w:p w14:paraId="11A6579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67BCE18-8E1D-4BDD-AD1C-C1518E60F61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1C98659-DD2B-4F38-A591-A54216ECF2C4}"/>
  </w:font>
  <w:font w:name="仿宋_GB2312">
    <w:panose1 w:val="02010609030101010101"/>
    <w:charset w:val="86"/>
    <w:family w:val="modern"/>
    <w:pitch w:val="default"/>
    <w:sig w:usb0="00000001" w:usb1="080E0000" w:usb2="00000000" w:usb3="00000000" w:csb0="00040000" w:csb1="00000000"/>
    <w:embedRegular r:id="rId3" w:fontKey="{94CE3565-8C51-4AEC-AD86-4896272857B5}"/>
  </w:font>
  <w:font w:name="楷体_GB2312">
    <w:panose1 w:val="02010609030101010101"/>
    <w:charset w:val="86"/>
    <w:family w:val="auto"/>
    <w:pitch w:val="default"/>
    <w:sig w:usb0="00000001" w:usb1="080E0000" w:usb2="00000000" w:usb3="00000000" w:csb0="00040000" w:csb1="00000000"/>
    <w:embedRegular r:id="rId4" w:fontKey="{59493AF3-B192-405E-8782-8A5C05D7A1B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092192"/>
    <w:rsid w:val="613409CB"/>
    <w:rsid w:val="61A46A97"/>
    <w:rsid w:val="62DD7D21"/>
    <w:rsid w:val="65D97752"/>
    <w:rsid w:val="664C500C"/>
    <w:rsid w:val="67D111AB"/>
    <w:rsid w:val="67E833D3"/>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6186</Words>
  <Characters>6981</Characters>
  <Lines>0</Lines>
  <Paragraphs>0</Paragraphs>
  <TotalTime>5</TotalTime>
  <ScaleCrop>false</ScaleCrop>
  <LinksUpToDate>false</LinksUpToDate>
  <CharactersWithSpaces>6991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2025-09-11T09:18:05Z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