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w:t>
      </w:r>
      <w:bookmarkStart w:id="0" w:name="_GoBack"/>
      <w:r>
        <w:rPr>
          <w:rFonts w:hint="eastAsia" w:ascii="方正小标宋_GBK" w:hAnsi="宋体" w:eastAsia="方正小标宋_GBK"/>
          <w:sz w:val="44"/>
          <w:szCs w:val="44"/>
          <w:highlight w:val="none"/>
          <w:lang w:val="en-US" w:eastAsia="zh-CN"/>
        </w:rPr>
        <w:t>巴音郭楞</w:t>
      </w:r>
      <w:bookmarkEnd w:id="0"/>
      <w:r>
        <w:rPr>
          <w:rFonts w:hint="eastAsia" w:ascii="方正小标宋_GBK" w:hAnsi="宋体" w:eastAsia="方正小标宋_GBK"/>
          <w:sz w:val="44"/>
          <w:szCs w:val="44"/>
          <w:highlight w:val="none"/>
          <w:lang w:val="en-US" w:eastAsia="zh-CN"/>
        </w:rPr>
        <w:t>蒙古自治州委员会社会工作部2024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D2CC541">
      <w:r>
        <w:br w:type="page"/>
      </w:r>
    </w:p>
    <w:p w14:paraId="50E3E7FB">
      <w:pPr>
        <w:spacing w:line="640" w:lineRule="exact"/>
        <w:jc w:val="center"/>
        <w:outlineLvl w:val="1"/>
      </w:pPr>
      <w:r>
        <w:rPr>
          <w:rFonts w:ascii="黑体" w:hAnsi="黑体" w:eastAsia="黑体"/>
          <w:sz w:val="32"/>
        </w:rPr>
        <w:t>第一部分 部门概况</w:t>
      </w:r>
    </w:p>
    <w:p w14:paraId="48AA79D0">
      <w:pPr>
        <w:spacing w:line="640" w:lineRule="exact"/>
        <w:ind w:firstLine="640"/>
        <w:jc w:val="both"/>
        <w:outlineLvl w:val="2"/>
      </w:pPr>
      <w:r>
        <w:rPr>
          <w:rFonts w:ascii="黑体" w:hAnsi="黑体" w:eastAsia="黑体"/>
          <w:sz w:val="32"/>
        </w:rPr>
        <w:t>一、主要职能</w:t>
      </w:r>
    </w:p>
    <w:p w14:paraId="451D669E">
      <w:pPr>
        <w:spacing w:line="580" w:lineRule="exact"/>
        <w:ind w:firstLine="640"/>
        <w:jc w:val="both"/>
      </w:pPr>
      <w:r>
        <w:rPr>
          <w:rFonts w:ascii="仿宋_GB2312" w:hAnsi="仿宋_GB2312" w:eastAsia="仿宋_GB2312"/>
          <w:sz w:val="32"/>
        </w:rPr>
        <w:t>1.贯彻执行党中央、自治区党委相关法律、法规、规章及政策，研究相关理论、政策和规划，拟订相关政策文件并组织实施。指导各县（市）党委社会工作部门开展工作。</w:t>
      </w:r>
    </w:p>
    <w:p w14:paraId="642C86DE">
      <w:pPr>
        <w:spacing w:line="580" w:lineRule="exact"/>
        <w:ind w:firstLine="640"/>
        <w:jc w:val="both"/>
      </w:pPr>
      <w:r>
        <w:rPr>
          <w:rFonts w:ascii="仿宋_GB2312" w:hAnsi="仿宋_GB2312" w:eastAsia="仿宋_GB2312"/>
          <w:sz w:val="32"/>
        </w:rPr>
        <w:t>2.统筹指导群众利益协调、诉求表达、矛盾调处、权益保障等人民信访工作，协调解决人民群众急难愁盼的重大问题。指导人民建议征集工作，负责征集、办理公民、法人和其他组织提出的意见建议，向自治州党委、自治州人民政府及时反映公民、法人和其他组织对自治州各项事业发展提出的重要意见建议。</w:t>
      </w:r>
    </w:p>
    <w:p w14:paraId="334EC79F">
      <w:pPr>
        <w:spacing w:line="580" w:lineRule="exact"/>
        <w:ind w:firstLine="640"/>
        <w:jc w:val="both"/>
      </w:pPr>
      <w:r>
        <w:rPr>
          <w:rFonts w:ascii="仿宋_GB2312" w:hAnsi="仿宋_GB2312" w:eastAsia="仿宋_GB2312"/>
          <w:sz w:val="32"/>
        </w:rPr>
        <w:t>3.统筹推进党建引领基层治理和基层政权建设，协调推进城乡社区治理体系和治理能力建设，推进基层民主政治建设，指导监督基层群众自治制度的有效实施，健全基层群众自治机制。</w:t>
      </w:r>
    </w:p>
    <w:p w14:paraId="7718B248">
      <w:pPr>
        <w:spacing w:line="580" w:lineRule="exact"/>
        <w:ind w:firstLine="640"/>
        <w:jc w:val="both"/>
      </w:pPr>
      <w:r>
        <w:rPr>
          <w:rFonts w:ascii="仿宋_GB2312" w:hAnsi="仿宋_GB2312" w:eastAsia="仿宋_GB2312"/>
          <w:sz w:val="32"/>
        </w:rPr>
        <w:t>4.指导全州社会组织党建工作，统一领导全州性行业协会商会党的工作，协调推动行业协会商会深化改革和转型发展。</w:t>
      </w:r>
    </w:p>
    <w:p w14:paraId="267198C7">
      <w:pPr>
        <w:spacing w:line="580" w:lineRule="exact"/>
        <w:ind w:firstLine="640"/>
        <w:jc w:val="both"/>
      </w:pPr>
      <w:r>
        <w:rPr>
          <w:rFonts w:ascii="仿宋_GB2312" w:hAnsi="仿宋_GB2312" w:eastAsia="仿宋_GB2312"/>
          <w:sz w:val="32"/>
        </w:rPr>
        <w:t>5.指导全州混合所有制企业、非公有制企业和新经济组织、新社会组织、新就业群体党建工作，指导协调相关企业单位、社会组织、就业群体中党员的教育、管理、监督和服务工作，研究完善相关领域群众利益协调机制。</w:t>
      </w:r>
    </w:p>
    <w:p w14:paraId="6D44DD34">
      <w:pPr>
        <w:spacing w:line="580" w:lineRule="exact"/>
        <w:ind w:firstLine="640"/>
        <w:jc w:val="both"/>
      </w:pPr>
      <w:r>
        <w:rPr>
          <w:rFonts w:ascii="仿宋_GB2312" w:hAnsi="仿宋_GB2312" w:eastAsia="仿宋_GB2312"/>
          <w:sz w:val="32"/>
        </w:rPr>
        <w:t>6.负责全州志愿服务工作的统筹规划、协调指导、督促检查。指导社会工作人才队伍建设。</w:t>
      </w:r>
    </w:p>
    <w:p w14:paraId="1CF8A3E2">
      <w:pPr>
        <w:spacing w:line="580" w:lineRule="exact"/>
        <w:ind w:firstLine="640"/>
        <w:jc w:val="both"/>
      </w:pPr>
      <w:r>
        <w:rPr>
          <w:rFonts w:ascii="仿宋_GB2312" w:hAnsi="仿宋_GB2312" w:eastAsia="仿宋_GB2312"/>
          <w:sz w:val="32"/>
        </w:rPr>
        <w:t>7.完成自治州党委交办的其他任务。</w:t>
      </w:r>
    </w:p>
    <w:p w14:paraId="52B8A642">
      <w:pPr>
        <w:spacing w:line="640" w:lineRule="exact"/>
        <w:ind w:firstLine="640"/>
        <w:jc w:val="both"/>
        <w:outlineLvl w:val="2"/>
      </w:pPr>
      <w:r>
        <w:rPr>
          <w:rFonts w:ascii="黑体" w:hAnsi="黑体" w:eastAsia="黑体"/>
          <w:sz w:val="32"/>
        </w:rPr>
        <w:t>二、机构设置及人员情况</w:t>
      </w:r>
    </w:p>
    <w:p w14:paraId="54719ADF">
      <w:pPr>
        <w:spacing w:line="580" w:lineRule="exact"/>
        <w:ind w:firstLine="640"/>
        <w:jc w:val="both"/>
      </w:pPr>
      <w:r>
        <w:rPr>
          <w:rFonts w:ascii="仿宋_GB2312" w:hAnsi="仿宋_GB2312" w:eastAsia="仿宋_GB2312"/>
          <w:sz w:val="32"/>
        </w:rPr>
        <w:t>中共巴音郭楞蒙古自治州委员会社会工作部2024年度，实有人数6人，其中：在职人员6人，增加6人；离休人员0人，增加0人；退休人员0人,增加0人。</w:t>
      </w:r>
    </w:p>
    <w:p w14:paraId="38BC4D40">
      <w:pPr>
        <w:spacing w:line="580" w:lineRule="exact"/>
        <w:ind w:firstLine="640"/>
        <w:jc w:val="both"/>
      </w:pPr>
      <w:r>
        <w:rPr>
          <w:rFonts w:ascii="仿宋_GB2312" w:hAnsi="仿宋_GB2312" w:eastAsia="仿宋_GB2312"/>
          <w:sz w:val="32"/>
        </w:rPr>
        <w:t>中共巴音郭楞蒙古自治州委员会社会工作部无下属预算单位，下设5个科室，分别是：办公室、“两企三新”和行业协会商会党建工作科、党建引领基层治理和基层政权建设科、社会工作服务和志愿服务科、自治州社会工作事务中心。</w:t>
      </w:r>
    </w:p>
    <w:p w14:paraId="7D6C9B4D">
      <w:r>
        <w:br w:type="page"/>
      </w:r>
    </w:p>
    <w:p w14:paraId="1CF01492">
      <w:pPr>
        <w:spacing w:line="240" w:lineRule="auto"/>
        <w:jc w:val="center"/>
        <w:outlineLvl w:val="1"/>
      </w:pPr>
      <w:r>
        <w:rPr>
          <w:rFonts w:ascii="黑体" w:hAnsi="黑体" w:eastAsia="黑体"/>
          <w:sz w:val="32"/>
        </w:rPr>
        <w:t>第二部分 部门决算情况说明</w:t>
      </w:r>
    </w:p>
    <w:p w14:paraId="5665F262">
      <w:pPr>
        <w:spacing w:line="640" w:lineRule="exact"/>
        <w:ind w:firstLine="640"/>
        <w:jc w:val="both"/>
        <w:outlineLvl w:val="2"/>
      </w:pPr>
      <w:r>
        <w:rPr>
          <w:rFonts w:ascii="黑体" w:hAnsi="黑体" w:eastAsia="黑体"/>
          <w:sz w:val="32"/>
        </w:rPr>
        <w:t>一、收入支出决算总体情况说明</w:t>
      </w:r>
    </w:p>
    <w:p w14:paraId="65190552">
      <w:pPr>
        <w:spacing w:line="580" w:lineRule="exact"/>
        <w:ind w:firstLine="640"/>
        <w:jc w:val="both"/>
      </w:pPr>
      <w:r>
        <w:rPr>
          <w:rFonts w:ascii="仿宋_GB2312" w:hAnsi="仿宋_GB2312" w:eastAsia="仿宋_GB2312"/>
          <w:b/>
          <w:sz w:val="32"/>
        </w:rPr>
        <w:t>2024年度收入总计54.77万元，</w:t>
      </w:r>
      <w:r>
        <w:rPr>
          <w:rFonts w:ascii="仿宋_GB2312" w:hAnsi="仿宋_GB2312" w:eastAsia="仿宋_GB2312"/>
          <w:b w:val="0"/>
          <w:sz w:val="32"/>
        </w:rPr>
        <w:t>其中：本年收入合计54.77万元，使用非财政拨款结余（含专用结余）0.00万元，年初结转和结余0.00万元。</w:t>
      </w:r>
    </w:p>
    <w:p w14:paraId="3CB3AE01">
      <w:pPr>
        <w:spacing w:line="580" w:lineRule="exact"/>
        <w:ind w:firstLine="640"/>
        <w:jc w:val="both"/>
      </w:pPr>
      <w:r>
        <w:rPr>
          <w:rFonts w:ascii="仿宋_GB2312" w:hAnsi="仿宋_GB2312" w:eastAsia="仿宋_GB2312"/>
          <w:b/>
          <w:sz w:val="32"/>
        </w:rPr>
        <w:t>2024年度支出总计54.77万元，</w:t>
      </w:r>
      <w:r>
        <w:rPr>
          <w:rFonts w:ascii="仿宋_GB2312" w:hAnsi="仿宋_GB2312" w:eastAsia="仿宋_GB2312"/>
          <w:b w:val="0"/>
          <w:sz w:val="32"/>
        </w:rPr>
        <w:t>其中：本年支出合计54.77万元，结余分配0.00万元，年末结转和结余0.00万元。</w:t>
      </w:r>
    </w:p>
    <w:p w14:paraId="2E735783">
      <w:pPr>
        <w:spacing w:line="580" w:lineRule="exact"/>
        <w:ind w:firstLine="640"/>
        <w:jc w:val="both"/>
      </w:pPr>
      <w:r>
        <w:rPr>
          <w:rFonts w:ascii="仿宋_GB2312" w:hAnsi="仿宋_GB2312" w:eastAsia="仿宋_GB2312"/>
          <w:b w:val="0"/>
          <w:sz w:val="32"/>
        </w:rPr>
        <w:t>收入支出总体与上年相比，增加54.77万元，增长100.00%，主要原因是：本部门为新成立单位，无上年对比数据。</w:t>
      </w:r>
    </w:p>
    <w:p w14:paraId="5752AF67">
      <w:pPr>
        <w:spacing w:line="640" w:lineRule="exact"/>
        <w:ind w:firstLine="640"/>
        <w:jc w:val="both"/>
        <w:outlineLvl w:val="2"/>
      </w:pPr>
      <w:r>
        <w:rPr>
          <w:rFonts w:ascii="黑体" w:hAnsi="黑体" w:eastAsia="黑体"/>
          <w:sz w:val="32"/>
        </w:rPr>
        <w:t>二、收入决算情况说明</w:t>
      </w:r>
    </w:p>
    <w:p w14:paraId="79D85D74">
      <w:pPr>
        <w:spacing w:line="580" w:lineRule="exact"/>
        <w:ind w:firstLine="640"/>
        <w:jc w:val="both"/>
      </w:pPr>
      <w:r>
        <w:rPr>
          <w:rFonts w:ascii="仿宋_GB2312" w:hAnsi="仿宋_GB2312" w:eastAsia="仿宋_GB2312"/>
          <w:b/>
          <w:sz w:val="32"/>
        </w:rPr>
        <w:t>本年收入54.77万元，</w:t>
      </w:r>
      <w:r>
        <w:rPr>
          <w:rFonts w:ascii="仿宋_GB2312" w:hAnsi="仿宋_GB2312" w:eastAsia="仿宋_GB2312"/>
          <w:b w:val="0"/>
          <w:sz w:val="32"/>
        </w:rPr>
        <w:t>其中：财政拨款收入54.77万元，占100.00%；上级补助收入0.00万元，占0.00%；事业收入0.00万元，占0.00%；经营收入0.00万元，占0.00%；附属单位上缴收入0.00万元，占0.00%；其他收入0.00万元，占0.00%。</w:t>
      </w:r>
    </w:p>
    <w:p w14:paraId="601438A7">
      <w:pPr>
        <w:spacing w:line="640" w:lineRule="exact"/>
        <w:ind w:firstLine="640"/>
        <w:jc w:val="both"/>
        <w:outlineLvl w:val="2"/>
      </w:pPr>
      <w:r>
        <w:rPr>
          <w:rFonts w:ascii="黑体" w:hAnsi="黑体" w:eastAsia="黑体"/>
          <w:sz w:val="32"/>
        </w:rPr>
        <w:t>三、支出决算情况说明</w:t>
      </w:r>
    </w:p>
    <w:p w14:paraId="17BA5B46">
      <w:pPr>
        <w:spacing w:line="580" w:lineRule="exact"/>
        <w:ind w:firstLine="640"/>
        <w:jc w:val="both"/>
      </w:pPr>
      <w:r>
        <w:rPr>
          <w:rFonts w:ascii="仿宋_GB2312" w:hAnsi="仿宋_GB2312" w:eastAsia="仿宋_GB2312"/>
          <w:b/>
          <w:sz w:val="32"/>
        </w:rPr>
        <w:t>本年支出54.77万元，</w:t>
      </w:r>
      <w:r>
        <w:rPr>
          <w:rFonts w:ascii="仿宋_GB2312" w:hAnsi="仿宋_GB2312" w:eastAsia="仿宋_GB2312"/>
          <w:b w:val="0"/>
          <w:sz w:val="32"/>
        </w:rPr>
        <w:t>其中：基本支出54.77万元，占100.00%；项目支出0.00万元，占0.00%；上缴上级支出0.00万元，占0.00%；经营支出0.00万元，占0.00%；对附属单位补助支出0.00万元，占0.00%。</w:t>
      </w:r>
    </w:p>
    <w:p w14:paraId="4FA509EC">
      <w:pPr>
        <w:spacing w:line="640" w:lineRule="exact"/>
        <w:ind w:firstLine="640"/>
        <w:jc w:val="both"/>
        <w:outlineLvl w:val="2"/>
      </w:pPr>
      <w:r>
        <w:rPr>
          <w:rFonts w:ascii="黑体" w:hAnsi="黑体" w:eastAsia="黑体"/>
          <w:sz w:val="32"/>
        </w:rPr>
        <w:t>四、财政拨款收入支出决算总体情况说明</w:t>
      </w:r>
    </w:p>
    <w:p w14:paraId="04160568">
      <w:pPr>
        <w:spacing w:line="580" w:lineRule="exact"/>
        <w:ind w:firstLine="640"/>
        <w:jc w:val="both"/>
      </w:pPr>
      <w:r>
        <w:rPr>
          <w:rFonts w:ascii="仿宋_GB2312" w:hAnsi="仿宋_GB2312" w:eastAsia="仿宋_GB2312"/>
          <w:b/>
          <w:sz w:val="32"/>
        </w:rPr>
        <w:t>2024年度财政拨款收入总计54.77万元，</w:t>
      </w:r>
      <w:r>
        <w:rPr>
          <w:rFonts w:ascii="仿宋_GB2312" w:hAnsi="仿宋_GB2312" w:eastAsia="仿宋_GB2312"/>
          <w:b w:val="0"/>
          <w:sz w:val="32"/>
        </w:rPr>
        <w:t>其中：年初财政拨款结转和结余0.00万元，本年财政拨款收入54.77万元。</w:t>
      </w:r>
      <w:r>
        <w:rPr>
          <w:rFonts w:ascii="仿宋_GB2312" w:hAnsi="仿宋_GB2312" w:eastAsia="仿宋_GB2312"/>
          <w:b/>
          <w:sz w:val="32"/>
        </w:rPr>
        <w:t>财政拨款支出总计54.77万元，</w:t>
      </w:r>
      <w:r>
        <w:rPr>
          <w:rFonts w:ascii="仿宋_GB2312" w:hAnsi="仿宋_GB2312" w:eastAsia="仿宋_GB2312"/>
          <w:b w:val="0"/>
          <w:sz w:val="32"/>
        </w:rPr>
        <w:t>其中：年末财政拨款结转和结余0.00万元，本年财政拨款支出54.77万元。</w:t>
      </w:r>
    </w:p>
    <w:p w14:paraId="597A635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增加54.77万元，增长100.00%，主要原因是：本部门为新成立单位，无上年对比数据。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年初预算数155.64万元，决算数54.77万元，预决算差异率-64.81%，主要原因是：年中调减人员经费，导致预决算存在差异。</w:t>
      </w:r>
    </w:p>
    <w:p w14:paraId="56975CEC">
      <w:pPr>
        <w:spacing w:line="640" w:lineRule="exact"/>
        <w:ind w:firstLine="640"/>
        <w:jc w:val="both"/>
        <w:outlineLvl w:val="2"/>
      </w:pPr>
      <w:r>
        <w:rPr>
          <w:rFonts w:ascii="黑体" w:hAnsi="黑体" w:eastAsia="黑体"/>
          <w:sz w:val="32"/>
        </w:rPr>
        <w:t>五、一般公共预算财政拨款支出决算情况说明</w:t>
      </w:r>
    </w:p>
    <w:p w14:paraId="0534EA99">
      <w:pPr>
        <w:spacing w:line="640" w:lineRule="exact"/>
        <w:ind w:firstLine="640"/>
        <w:jc w:val="both"/>
        <w:outlineLvl w:val="3"/>
      </w:pPr>
      <w:r>
        <w:rPr>
          <w:rFonts w:ascii="楷体_GB2312" w:hAnsi="楷体_GB2312" w:eastAsia="楷体_GB2312"/>
          <w:b/>
          <w:sz w:val="32"/>
        </w:rPr>
        <w:t>（一）一般公共预算财政拨款支出决算总体情况</w:t>
      </w:r>
    </w:p>
    <w:p w14:paraId="2970823D">
      <w:pPr>
        <w:spacing w:line="580" w:lineRule="exact"/>
        <w:ind w:firstLine="640"/>
        <w:jc w:val="both"/>
      </w:pPr>
      <w:r>
        <w:rPr>
          <w:rFonts w:ascii="仿宋_GB2312" w:hAnsi="仿宋_GB2312" w:eastAsia="仿宋_GB2312"/>
          <w:b/>
          <w:sz w:val="32"/>
        </w:rPr>
        <w:t>2024年度一般公共预算财政拨款支出54.77万元，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增加54.77万元，增长100.00%，主要原因是：本部门为新成立单位，无上年对比数据。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年初预算数155.64万元，决算数54.77万元，预决算差异率-64.81%，主要原因是：年中调减人员经费，导致预决算存在差异。</w:t>
      </w:r>
    </w:p>
    <w:p w14:paraId="142E850B">
      <w:pPr>
        <w:spacing w:line="640" w:lineRule="exact"/>
        <w:ind w:firstLine="640"/>
        <w:jc w:val="both"/>
        <w:outlineLvl w:val="3"/>
      </w:pPr>
      <w:r>
        <w:rPr>
          <w:rFonts w:ascii="楷体_GB2312" w:hAnsi="楷体_GB2312" w:eastAsia="楷体_GB2312"/>
          <w:b/>
          <w:sz w:val="32"/>
        </w:rPr>
        <w:t>（二）一般公共预算财政拨款支出决算结构情况</w:t>
      </w:r>
    </w:p>
    <w:p w14:paraId="4E49E247">
      <w:pPr>
        <w:spacing w:line="580" w:lineRule="exact"/>
        <w:ind w:firstLine="640"/>
        <w:jc w:val="both"/>
      </w:pPr>
      <w:r>
        <w:rPr>
          <w:rFonts w:ascii="仿宋_GB2312" w:hAnsi="仿宋_GB2312" w:eastAsia="仿宋_GB2312"/>
          <w:b w:val="0"/>
          <w:sz w:val="32"/>
        </w:rPr>
        <w:t>1.一般公共服务支出(类)54.77万元,占100.00%。</w:t>
      </w:r>
    </w:p>
    <w:p w14:paraId="541853AE">
      <w:pPr>
        <w:spacing w:line="640" w:lineRule="exact"/>
        <w:ind w:firstLine="640"/>
        <w:jc w:val="both"/>
        <w:outlineLvl w:val="3"/>
      </w:pPr>
      <w:r>
        <w:rPr>
          <w:rFonts w:ascii="楷体_GB2312" w:hAnsi="楷体_GB2312" w:eastAsia="楷体_GB2312"/>
          <w:b/>
          <w:sz w:val="32"/>
        </w:rPr>
        <w:t>（三）一般公共预算财政拨款支出决算具体情况</w:t>
      </w:r>
    </w:p>
    <w:p w14:paraId="53E555E0">
      <w:pPr>
        <w:spacing w:line="580" w:lineRule="exact"/>
        <w:ind w:firstLine="640"/>
        <w:jc w:val="both"/>
      </w:pPr>
      <w:r>
        <w:rPr>
          <w:rFonts w:ascii="仿宋_GB2312" w:hAnsi="仿宋_GB2312" w:eastAsia="仿宋_GB2312"/>
          <w:b w:val="0"/>
          <w:sz w:val="32"/>
        </w:rPr>
        <w:t>1.一般公共服务支出(类)社会工作事务(款)行政运行(项):支出决算数为54.77万元，比上年决算增加54.77万元，增长100.00%,主要原因是：本部门为新成立单位，无上年对比数据。</w:t>
      </w:r>
    </w:p>
    <w:p w14:paraId="1093E4F5">
      <w:pPr>
        <w:spacing w:line="640" w:lineRule="exact"/>
        <w:ind w:firstLine="640"/>
        <w:jc w:val="both"/>
        <w:outlineLvl w:val="2"/>
      </w:pPr>
      <w:r>
        <w:rPr>
          <w:rFonts w:ascii="黑体" w:hAnsi="黑体" w:eastAsia="黑体"/>
          <w:sz w:val="32"/>
        </w:rPr>
        <w:t>六、一般公共预算财政拨款基本支出决算情况说明</w:t>
      </w:r>
    </w:p>
    <w:p w14:paraId="38A0F449">
      <w:pPr>
        <w:spacing w:line="580" w:lineRule="exact"/>
        <w:ind w:firstLine="640"/>
        <w:jc w:val="both"/>
      </w:pPr>
      <w:r>
        <w:rPr>
          <w:rFonts w:ascii="仿宋_GB2312" w:hAnsi="仿宋_GB2312" w:eastAsia="仿宋_GB2312"/>
          <w:b w:val="0"/>
          <w:sz w:val="32"/>
        </w:rPr>
        <w:t>2024年度一般公共预算财政拨款基本支出54.77万元，其中：</w:t>
      </w:r>
      <w:r>
        <w:rPr>
          <w:rFonts w:ascii="仿宋_GB2312" w:hAnsi="仿宋_GB2312" w:eastAsia="仿宋_GB2312"/>
          <w:b/>
          <w:sz w:val="32"/>
        </w:rPr>
        <w:t>人员经费36.96万元，</w:t>
      </w:r>
      <w:r>
        <w:rPr>
          <w:rFonts w:ascii="仿宋_GB2312" w:hAnsi="仿宋_GB2312" w:eastAsia="仿宋_GB2312"/>
          <w:b w:val="0"/>
          <w:sz w:val="32"/>
        </w:rPr>
        <w:t>包括：基本工资、津贴补贴、奖金、伙食补助费、机关事业单位基本养老保险缴费、职工基本医疗保险缴费、公务员医疗补助缴费、其他社会保障缴费、住房公积金、生活补助。</w:t>
      </w:r>
    </w:p>
    <w:p w14:paraId="465D14B5">
      <w:pPr>
        <w:spacing w:line="580" w:lineRule="exact"/>
        <w:ind w:firstLine="640"/>
        <w:jc w:val="both"/>
      </w:pPr>
      <w:r>
        <w:rPr>
          <w:rFonts w:ascii="仿宋_GB2312" w:hAnsi="仿宋_GB2312" w:eastAsia="仿宋_GB2312"/>
          <w:b/>
          <w:sz w:val="32"/>
        </w:rPr>
        <w:t>公用经费17.81万元，</w:t>
      </w:r>
      <w:r>
        <w:rPr>
          <w:rFonts w:ascii="仿宋_GB2312" w:hAnsi="仿宋_GB2312" w:eastAsia="仿宋_GB2312"/>
          <w:b w:val="0"/>
          <w:sz w:val="32"/>
        </w:rPr>
        <w:t>包括：办公费、印刷费、邮电费、取暖费、差旅费、维修（护）费、培训费、劳务费、委托业务费、其他交通费用、其他商品和服务支出、办公设备购置。</w:t>
      </w:r>
    </w:p>
    <w:p w14:paraId="70F4272B">
      <w:pPr>
        <w:spacing w:line="640" w:lineRule="exact"/>
        <w:ind w:firstLine="640"/>
        <w:jc w:val="both"/>
        <w:outlineLvl w:val="2"/>
      </w:pPr>
      <w:r>
        <w:rPr>
          <w:rFonts w:ascii="黑体" w:hAnsi="黑体" w:eastAsia="黑体"/>
          <w:sz w:val="32"/>
        </w:rPr>
        <w:t>七、政府性基金预算财政拨款收入支出决算情况说明</w:t>
      </w:r>
    </w:p>
    <w:p w14:paraId="4B399583">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58332FE8">
      <w:pPr>
        <w:spacing w:line="640" w:lineRule="exact"/>
        <w:ind w:firstLine="640"/>
        <w:jc w:val="both"/>
        <w:outlineLvl w:val="2"/>
      </w:pPr>
      <w:r>
        <w:rPr>
          <w:rFonts w:ascii="黑体" w:hAnsi="黑体" w:eastAsia="黑体"/>
          <w:sz w:val="32"/>
        </w:rPr>
        <w:t>八、国有资本经营预算财政拨款收入支出决算情况说明</w:t>
      </w:r>
    </w:p>
    <w:p w14:paraId="66CCF3D7">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74921A9A">
      <w:pPr>
        <w:spacing w:line="640" w:lineRule="exact"/>
        <w:ind w:firstLine="640"/>
        <w:jc w:val="both"/>
        <w:outlineLvl w:val="2"/>
      </w:pPr>
      <w:r>
        <w:rPr>
          <w:rFonts w:ascii="黑体" w:hAnsi="黑体" w:eastAsia="黑体"/>
          <w:sz w:val="32"/>
        </w:rPr>
        <w:t>九、财政拨款“三公”经费支出决算情况说明</w:t>
      </w:r>
    </w:p>
    <w:p w14:paraId="480F1B3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2024年未安排财政拨款“三公”经费支出。其中：因公出国（境）费支出0.00万元，占0.00%，比上年增加0.00万元，增长0.00%，主要原因是：2024年未安排因公出国（境）费支出。公务用车购置及运行维护费支出0.00万元，占0.00%，比上年增加0.00万元，增长0.00%，主要原因是：2024年未安排公务用车购置及运行维护费支出。公务接待费支出0.00万元，占0.00%，比上年增加0.00万元，增长0.00%，主要原因是：2024年未安排公务接待费支出。</w:t>
      </w:r>
    </w:p>
    <w:p w14:paraId="70B5EA0D">
      <w:pPr>
        <w:spacing w:line="580" w:lineRule="exact"/>
        <w:ind w:firstLine="640"/>
        <w:jc w:val="both"/>
      </w:pPr>
      <w:r>
        <w:rPr>
          <w:rFonts w:ascii="仿宋_GB2312" w:hAnsi="仿宋_GB2312" w:eastAsia="仿宋_GB2312"/>
          <w:b/>
          <w:sz w:val="32"/>
        </w:rPr>
        <w:t>具体情况如下：</w:t>
      </w:r>
    </w:p>
    <w:p w14:paraId="2CB20AC8">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552CBC89">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部门无公务用车运行维护费。公务用车购置数0辆，公务用车保有量0辆。国有资产占用情况中固定资产车辆0辆，与公务用车保有量差异原因是：本部门无固定资产车辆。</w:t>
      </w:r>
    </w:p>
    <w:p w14:paraId="14B47B44">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297C073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部门无财政拨款“三公”经费支出。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0.00万元，决算数0.00万元，预决算差异率0.00%，主要原因是：本部门无公务用车运行维护费。公务接待费全年预算数0.00万元，决算数0.00万元，预决算差异率0.00%，主要原因是：本部门无公务接待费。</w:t>
      </w:r>
    </w:p>
    <w:p w14:paraId="05ABF478">
      <w:pPr>
        <w:spacing w:line="640" w:lineRule="exact"/>
        <w:ind w:firstLine="640"/>
        <w:jc w:val="both"/>
        <w:outlineLvl w:val="2"/>
      </w:pPr>
      <w:r>
        <w:rPr>
          <w:rFonts w:ascii="黑体" w:hAnsi="黑体" w:eastAsia="黑体"/>
          <w:sz w:val="32"/>
        </w:rPr>
        <w:t>十、其他重要事项的情况说明</w:t>
      </w:r>
    </w:p>
    <w:p w14:paraId="325475CB">
      <w:pPr>
        <w:spacing w:line="640" w:lineRule="exact"/>
        <w:ind w:firstLine="640"/>
        <w:jc w:val="both"/>
        <w:outlineLvl w:val="3"/>
      </w:pPr>
      <w:r>
        <w:rPr>
          <w:rFonts w:ascii="楷体_GB2312" w:hAnsi="楷体_GB2312" w:eastAsia="楷体_GB2312"/>
          <w:b/>
          <w:sz w:val="32"/>
        </w:rPr>
        <w:t>（一）机关运行经费及公用经费支出情况</w:t>
      </w:r>
    </w:p>
    <w:p w14:paraId="5AC7F2B7">
      <w:pPr>
        <w:spacing w:line="580" w:lineRule="exact"/>
        <w:ind w:firstLine="640"/>
        <w:jc w:val="both"/>
      </w:pPr>
      <w:r>
        <w:rPr>
          <w:rFonts w:ascii="仿宋_GB2312" w:hAnsi="仿宋_GB2312" w:eastAsia="仿宋_GB2312"/>
          <w:b w:val="0"/>
          <w:sz w:val="32"/>
        </w:rPr>
        <w:t>2024年度中共巴音郭楞蒙古自治州委员会社会工作部（行政单位和参照公务员法管理事业单位）机关运行经费支出17.81万元，比上年增加17.81万元，增长100.00%，主要原因是：本部门为新成立单位，无上年对比数据。</w:t>
      </w:r>
    </w:p>
    <w:p w14:paraId="0A91F001">
      <w:pPr>
        <w:spacing w:line="640" w:lineRule="exact"/>
        <w:ind w:firstLine="640"/>
        <w:jc w:val="both"/>
        <w:outlineLvl w:val="3"/>
      </w:pPr>
      <w:r>
        <w:rPr>
          <w:rFonts w:ascii="楷体_GB2312" w:hAnsi="楷体_GB2312" w:eastAsia="楷体_GB2312"/>
          <w:b/>
          <w:sz w:val="32"/>
        </w:rPr>
        <w:t>（二）政府采购情况</w:t>
      </w:r>
    </w:p>
    <w:p w14:paraId="07E9285F">
      <w:pPr>
        <w:spacing w:line="580" w:lineRule="exact"/>
        <w:ind w:firstLine="640"/>
        <w:jc w:val="both"/>
      </w:pPr>
      <w:r>
        <w:rPr>
          <w:rFonts w:ascii="仿宋_GB2312" w:hAnsi="仿宋_GB2312" w:eastAsia="仿宋_GB2312"/>
          <w:b w:val="0"/>
          <w:sz w:val="32"/>
        </w:rPr>
        <w:t>2024年度政府采购支出总额1.25万元，其中：政府采购货物支出1.25万元、政府采购工程支出0.00万元、政府采购服务支出0.00万元。</w:t>
      </w:r>
    </w:p>
    <w:p w14:paraId="1B3E4CC0">
      <w:pPr>
        <w:spacing w:line="580" w:lineRule="exact"/>
        <w:ind w:firstLine="640"/>
        <w:jc w:val="both"/>
      </w:pPr>
      <w:r>
        <w:rPr>
          <w:rFonts w:ascii="仿宋_GB2312" w:hAnsi="仿宋_GB2312" w:eastAsia="仿宋_GB2312"/>
          <w:b w:val="0"/>
          <w:sz w:val="32"/>
        </w:rPr>
        <w:t>授予中小企业合同金额1.25万元，占政府采购支出总额的100.00%，其中：授予小微企业合同金额1.25万元，占政府采购支出总额的100.00%。</w:t>
      </w:r>
    </w:p>
    <w:p w14:paraId="6905A350">
      <w:pPr>
        <w:spacing w:line="640" w:lineRule="exact"/>
        <w:ind w:firstLine="640"/>
        <w:jc w:val="both"/>
        <w:outlineLvl w:val="3"/>
      </w:pPr>
      <w:r>
        <w:rPr>
          <w:rFonts w:ascii="楷体_GB2312" w:hAnsi="楷体_GB2312" w:eastAsia="楷体_GB2312"/>
          <w:b/>
          <w:sz w:val="32"/>
        </w:rPr>
        <w:t>（三）国有资产占用情况说明</w:t>
      </w:r>
    </w:p>
    <w:p w14:paraId="4D2FD36C">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部门无其他用车。单价100万元（含）以上设备（不含车辆）0台（套）。</w:t>
      </w:r>
    </w:p>
    <w:p w14:paraId="1F40D529">
      <w:pPr>
        <w:spacing w:line="640" w:lineRule="exact"/>
        <w:ind w:firstLine="640"/>
        <w:jc w:val="both"/>
        <w:outlineLvl w:val="2"/>
      </w:pPr>
      <w:r>
        <w:rPr>
          <w:rFonts w:ascii="黑体" w:hAnsi="黑体" w:eastAsia="黑体"/>
          <w:sz w:val="32"/>
        </w:rPr>
        <w:t>十一、预算绩效的情况说明</w:t>
      </w:r>
    </w:p>
    <w:p w14:paraId="195CFE19">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54.77万元，实际执行总额54.77万元；预算绩效评价项目0个，全年预算数0.00万元，全年执行数0.00万元。预算绩效管理取得的成效：2024年本部门无预算绩效项目。发现的问题及原因：2024年本部门无预算绩效项目。下一步改进措施：2024年本部门无预算绩效项目。具体附部门整体支出绩效自评表。</w:t>
      </w:r>
    </w:p>
    <w:p w14:paraId="5E670755">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CC67E66">
        <w:tblPrEx>
          <w:tblCellMar>
            <w:top w:w="0" w:type="dxa"/>
            <w:left w:w="108" w:type="dxa"/>
            <w:bottom w:w="0" w:type="dxa"/>
            <w:right w:w="108" w:type="dxa"/>
          </w:tblCellMar>
        </w:tblPrEx>
        <w:tc>
          <w:tcPr>
            <w:tcW w:w="8840" w:type="dxa"/>
            <w:gridSpan w:val="8"/>
            <w:vAlign w:val="center"/>
          </w:tcPr>
          <w:p w14:paraId="75CFF27C">
            <w:pPr>
              <w:jc w:val="center"/>
            </w:pPr>
            <w:r>
              <w:rPr>
                <w:rFonts w:ascii="宋体" w:hAnsi="宋体" w:eastAsia="宋体"/>
                <w:sz w:val="24"/>
              </w:rPr>
              <w:t>部门整体支出绩效自评表</w:t>
            </w:r>
          </w:p>
        </w:tc>
      </w:tr>
      <w:tr w14:paraId="2D9D306B">
        <w:tblPrEx>
          <w:tblCellMar>
            <w:top w:w="0" w:type="dxa"/>
            <w:left w:w="108" w:type="dxa"/>
            <w:bottom w:w="0" w:type="dxa"/>
            <w:right w:w="108" w:type="dxa"/>
          </w:tblCellMar>
        </w:tblPrEx>
        <w:tc>
          <w:tcPr>
            <w:tcW w:w="8840" w:type="dxa"/>
            <w:gridSpan w:val="8"/>
            <w:vAlign w:val="center"/>
          </w:tcPr>
          <w:p w14:paraId="5E3F7774">
            <w:pPr>
              <w:jc w:val="center"/>
            </w:pPr>
            <w:r>
              <w:rPr>
                <w:rFonts w:ascii="宋体" w:hAnsi="宋体" w:eastAsia="宋体"/>
                <w:sz w:val="24"/>
              </w:rPr>
              <w:t>（2024年度）</w:t>
            </w:r>
          </w:p>
        </w:tc>
      </w:tr>
      <w:tr w14:paraId="7A0990F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358833">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93281">
            <w:pPr>
              <w:jc w:val="center"/>
            </w:pPr>
            <w:r>
              <w:rPr>
                <w:rFonts w:ascii="宋体" w:hAnsi="宋体" w:eastAsia="宋体"/>
                <w:sz w:val="16"/>
              </w:rPr>
              <w:t>中共巴音郭楞蒙古自治州委员会社会工作部</w:t>
            </w:r>
          </w:p>
        </w:tc>
      </w:tr>
      <w:tr w14:paraId="6523939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97524">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6A5478">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F27371">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6FF3B3">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A140D2">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2B450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B5D0DC">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68C5C5">
            <w:pPr>
              <w:jc w:val="center"/>
            </w:pPr>
            <w:r>
              <w:rPr>
                <w:rFonts w:ascii="宋体" w:hAnsi="宋体" w:eastAsia="宋体"/>
                <w:sz w:val="16"/>
              </w:rPr>
              <w:t>得分</w:t>
            </w:r>
          </w:p>
        </w:tc>
      </w:tr>
      <w:tr w14:paraId="0B4F7CF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B8DA8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A53E71">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A1E262">
            <w:pPr>
              <w:jc w:val="center"/>
            </w:pPr>
            <w:r>
              <w:rPr>
                <w:rFonts w:ascii="宋体" w:hAnsi="宋体" w:eastAsia="宋体"/>
                <w:sz w:val="16"/>
              </w:rPr>
              <w:t>54.77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4B4EB4">
            <w:pPr>
              <w:jc w:val="center"/>
            </w:pPr>
            <w:r>
              <w:rPr>
                <w:rFonts w:ascii="宋体" w:hAnsi="宋体" w:eastAsia="宋体"/>
                <w:sz w:val="16"/>
              </w:rPr>
              <w:t>54.77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E23A7C">
            <w:pPr>
              <w:jc w:val="center"/>
            </w:pPr>
            <w:r>
              <w:rPr>
                <w:rFonts w:ascii="宋体" w:hAnsi="宋体" w:eastAsia="宋体"/>
                <w:sz w:val="16"/>
              </w:rPr>
              <w:t>54.77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7E447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28EEB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AEEA56">
            <w:pPr>
              <w:jc w:val="center"/>
            </w:pPr>
            <w:r>
              <w:rPr>
                <w:rFonts w:ascii="宋体" w:hAnsi="宋体" w:eastAsia="宋体"/>
                <w:sz w:val="16"/>
              </w:rPr>
              <w:t>10</w:t>
            </w:r>
          </w:p>
        </w:tc>
      </w:tr>
      <w:tr w14:paraId="2165A43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7C824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2D8094">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DAD19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E424B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6B710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49261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D5B9C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18C844">
            <w:pPr>
              <w:jc w:val="center"/>
            </w:pPr>
            <w:r>
              <w:rPr>
                <w:rFonts w:ascii="宋体" w:hAnsi="宋体" w:eastAsia="宋体"/>
                <w:sz w:val="16"/>
              </w:rPr>
              <w:t>-</w:t>
            </w:r>
          </w:p>
        </w:tc>
      </w:tr>
      <w:tr w14:paraId="0828C5E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C73BD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E1EEF5">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5F0A20">
            <w:pPr>
              <w:jc w:val="center"/>
            </w:pPr>
            <w:r>
              <w:rPr>
                <w:rFonts w:ascii="宋体" w:hAnsi="宋体" w:eastAsia="宋体"/>
                <w:sz w:val="16"/>
              </w:rPr>
              <w:t>54.77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A1B3C6">
            <w:pPr>
              <w:jc w:val="center"/>
            </w:pPr>
            <w:r>
              <w:rPr>
                <w:rFonts w:ascii="宋体" w:hAnsi="宋体" w:eastAsia="宋体"/>
                <w:sz w:val="16"/>
              </w:rPr>
              <w:t>54.77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F23981">
            <w:pPr>
              <w:jc w:val="center"/>
            </w:pPr>
            <w:r>
              <w:rPr>
                <w:rFonts w:ascii="宋体" w:hAnsi="宋体" w:eastAsia="宋体"/>
                <w:sz w:val="16"/>
              </w:rPr>
              <w:t>54.77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2EC76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C0D4E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87BE5C">
            <w:pPr>
              <w:jc w:val="center"/>
            </w:pPr>
            <w:r>
              <w:rPr>
                <w:rFonts w:ascii="宋体" w:hAnsi="宋体" w:eastAsia="宋体"/>
                <w:sz w:val="16"/>
              </w:rPr>
              <w:t>-</w:t>
            </w:r>
          </w:p>
        </w:tc>
      </w:tr>
      <w:tr w14:paraId="4A752DC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6C757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B305F8">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AFD42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35722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B9677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6BE34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ECE4A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F11C69">
            <w:pPr>
              <w:jc w:val="center"/>
            </w:pPr>
            <w:r>
              <w:rPr>
                <w:rFonts w:ascii="宋体" w:hAnsi="宋体" w:eastAsia="宋体"/>
                <w:sz w:val="16"/>
              </w:rPr>
              <w:t>-</w:t>
            </w:r>
          </w:p>
        </w:tc>
      </w:tr>
      <w:tr w14:paraId="5F7B188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AEC31">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08C266">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53DD6A">
            <w:pPr>
              <w:jc w:val="center"/>
            </w:pPr>
            <w:r>
              <w:rPr>
                <w:rFonts w:ascii="宋体" w:hAnsi="宋体" w:eastAsia="宋体"/>
                <w:sz w:val="16"/>
              </w:rPr>
              <w:t>实际完成情况</w:t>
            </w:r>
          </w:p>
        </w:tc>
      </w:tr>
      <w:tr w14:paraId="34D02E8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BBDBD7"/>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7B9409">
            <w:pPr>
              <w:jc w:val="both"/>
            </w:pPr>
            <w:r>
              <w:rPr>
                <w:rFonts w:ascii="宋体" w:hAnsi="宋体" w:eastAsia="宋体"/>
                <w:sz w:val="16"/>
              </w:rPr>
              <w:t>以习近平新时代中国特色社会主义思想为指导，全面贯彻党的二十大和二十届二中、三中全会精神，深入学习贯彻习近平总书记关于社会工作的重要论述和重要指示精神，紧紧围绕州党委中心工作，以高质量、高水平推动社会工作各项任务落地见效。召开县市党委社会工作部部长座谈会，推动各项措施走深走实。完善党建引领基层治理协调机制，建立自治州党建引领基层治理观察联系点，加强乡镇（街道）和城乡社区治理。召开全州志愿服务优秀案例经验交流分享暨志愿服务工作推进会。</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995682">
            <w:pPr>
              <w:jc w:val="both"/>
            </w:pPr>
            <w:r>
              <w:rPr>
                <w:rFonts w:ascii="宋体" w:hAnsi="宋体" w:eastAsia="宋体"/>
                <w:sz w:val="16"/>
              </w:rPr>
              <w:t>2024年以来，始终坚持加强党对社会工作的全面领导，紧扣州党委中心工作任务，不断完善工作机制，推动社会工作高标准谋划、高效率推进、高质量落实。一是坚持系统谋划，履行好社会工作新使命。按照州党委统一部署，州党委组织部全程跟进，相关部门单位大力支持，7月25日前完成了州、县市党委社会工作部的组建工作，建立《工作规则》《部务会议事规则》等28项工作机制，召开县市党委社会工作部部长座谈会，推动各项措施走深走实。二是坚持提质增效，推动新兴领域党建新突破。聚焦“三个全覆盖”要求，完善“两新”工委运行机制，选派党建指导员2382名，推动21个新兴领域党组织创建党建品牌，引导165家非公企业投身乡村振兴和基层治理。督促指导交通运输系统建立行业党委。落实“一起益企”服务机制，帮助解决困难200余件，惠及企业1840家，切实扩大党在新兴领域的号召力凝聚力影响力。三是坚持改革创新，推进党建引领基层新治理。完善党建引领基层治理协调机制，建立中央、自治区党建引领基层治理观察联系点1个（库尔勒市兰干乡），州级联系点11个、提档升级示范点10个，不断加强乡镇（街道）和城乡社区治理。着力破解基层治理“小马拉大车”突出问题，清理规范村（社区）综合服务设施牌9365个，清理取消出具证明事项94个，持续推进为基层赋能和减负。四是坚持凝聚群众，推动新时代社会工作高质量发展。持续用好信访工作联席会议机制，推动信访工作融入社会工作新格局。召开全州志愿服务优秀案例经验交流分享暨志愿服务工作推进会，向八县一市和库尔勒经济技术开发区志愿服务队授旗。</w:t>
            </w:r>
          </w:p>
        </w:tc>
      </w:tr>
      <w:tr w14:paraId="69BB907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FEC2F2">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387FF0">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1A4A4E">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A9D02F">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B14E9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40FE1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252F0E">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CFB3BA">
            <w:pPr>
              <w:jc w:val="center"/>
            </w:pPr>
            <w:r>
              <w:rPr>
                <w:rFonts w:ascii="宋体" w:hAnsi="宋体" w:eastAsia="宋体"/>
                <w:sz w:val="16"/>
              </w:rPr>
              <w:t>得分</w:t>
            </w:r>
          </w:p>
        </w:tc>
      </w:tr>
      <w:tr w14:paraId="2FE1218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AA9E9">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4454C">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E5BEA7">
            <w:pPr>
              <w:jc w:val="center"/>
            </w:pPr>
            <w:r>
              <w:rPr>
                <w:rFonts w:ascii="宋体" w:hAnsi="宋体" w:eastAsia="宋体"/>
                <w:sz w:val="16"/>
              </w:rPr>
              <w:t>召开自治州县（市）党委社会工作部部长座谈会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A96717">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97131D">
            <w:pPr>
              <w:jc w:val="center"/>
            </w:pPr>
            <w:r>
              <w:rPr>
                <w:rFonts w:ascii="宋体" w:hAnsi="宋体" w:eastAsia="宋体"/>
                <w:sz w:val="16"/>
              </w:rPr>
              <w:t>自治区地州市社会工作部部长座谈会精神</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8F32A9">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9995AA">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CCD31B">
            <w:pPr>
              <w:jc w:val="center"/>
            </w:pPr>
            <w:r>
              <w:rPr>
                <w:rFonts w:ascii="宋体" w:hAnsi="宋体" w:eastAsia="宋体"/>
                <w:sz w:val="16"/>
              </w:rPr>
              <w:t>30</w:t>
            </w:r>
          </w:p>
        </w:tc>
      </w:tr>
      <w:tr w14:paraId="3F3C204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2D06B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CBEBE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1C3009">
            <w:pPr>
              <w:jc w:val="center"/>
            </w:pPr>
            <w:r>
              <w:rPr>
                <w:rFonts w:ascii="宋体" w:hAnsi="宋体" w:eastAsia="宋体"/>
                <w:sz w:val="16"/>
              </w:rPr>
              <w:t>召开自治州志愿服务优秀案例经验交流分享暨志愿服务工作推进会</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151ACB">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5E40FC">
            <w:pPr>
              <w:jc w:val="center"/>
            </w:pPr>
            <w:r>
              <w:rPr>
                <w:rFonts w:ascii="宋体" w:hAnsi="宋体" w:eastAsia="宋体"/>
                <w:sz w:val="16"/>
              </w:rPr>
              <w:t>《关于健全新时代志愿服务体系的意见》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0C05E8">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721C0B">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BCFA3A">
            <w:pPr>
              <w:jc w:val="center"/>
            </w:pPr>
            <w:r>
              <w:rPr>
                <w:rFonts w:ascii="宋体" w:hAnsi="宋体" w:eastAsia="宋体"/>
                <w:sz w:val="16"/>
              </w:rPr>
              <w:t>30</w:t>
            </w:r>
          </w:p>
        </w:tc>
      </w:tr>
      <w:tr w14:paraId="671FD3E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D6E3D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0E1C4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0C4BC3">
            <w:pPr>
              <w:jc w:val="center"/>
            </w:pPr>
            <w:r>
              <w:rPr>
                <w:rFonts w:ascii="宋体" w:hAnsi="宋体" w:eastAsia="宋体"/>
                <w:sz w:val="16"/>
              </w:rPr>
              <w:t>建立自治州党建引领基层治理观察联系点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BEA841">
            <w:pPr>
              <w:jc w:val="center"/>
            </w:pPr>
            <w:r>
              <w:rPr>
                <w:rFonts w:ascii="宋体" w:hAnsi="宋体" w:eastAsia="宋体"/>
                <w:sz w:val="16"/>
              </w:rPr>
              <w:t>&gt;=11个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44591C">
            <w:pPr>
              <w:jc w:val="center"/>
            </w:pPr>
            <w:r>
              <w:rPr>
                <w:rFonts w:ascii="宋体" w:hAnsi="宋体" w:eastAsia="宋体"/>
                <w:sz w:val="16"/>
              </w:rPr>
              <w:t>2024年自治区党委社会工作部工作要点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DF74B9">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923EA0">
            <w:pPr>
              <w:jc w:val="center"/>
            </w:pPr>
            <w:r>
              <w:rPr>
                <w:rFonts w:ascii="宋体" w:hAnsi="宋体" w:eastAsia="宋体"/>
                <w:sz w:val="16"/>
              </w:rPr>
              <w:t>11个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16CA73">
            <w:pPr>
              <w:jc w:val="center"/>
            </w:pPr>
            <w:r>
              <w:rPr>
                <w:rFonts w:ascii="宋体" w:hAnsi="宋体" w:eastAsia="宋体"/>
                <w:sz w:val="16"/>
              </w:rPr>
              <w:t>30</w:t>
            </w:r>
          </w:p>
        </w:tc>
      </w:tr>
    </w:tbl>
    <w:p w14:paraId="597C4F39">
      <w:r>
        <w:br w:type="page"/>
      </w:r>
    </w:p>
    <w:p w14:paraId="6E7E5FA4">
      <w:pPr>
        <w:spacing w:line="640" w:lineRule="exact"/>
        <w:ind w:firstLine="640"/>
        <w:jc w:val="both"/>
        <w:outlineLvl w:val="2"/>
      </w:pPr>
      <w:r>
        <w:rPr>
          <w:rFonts w:ascii="黑体" w:hAnsi="黑体" w:eastAsia="黑体"/>
          <w:sz w:val="32"/>
        </w:rPr>
        <w:t>十二、其他需说明的事项</w:t>
      </w:r>
    </w:p>
    <w:p w14:paraId="43D9C642">
      <w:pPr>
        <w:spacing w:line="580" w:lineRule="exact"/>
        <w:ind w:firstLine="640"/>
        <w:jc w:val="both"/>
      </w:pPr>
      <w:r>
        <w:rPr>
          <w:rFonts w:ascii="仿宋_GB2312" w:hAnsi="仿宋_GB2312" w:eastAsia="仿宋_GB2312"/>
          <w:b w:val="0"/>
          <w:sz w:val="32"/>
        </w:rPr>
        <w:t>本部门无其他需说明的事项。</w:t>
      </w:r>
    </w:p>
    <w:p w14:paraId="6EF1CACE">
      <w:r>
        <w:br w:type="page"/>
      </w:r>
    </w:p>
    <w:p w14:paraId="74B5EE02">
      <w:pPr>
        <w:spacing w:line="240" w:lineRule="auto"/>
        <w:jc w:val="center"/>
        <w:outlineLvl w:val="1"/>
      </w:pPr>
      <w:r>
        <w:rPr>
          <w:rFonts w:ascii="黑体" w:hAnsi="黑体" w:eastAsia="黑体"/>
          <w:sz w:val="32"/>
        </w:rPr>
        <w:t>第三部分 专业名词解释</w:t>
      </w:r>
    </w:p>
    <w:p w14:paraId="4194F43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9BD0BB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69F040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DE1B53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34F67F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A5748E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4AD7F4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3FC0D3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BC318E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C52982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2A7C93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F6C259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E42787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2A21E2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04BD021">
      <w:r>
        <w:br w:type="page"/>
      </w:r>
    </w:p>
    <w:p w14:paraId="3B65F429">
      <w:pPr>
        <w:spacing w:line="240" w:lineRule="auto"/>
        <w:jc w:val="center"/>
        <w:outlineLvl w:val="1"/>
      </w:pPr>
      <w:r>
        <w:rPr>
          <w:rFonts w:ascii="黑体" w:hAnsi="黑体" w:eastAsia="黑体"/>
          <w:sz w:val="32"/>
        </w:rPr>
        <w:t>第四部分 部门决算报表（见附表）</w:t>
      </w:r>
    </w:p>
    <w:p w14:paraId="48C84A34">
      <w:pPr>
        <w:spacing w:line="240" w:lineRule="auto"/>
        <w:ind w:firstLine="640"/>
        <w:jc w:val="both"/>
      </w:pPr>
      <w:r>
        <w:rPr>
          <w:rFonts w:ascii="仿宋_GB2312" w:hAnsi="仿宋_GB2312" w:eastAsia="仿宋_GB2312"/>
          <w:b w:val="0"/>
          <w:sz w:val="32"/>
        </w:rPr>
        <w:t>一、《收入支出决算总表》</w:t>
      </w:r>
    </w:p>
    <w:p w14:paraId="576C58C2">
      <w:pPr>
        <w:spacing w:line="240" w:lineRule="auto"/>
        <w:ind w:firstLine="640"/>
        <w:jc w:val="both"/>
      </w:pPr>
      <w:r>
        <w:rPr>
          <w:rFonts w:ascii="仿宋_GB2312" w:hAnsi="仿宋_GB2312" w:eastAsia="仿宋_GB2312"/>
          <w:b w:val="0"/>
          <w:sz w:val="32"/>
        </w:rPr>
        <w:t>二、《收入决算表》</w:t>
      </w:r>
    </w:p>
    <w:p w14:paraId="1CB21579">
      <w:pPr>
        <w:spacing w:line="240" w:lineRule="auto"/>
        <w:ind w:firstLine="640"/>
        <w:jc w:val="both"/>
      </w:pPr>
      <w:r>
        <w:rPr>
          <w:rFonts w:ascii="仿宋_GB2312" w:hAnsi="仿宋_GB2312" w:eastAsia="仿宋_GB2312"/>
          <w:b w:val="0"/>
          <w:sz w:val="32"/>
        </w:rPr>
        <w:t>三、《支出决算表》</w:t>
      </w:r>
    </w:p>
    <w:p w14:paraId="1E690934">
      <w:pPr>
        <w:spacing w:line="240" w:lineRule="auto"/>
        <w:ind w:firstLine="640"/>
        <w:jc w:val="both"/>
      </w:pPr>
      <w:r>
        <w:rPr>
          <w:rFonts w:ascii="仿宋_GB2312" w:hAnsi="仿宋_GB2312" w:eastAsia="仿宋_GB2312"/>
          <w:b w:val="0"/>
          <w:sz w:val="32"/>
        </w:rPr>
        <w:t>四、《财政拨款收入支出决算总表》</w:t>
      </w:r>
    </w:p>
    <w:p w14:paraId="4CAFDAB7">
      <w:pPr>
        <w:spacing w:line="240" w:lineRule="auto"/>
        <w:ind w:firstLine="640"/>
        <w:jc w:val="both"/>
      </w:pPr>
      <w:r>
        <w:rPr>
          <w:rFonts w:ascii="仿宋_GB2312" w:hAnsi="仿宋_GB2312" w:eastAsia="仿宋_GB2312"/>
          <w:b w:val="0"/>
          <w:sz w:val="32"/>
        </w:rPr>
        <w:t>五、《一般公共预算财政拨款支出决算表》</w:t>
      </w:r>
    </w:p>
    <w:p w14:paraId="6317F3B8">
      <w:pPr>
        <w:spacing w:line="240" w:lineRule="auto"/>
        <w:ind w:firstLine="640"/>
        <w:jc w:val="both"/>
      </w:pPr>
      <w:r>
        <w:rPr>
          <w:rFonts w:ascii="仿宋_GB2312" w:hAnsi="仿宋_GB2312" w:eastAsia="仿宋_GB2312"/>
          <w:b w:val="0"/>
          <w:sz w:val="32"/>
        </w:rPr>
        <w:t>六、《一般公共预算财政拨款基本支出决算表》</w:t>
      </w:r>
    </w:p>
    <w:p w14:paraId="3712DB32">
      <w:pPr>
        <w:spacing w:line="240" w:lineRule="auto"/>
        <w:ind w:firstLine="640"/>
        <w:jc w:val="both"/>
      </w:pPr>
      <w:r>
        <w:rPr>
          <w:rFonts w:ascii="仿宋_GB2312" w:hAnsi="仿宋_GB2312" w:eastAsia="仿宋_GB2312"/>
          <w:b w:val="0"/>
          <w:sz w:val="32"/>
        </w:rPr>
        <w:t>七、《政府性基金预算财政拨款收入支出决算表》</w:t>
      </w:r>
    </w:p>
    <w:p w14:paraId="085F8674">
      <w:pPr>
        <w:spacing w:line="240" w:lineRule="auto"/>
        <w:ind w:firstLine="640"/>
        <w:jc w:val="both"/>
      </w:pPr>
      <w:r>
        <w:rPr>
          <w:rFonts w:ascii="仿宋_GB2312" w:hAnsi="仿宋_GB2312" w:eastAsia="仿宋_GB2312"/>
          <w:b w:val="0"/>
          <w:sz w:val="32"/>
        </w:rPr>
        <w:t>八、《国有资本经营预算财政拨款收入支出决算表》</w:t>
      </w:r>
    </w:p>
    <w:p w14:paraId="02D9B215">
      <w:pPr>
        <w:spacing w:line="240" w:lineRule="auto"/>
        <w:ind w:firstLine="640"/>
        <w:jc w:val="both"/>
      </w:pPr>
      <w:r>
        <w:rPr>
          <w:rFonts w:ascii="仿宋_GB2312" w:hAnsi="仿宋_GB2312" w:eastAsia="仿宋_GB2312"/>
          <w:b w:val="0"/>
          <w:sz w:val="32"/>
        </w:rPr>
        <w:t>九、《财政拨款“三公”经费支出决算表》</w:t>
      </w:r>
    </w:p>
    <w:p w14:paraId="497E00C3">
      <w:pPr>
        <w:spacing w:line="240" w:lineRule="auto"/>
        <w:ind w:firstLine="640"/>
        <w:jc w:val="both"/>
      </w:pPr>
    </w:p>
    <w:p w14:paraId="05A295EF">
      <w:pPr>
        <w:spacing w:line="240" w:lineRule="auto"/>
        <w:ind w:firstLine="640"/>
        <w:jc w:val="both"/>
      </w:pPr>
    </w:p>
    <w:p w14:paraId="7853595C">
      <w:pPr>
        <w:spacing w:line="240" w:lineRule="auto"/>
        <w:ind w:firstLine="640"/>
        <w:jc w:val="both"/>
      </w:pPr>
    </w:p>
    <w:p w14:paraId="22F39133">
      <w:pPr>
        <w:spacing w:line="240" w:lineRule="auto"/>
        <w:ind w:firstLine="640"/>
        <w:jc w:val="both"/>
      </w:pPr>
    </w:p>
    <w:p w14:paraId="00C78F5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71CC6B0-4689-43C0-9B9A-293F8AE8FC5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27307C1-D3AC-4E52-9DED-DFDF961BA61C}"/>
  </w:font>
  <w:font w:name="仿宋_GB2312">
    <w:panose1 w:val="02010609030101010101"/>
    <w:charset w:val="86"/>
    <w:family w:val="modern"/>
    <w:pitch w:val="default"/>
    <w:sig w:usb0="00000001" w:usb1="080E0000" w:usb2="00000000" w:usb3="00000000" w:csb0="00040000" w:csb1="00000000"/>
    <w:embedRegular r:id="rId3" w:fontKey="{25C7F96E-858C-4FAC-AB93-0C23BB4E324D}"/>
  </w:font>
  <w:font w:name="楷体_GB2312">
    <w:panose1 w:val="02010609030101010101"/>
    <w:charset w:val="86"/>
    <w:family w:val="auto"/>
    <w:pitch w:val="default"/>
    <w:sig w:usb0="00000001" w:usb1="080E0000" w:usb2="00000000" w:usb3="00000000" w:csb0="00040000" w:csb1="00000000"/>
    <w:embedRegular r:id="rId4" w:fontKey="{F595B860-92F0-49BB-BA25-D52E4894C77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A4618CE"/>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E9E15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3843</Words>
  <Characters>4362</Characters>
  <Lines>0</Lines>
  <Paragraphs>0</Paragraphs>
  <TotalTime>1</TotalTime>
  <ScaleCrop>false</ScaleCrop>
  <LinksUpToDate>false</LinksUpToDate>
  <CharactersWithSpaces>4370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2025-09-11T09:19:47Z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