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w:t>
      </w: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蒙古自治州委员会政策研究室2024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46E548">
      <w:r>
        <w:br w:type="page"/>
      </w:r>
    </w:p>
    <w:p w14:paraId="261E38D0">
      <w:pPr>
        <w:spacing w:line="640" w:lineRule="exact"/>
        <w:jc w:val="center"/>
        <w:outlineLvl w:val="1"/>
      </w:pPr>
      <w:r>
        <w:rPr>
          <w:rFonts w:ascii="黑体" w:hAnsi="黑体" w:eastAsia="黑体"/>
          <w:sz w:val="32"/>
        </w:rPr>
        <w:t>第一部分 部门概况</w:t>
      </w:r>
    </w:p>
    <w:p w14:paraId="5072829D">
      <w:pPr>
        <w:spacing w:line="640" w:lineRule="exact"/>
        <w:ind w:firstLine="640"/>
        <w:jc w:val="both"/>
        <w:outlineLvl w:val="2"/>
      </w:pPr>
      <w:r>
        <w:rPr>
          <w:rFonts w:ascii="黑体" w:hAnsi="黑体" w:eastAsia="黑体"/>
          <w:sz w:val="32"/>
        </w:rPr>
        <w:t>一、主要职能</w:t>
      </w:r>
    </w:p>
    <w:p w14:paraId="5A51D207">
      <w:pPr>
        <w:spacing w:line="580" w:lineRule="exact"/>
        <w:ind w:firstLine="640"/>
        <w:jc w:val="both"/>
      </w:pPr>
      <w:r>
        <w:rPr>
          <w:rFonts w:ascii="仿宋_GB2312" w:hAnsi="仿宋_GB2312" w:eastAsia="仿宋_GB2312"/>
          <w:sz w:val="32"/>
        </w:rPr>
        <w:t>1.根据自治州党委指示，参与起草和组织协同有关部门共同起草、修改自治州党委、自治州人民政府重要文稿。</w:t>
      </w:r>
    </w:p>
    <w:p w14:paraId="35761670">
      <w:pPr>
        <w:spacing w:line="580" w:lineRule="exact"/>
        <w:ind w:firstLine="640"/>
        <w:jc w:val="both"/>
      </w:pPr>
      <w:r>
        <w:rPr>
          <w:rFonts w:ascii="仿宋_GB2312" w:hAnsi="仿宋_GB2312" w:eastAsia="仿宋_GB2312"/>
          <w:sz w:val="32"/>
        </w:rPr>
        <w:t>2.根据自治州党委的意图和部署，围绕党的中心工作，统筹协调各县市各部门，形成合力，对自治州政治、经济、文化、生态文明、民生保障、社会稳定、改革开放、党的建设等方面的重大问题进行调查研究，提出意见和建议，供自治州党委决策参考。</w:t>
      </w:r>
    </w:p>
    <w:p w14:paraId="6CDC0A13">
      <w:pPr>
        <w:spacing w:line="580" w:lineRule="exact"/>
        <w:ind w:firstLine="640"/>
        <w:jc w:val="both"/>
      </w:pPr>
      <w:r>
        <w:rPr>
          <w:rFonts w:ascii="仿宋_GB2312" w:hAnsi="仿宋_GB2312" w:eastAsia="仿宋_GB2312"/>
          <w:sz w:val="32"/>
        </w:rPr>
        <w:t>3.组织撰写宣传、阐释党的理论和路线方针政策、治疆方略等文章和著作。</w:t>
      </w:r>
    </w:p>
    <w:p w14:paraId="61751B3A">
      <w:pPr>
        <w:spacing w:line="580" w:lineRule="exact"/>
        <w:ind w:firstLine="640"/>
        <w:jc w:val="both"/>
      </w:pPr>
      <w:r>
        <w:rPr>
          <w:rFonts w:ascii="仿宋_GB2312" w:hAnsi="仿宋_GB2312" w:eastAsia="仿宋_GB2312"/>
          <w:sz w:val="32"/>
        </w:rPr>
        <w:t>4.根据自治州党委全面深化改革委员会要求，统筹协调有关方面制定自治州改革方案和措施，协调提出巴州中长期改革规划及贯彻落实意见，协调推进兵地、军地及跨专项小组改革任务落实。</w:t>
      </w:r>
    </w:p>
    <w:p w14:paraId="7CE06425">
      <w:pPr>
        <w:spacing w:line="580" w:lineRule="exact"/>
        <w:ind w:firstLine="640"/>
        <w:jc w:val="both"/>
      </w:pPr>
      <w:r>
        <w:rPr>
          <w:rFonts w:ascii="仿宋_GB2312" w:hAnsi="仿宋_GB2312" w:eastAsia="仿宋_GB2312"/>
          <w:sz w:val="32"/>
        </w:rPr>
        <w:t>5.负责组织开展全面深化改革各个领域重要问题的政策研究；协调推动有关重要改革政策措施的制定和实施；协调开展具有引领示范作用的改革试点。汇集汇总有关改革问题的信息资料。负责对深化改革各专项小组和各县市各部门全面深化改革工作的统筹、协调、督促、检查、绩效考核，总结宣传改革经验。</w:t>
      </w:r>
    </w:p>
    <w:p w14:paraId="5CC516B7">
      <w:pPr>
        <w:spacing w:line="580" w:lineRule="exact"/>
        <w:ind w:firstLine="640"/>
        <w:jc w:val="both"/>
      </w:pPr>
      <w:r>
        <w:rPr>
          <w:rFonts w:ascii="仿宋_GB2312" w:hAnsi="仿宋_GB2312" w:eastAsia="仿宋_GB2312"/>
          <w:sz w:val="32"/>
        </w:rPr>
        <w:t>6.负责本部门党的建设、党风廉政建设和反腐败，精神文明、综合治理、安全生产等工作。</w:t>
      </w:r>
    </w:p>
    <w:p w14:paraId="704F13CA">
      <w:pPr>
        <w:spacing w:line="580" w:lineRule="exact"/>
        <w:ind w:firstLine="640"/>
        <w:jc w:val="both"/>
      </w:pPr>
      <w:r>
        <w:rPr>
          <w:rFonts w:ascii="仿宋_GB2312" w:hAnsi="仿宋_GB2312" w:eastAsia="仿宋_GB2312"/>
          <w:sz w:val="32"/>
        </w:rPr>
        <w:t>7.承办自治州党委交办的其他事项。</w:t>
      </w:r>
    </w:p>
    <w:p w14:paraId="4612199D">
      <w:pPr>
        <w:spacing w:line="640" w:lineRule="exact"/>
        <w:ind w:firstLine="640"/>
        <w:jc w:val="both"/>
        <w:outlineLvl w:val="2"/>
      </w:pPr>
      <w:r>
        <w:rPr>
          <w:rFonts w:ascii="黑体" w:hAnsi="黑体" w:eastAsia="黑体"/>
          <w:sz w:val="32"/>
        </w:rPr>
        <w:t>二、机构设置及人员情况</w:t>
      </w:r>
    </w:p>
    <w:p w14:paraId="624588A8">
      <w:pPr>
        <w:spacing w:line="580" w:lineRule="exact"/>
        <w:ind w:firstLine="640"/>
        <w:jc w:val="both"/>
      </w:pPr>
      <w:r>
        <w:rPr>
          <w:rFonts w:ascii="仿宋_GB2312" w:hAnsi="仿宋_GB2312" w:eastAsia="仿宋_GB2312"/>
          <w:sz w:val="32"/>
        </w:rPr>
        <w:t>中共巴音郭楞蒙古自治州委员会政策研究室2024年度，实有人数20人，其中：在职人员13人，增加2人；离休人员0人，增加0人；退休人员7人,增加0人。</w:t>
      </w:r>
    </w:p>
    <w:p w14:paraId="3FBF76F2">
      <w:pPr>
        <w:spacing w:line="580" w:lineRule="exact"/>
        <w:ind w:firstLine="640"/>
        <w:jc w:val="both"/>
      </w:pPr>
      <w:r>
        <w:rPr>
          <w:rFonts w:ascii="仿宋_GB2312" w:hAnsi="仿宋_GB2312" w:eastAsia="仿宋_GB2312"/>
          <w:sz w:val="32"/>
        </w:rPr>
        <w:t>中共巴音郭楞蒙古自治州委员会政策研究室无下属预算单位，下设5个科室，分别是：综合科、经济研究科、社会研究科、政治研究科、改革协调科。</w:t>
      </w:r>
    </w:p>
    <w:p w14:paraId="30C796A5">
      <w:r>
        <w:br w:type="page"/>
      </w:r>
    </w:p>
    <w:p w14:paraId="738F28C3">
      <w:pPr>
        <w:spacing w:line="240" w:lineRule="auto"/>
        <w:jc w:val="center"/>
        <w:outlineLvl w:val="1"/>
      </w:pPr>
      <w:r>
        <w:rPr>
          <w:rFonts w:ascii="黑体" w:hAnsi="黑体" w:eastAsia="黑体"/>
          <w:sz w:val="32"/>
        </w:rPr>
        <w:t>第二部分 部门决算情况说明</w:t>
      </w:r>
    </w:p>
    <w:p w14:paraId="41E2935F">
      <w:pPr>
        <w:spacing w:line="640" w:lineRule="exact"/>
        <w:ind w:firstLine="640"/>
        <w:jc w:val="both"/>
        <w:outlineLvl w:val="2"/>
      </w:pPr>
      <w:r>
        <w:rPr>
          <w:rFonts w:ascii="黑体" w:hAnsi="黑体" w:eastAsia="黑体"/>
          <w:sz w:val="32"/>
        </w:rPr>
        <w:t>一、收入支出决算总体情况说明</w:t>
      </w:r>
    </w:p>
    <w:p w14:paraId="143D38A0">
      <w:pPr>
        <w:spacing w:line="580" w:lineRule="exact"/>
        <w:ind w:firstLine="640"/>
        <w:jc w:val="both"/>
      </w:pPr>
      <w:r>
        <w:rPr>
          <w:rFonts w:ascii="仿宋_GB2312" w:hAnsi="仿宋_GB2312" w:eastAsia="仿宋_GB2312"/>
          <w:b/>
          <w:sz w:val="32"/>
        </w:rPr>
        <w:t>2024年度收入总计256.89万元，</w:t>
      </w:r>
      <w:r>
        <w:rPr>
          <w:rFonts w:ascii="仿宋_GB2312" w:hAnsi="仿宋_GB2312" w:eastAsia="仿宋_GB2312"/>
          <w:b w:val="0"/>
          <w:sz w:val="32"/>
        </w:rPr>
        <w:t>其中：本年收入合计256.89万元，使用非财政拨款结余（含专用结余）0.00万元，年初结转和结余0.00万元。</w:t>
      </w:r>
    </w:p>
    <w:p w14:paraId="050CDB04">
      <w:pPr>
        <w:spacing w:line="580" w:lineRule="exact"/>
        <w:ind w:firstLine="640"/>
        <w:jc w:val="both"/>
      </w:pPr>
      <w:r>
        <w:rPr>
          <w:rFonts w:ascii="仿宋_GB2312" w:hAnsi="仿宋_GB2312" w:eastAsia="仿宋_GB2312"/>
          <w:b/>
          <w:sz w:val="32"/>
        </w:rPr>
        <w:t>2024年度支出总计256.89万元，</w:t>
      </w:r>
      <w:r>
        <w:rPr>
          <w:rFonts w:ascii="仿宋_GB2312" w:hAnsi="仿宋_GB2312" w:eastAsia="仿宋_GB2312"/>
          <w:b w:val="0"/>
          <w:sz w:val="32"/>
        </w:rPr>
        <w:t>其中：本年支出合计256.89万元，结余分配0.00万元，年末结转和结余0.00万元。</w:t>
      </w:r>
    </w:p>
    <w:p w14:paraId="40F1335E">
      <w:pPr>
        <w:spacing w:line="580" w:lineRule="exact"/>
        <w:ind w:firstLine="640"/>
        <w:jc w:val="both"/>
      </w:pPr>
      <w:r>
        <w:rPr>
          <w:rFonts w:ascii="仿宋_GB2312" w:hAnsi="仿宋_GB2312" w:eastAsia="仿宋_GB2312"/>
          <w:b w:val="0"/>
          <w:sz w:val="32"/>
        </w:rPr>
        <w:t>收入支出总体与上年相比，减少27.46万元，下降9.66%，主要原因是：本年减少改革工作交流提升项目和碳排放及消费产业发展课题研究项目。</w:t>
      </w:r>
    </w:p>
    <w:p w14:paraId="6EEDEB43">
      <w:pPr>
        <w:spacing w:line="640" w:lineRule="exact"/>
        <w:ind w:firstLine="640"/>
        <w:jc w:val="both"/>
        <w:outlineLvl w:val="2"/>
      </w:pPr>
      <w:r>
        <w:rPr>
          <w:rFonts w:ascii="黑体" w:hAnsi="黑体" w:eastAsia="黑体"/>
          <w:sz w:val="32"/>
        </w:rPr>
        <w:t>二、收入决算情况说明</w:t>
      </w:r>
    </w:p>
    <w:p w14:paraId="19377494">
      <w:pPr>
        <w:spacing w:line="580" w:lineRule="exact"/>
        <w:ind w:firstLine="640"/>
        <w:jc w:val="both"/>
      </w:pPr>
      <w:r>
        <w:rPr>
          <w:rFonts w:ascii="仿宋_GB2312" w:hAnsi="仿宋_GB2312" w:eastAsia="仿宋_GB2312"/>
          <w:b/>
          <w:sz w:val="32"/>
        </w:rPr>
        <w:t>本年收入256.89万元，</w:t>
      </w:r>
      <w:r>
        <w:rPr>
          <w:rFonts w:ascii="仿宋_GB2312" w:hAnsi="仿宋_GB2312" w:eastAsia="仿宋_GB2312"/>
          <w:b w:val="0"/>
          <w:sz w:val="32"/>
        </w:rPr>
        <w:t>其中：财政拨款收入256.89万元，占100.00%；上级补助收入0.00万元，占0.00%；事业收入0.00万元，占0.00%；经营收入0.00万元，占0.00%；附属单位上缴收入0.00万元，占0.00%；其他收入0.00万元，占0.00%。</w:t>
      </w:r>
    </w:p>
    <w:p w14:paraId="6D6FBAA6">
      <w:pPr>
        <w:spacing w:line="640" w:lineRule="exact"/>
        <w:ind w:firstLine="640"/>
        <w:jc w:val="both"/>
        <w:outlineLvl w:val="2"/>
      </w:pPr>
      <w:r>
        <w:rPr>
          <w:rFonts w:ascii="黑体" w:hAnsi="黑体" w:eastAsia="黑体"/>
          <w:sz w:val="32"/>
        </w:rPr>
        <w:t>三、支出决算情况说明</w:t>
      </w:r>
    </w:p>
    <w:p w14:paraId="404D036E">
      <w:pPr>
        <w:spacing w:line="580" w:lineRule="exact"/>
        <w:ind w:firstLine="640"/>
        <w:jc w:val="both"/>
      </w:pPr>
      <w:r>
        <w:rPr>
          <w:rFonts w:ascii="仿宋_GB2312" w:hAnsi="仿宋_GB2312" w:eastAsia="仿宋_GB2312"/>
          <w:b/>
          <w:sz w:val="32"/>
        </w:rPr>
        <w:t>本年支出256.89万元，</w:t>
      </w:r>
      <w:r>
        <w:rPr>
          <w:rFonts w:ascii="仿宋_GB2312" w:hAnsi="仿宋_GB2312" w:eastAsia="仿宋_GB2312"/>
          <w:b w:val="0"/>
          <w:sz w:val="32"/>
        </w:rPr>
        <w:t>其中：基本支出237.79万元，占92.56%；项目支出19.09万元，占7.43%；上缴上级支出0.00万元，占0.00%；经营支出0.00万元，占0.00%；对附属单位补助支出0.00万元，占0.00%。</w:t>
      </w:r>
    </w:p>
    <w:p w14:paraId="434A7383">
      <w:pPr>
        <w:spacing w:line="640" w:lineRule="exact"/>
        <w:ind w:firstLine="640"/>
        <w:jc w:val="both"/>
        <w:outlineLvl w:val="2"/>
      </w:pPr>
      <w:r>
        <w:rPr>
          <w:rFonts w:ascii="黑体" w:hAnsi="黑体" w:eastAsia="黑体"/>
          <w:sz w:val="32"/>
        </w:rPr>
        <w:t>四、财政拨款收入支出决算总体情况说明</w:t>
      </w:r>
    </w:p>
    <w:p w14:paraId="7799A275">
      <w:pPr>
        <w:spacing w:line="580" w:lineRule="exact"/>
        <w:ind w:firstLine="640"/>
        <w:jc w:val="both"/>
      </w:pPr>
      <w:r>
        <w:rPr>
          <w:rFonts w:ascii="仿宋_GB2312" w:hAnsi="仿宋_GB2312" w:eastAsia="仿宋_GB2312"/>
          <w:b/>
          <w:sz w:val="32"/>
        </w:rPr>
        <w:t>2024年度财政拨款收入总计256.89万元，</w:t>
      </w:r>
      <w:r>
        <w:rPr>
          <w:rFonts w:ascii="仿宋_GB2312" w:hAnsi="仿宋_GB2312" w:eastAsia="仿宋_GB2312"/>
          <w:b w:val="0"/>
          <w:sz w:val="32"/>
        </w:rPr>
        <w:t>其中：年初财政拨款结转和结余0.00万元，本年财政拨款收入256.89万元。</w:t>
      </w:r>
      <w:r>
        <w:rPr>
          <w:rFonts w:ascii="仿宋_GB2312" w:hAnsi="仿宋_GB2312" w:eastAsia="仿宋_GB2312"/>
          <w:b/>
          <w:sz w:val="32"/>
        </w:rPr>
        <w:t>财政拨款支出总计256.89万元，</w:t>
      </w:r>
      <w:r>
        <w:rPr>
          <w:rFonts w:ascii="仿宋_GB2312" w:hAnsi="仿宋_GB2312" w:eastAsia="仿宋_GB2312"/>
          <w:b w:val="0"/>
          <w:sz w:val="32"/>
        </w:rPr>
        <w:t>其中：年末财政拨款结转和结余0.00万元，本年财政拨款支出256.89万元。</w:t>
      </w:r>
    </w:p>
    <w:p w14:paraId="25F0C22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增加23.94万元，增长10.28%，主要原因是：本年在职人员增加，在职人员工资调增、社保、公积金基数调增，人员经费增加；本年政策调研及改革督导项目资金较上年增加。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年初预算数246.41万元，决算数256.89万元，预决算差异率4.25%，主要原因是：本年在职人员增加，年中追加人员经费及人员工资、社保、公积金基数调增部分资金，导致预决算存在差异。</w:t>
      </w:r>
    </w:p>
    <w:p w14:paraId="689ED4B4">
      <w:pPr>
        <w:spacing w:line="640" w:lineRule="exact"/>
        <w:ind w:firstLine="640"/>
        <w:jc w:val="both"/>
        <w:outlineLvl w:val="2"/>
      </w:pPr>
      <w:r>
        <w:rPr>
          <w:rFonts w:ascii="黑体" w:hAnsi="黑体" w:eastAsia="黑体"/>
          <w:sz w:val="32"/>
        </w:rPr>
        <w:t>五、一般公共预算财政拨款支出决算情况说明</w:t>
      </w:r>
    </w:p>
    <w:p w14:paraId="4D250FCC">
      <w:pPr>
        <w:spacing w:line="640" w:lineRule="exact"/>
        <w:ind w:firstLine="640"/>
        <w:jc w:val="both"/>
        <w:outlineLvl w:val="3"/>
      </w:pPr>
      <w:r>
        <w:rPr>
          <w:rFonts w:ascii="楷体_GB2312" w:hAnsi="楷体_GB2312" w:eastAsia="楷体_GB2312"/>
          <w:b/>
          <w:sz w:val="32"/>
        </w:rPr>
        <w:t>（一）一般公共预算财政拨款支出决算总体情况</w:t>
      </w:r>
    </w:p>
    <w:p w14:paraId="42509651">
      <w:pPr>
        <w:spacing w:line="580" w:lineRule="exact"/>
        <w:ind w:firstLine="640"/>
        <w:jc w:val="both"/>
      </w:pPr>
      <w:r>
        <w:rPr>
          <w:rFonts w:ascii="仿宋_GB2312" w:hAnsi="仿宋_GB2312" w:eastAsia="仿宋_GB2312"/>
          <w:b/>
          <w:sz w:val="32"/>
        </w:rPr>
        <w:t>2024年度一般公共预算财政拨款支出256.89万元，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增加23.94万元，增长10.28%，主要原因是：本年在职人员增加，在职人员工资调增、社保、公积金基数调增，人员经费增加；本年政策调研及改革督导项目资金较上年增加。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年初预算数246.41万元，决算数256.89万元，预决算差异率4.25%，主要原因是：本年在职人员增加，年中追加人员经费及人员工资、社保、公积金基数调增部分资金，导致预决算存在差异。</w:t>
      </w:r>
    </w:p>
    <w:p w14:paraId="26356D07">
      <w:pPr>
        <w:spacing w:line="640" w:lineRule="exact"/>
        <w:ind w:firstLine="640"/>
        <w:jc w:val="both"/>
        <w:outlineLvl w:val="3"/>
      </w:pPr>
      <w:r>
        <w:rPr>
          <w:rFonts w:ascii="楷体_GB2312" w:hAnsi="楷体_GB2312" w:eastAsia="楷体_GB2312"/>
          <w:b/>
          <w:sz w:val="32"/>
        </w:rPr>
        <w:t>（二）一般公共预算财政拨款支出决算结构情况</w:t>
      </w:r>
    </w:p>
    <w:p w14:paraId="193B9921">
      <w:pPr>
        <w:spacing w:line="580" w:lineRule="exact"/>
        <w:ind w:firstLine="640"/>
        <w:jc w:val="both"/>
      </w:pPr>
      <w:r>
        <w:rPr>
          <w:rFonts w:ascii="仿宋_GB2312" w:hAnsi="仿宋_GB2312" w:eastAsia="仿宋_GB2312"/>
          <w:b w:val="0"/>
          <w:sz w:val="32"/>
        </w:rPr>
        <w:t>1.一般公共服务支出(类)190.46万元,占74.14%。</w:t>
      </w:r>
    </w:p>
    <w:p w14:paraId="7C466C09">
      <w:pPr>
        <w:spacing w:line="580" w:lineRule="exact"/>
        <w:ind w:firstLine="640"/>
        <w:jc w:val="both"/>
      </w:pPr>
      <w:r>
        <w:rPr>
          <w:rFonts w:ascii="仿宋_GB2312" w:hAnsi="仿宋_GB2312" w:eastAsia="仿宋_GB2312"/>
          <w:b w:val="0"/>
          <w:sz w:val="32"/>
        </w:rPr>
        <w:t>2.教育支出(类)0.47万元,占0.18%。</w:t>
      </w:r>
    </w:p>
    <w:p w14:paraId="423B33A5">
      <w:pPr>
        <w:spacing w:line="580" w:lineRule="exact"/>
        <w:ind w:firstLine="640"/>
        <w:jc w:val="both"/>
      </w:pPr>
      <w:r>
        <w:rPr>
          <w:rFonts w:ascii="仿宋_GB2312" w:hAnsi="仿宋_GB2312" w:eastAsia="仿宋_GB2312"/>
          <w:b w:val="0"/>
          <w:sz w:val="32"/>
        </w:rPr>
        <w:t>3.社会保障和就业支出(类)35.47万元,占13.81%。</w:t>
      </w:r>
    </w:p>
    <w:p w14:paraId="7B36CE72">
      <w:pPr>
        <w:spacing w:line="580" w:lineRule="exact"/>
        <w:ind w:firstLine="640"/>
        <w:jc w:val="both"/>
      </w:pPr>
      <w:r>
        <w:rPr>
          <w:rFonts w:ascii="仿宋_GB2312" w:hAnsi="仿宋_GB2312" w:eastAsia="仿宋_GB2312"/>
          <w:b w:val="0"/>
          <w:sz w:val="32"/>
        </w:rPr>
        <w:t>4.卫生健康支出(类)13.71万元,占5.34%。</w:t>
      </w:r>
    </w:p>
    <w:p w14:paraId="41E1D6EB">
      <w:pPr>
        <w:spacing w:line="580" w:lineRule="exact"/>
        <w:ind w:firstLine="640"/>
        <w:jc w:val="both"/>
      </w:pPr>
      <w:r>
        <w:rPr>
          <w:rFonts w:ascii="仿宋_GB2312" w:hAnsi="仿宋_GB2312" w:eastAsia="仿宋_GB2312"/>
          <w:b w:val="0"/>
          <w:sz w:val="32"/>
        </w:rPr>
        <w:t>5.住房保障支出(类)16.78万元,占6.53%。</w:t>
      </w:r>
    </w:p>
    <w:p w14:paraId="1AFACE66">
      <w:pPr>
        <w:spacing w:line="640" w:lineRule="exact"/>
        <w:ind w:firstLine="640"/>
        <w:jc w:val="both"/>
        <w:outlineLvl w:val="3"/>
      </w:pPr>
      <w:r>
        <w:rPr>
          <w:rFonts w:ascii="楷体_GB2312" w:hAnsi="楷体_GB2312" w:eastAsia="楷体_GB2312"/>
          <w:b/>
          <w:sz w:val="32"/>
        </w:rPr>
        <w:t>（三）一般公共预算财政拨款支出决算具体情况</w:t>
      </w:r>
    </w:p>
    <w:p w14:paraId="108B416C">
      <w:pPr>
        <w:spacing w:line="580" w:lineRule="exact"/>
        <w:ind w:firstLine="640"/>
        <w:jc w:val="both"/>
      </w:pPr>
      <w:r>
        <w:rPr>
          <w:rFonts w:ascii="仿宋_GB2312" w:hAnsi="仿宋_GB2312" w:eastAsia="仿宋_GB2312"/>
          <w:b w:val="0"/>
          <w:sz w:val="32"/>
        </w:rPr>
        <w:t>1.一般公共服务支出(类)其他共产党事务支出(款)行政运行(项):支出决算数为171.36万元，比上年决算增加24.22万元，增长16.46%,主要原因是：本年新增在职人员，人员经费增加，导致经费较上年有所增加。</w:t>
      </w:r>
    </w:p>
    <w:p w14:paraId="1C71B92E">
      <w:pPr>
        <w:spacing w:line="580" w:lineRule="exact"/>
        <w:ind w:firstLine="640"/>
        <w:jc w:val="both"/>
      </w:pPr>
      <w:r>
        <w:rPr>
          <w:rFonts w:ascii="仿宋_GB2312" w:hAnsi="仿宋_GB2312" w:eastAsia="仿宋_GB2312"/>
          <w:b w:val="0"/>
          <w:sz w:val="32"/>
        </w:rPr>
        <w:t>2.一般公共服务支出(类)其他共产党事务支出(款)一般行政管理事务(项):支出决算数为19.09万元，比上年决算增加4.51万元，增长30.93%,主要原因是：本年政策调研及改革督导项目资金较上年增加。</w:t>
      </w:r>
    </w:p>
    <w:p w14:paraId="2731546E">
      <w:pPr>
        <w:spacing w:line="580" w:lineRule="exact"/>
        <w:ind w:firstLine="640"/>
        <w:jc w:val="both"/>
      </w:pPr>
      <w:r>
        <w:rPr>
          <w:rFonts w:ascii="仿宋_GB2312" w:hAnsi="仿宋_GB2312" w:eastAsia="仿宋_GB2312"/>
          <w:b w:val="0"/>
          <w:sz w:val="32"/>
        </w:rPr>
        <w:t>3.教育支出(类)进修及培训(款)培训支出(项):支出决算数为0.47万元，比上年决算减少0.01万元，下降2.08%,主要原因是：本年度厉行节俭，减少外出培训，导致培训费较上年减少。</w:t>
      </w:r>
    </w:p>
    <w:p w14:paraId="3590DD2B">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4.社会保障和就业支出(类)行政事业单位养老支出(款)行政单位离退休(项):支出决算数为7.99万元，比上年决算增加1.55万元，增长24.07%,主要原因是：本年增加退休人员基础绩效奖，导致退休费较上年增加。</w:t>
      </w:r>
    </w:p>
    <w:p w14:paraId="1B8B603A">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21.3万元，比上年决算增加2.26万元，增长11.87%,主要原因是：本年在职人员增加，人员工资基数调增，养老缴费基数上涨，相应支出增加。</w:t>
      </w:r>
    </w:p>
    <w:p w14:paraId="4049658C">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6.社会保障和就业支出(类)行政事业单位养老支出(款)机关事业单位职业年金缴费支出(项):支出决算数为6.17万元，比上年决算增加6.17万元，增长100.00%,主要原因是：本年新增调出人员，职业年金缴费支出增加。</w:t>
      </w:r>
    </w:p>
    <w:p w14:paraId="66AED3B9">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7.社会保障和就业支出(类)抚恤(款)死亡抚恤(项):支出决算数为0.00万元，比上年决算减少21.76万元，下降100.00%,主要原因是：本年无新增死亡人员，死亡抚恤支出较上年减少。</w:t>
      </w:r>
    </w:p>
    <w:p w14:paraId="16E32132">
      <w:pPr>
        <w:spacing w:line="580" w:lineRule="exact"/>
        <w:ind w:firstLine="640"/>
        <w:jc w:val="both"/>
      </w:pPr>
      <w:r>
        <w:rPr>
          <w:rFonts w:ascii="仿宋_GB2312" w:hAnsi="仿宋_GB2312" w:eastAsia="仿宋_GB2312"/>
          <w:b w:val="0"/>
          <w:sz w:val="32"/>
        </w:rPr>
        <w:t>8.卫生健康支出(类)行政事业单位医疗(款)行政单位医疗(项):支出决算数为9.32万元，比上年决算增加1.83万元，增长24.43%,主要原因是：本年在职人员增加，行政单位医疗支出较上年增加。</w:t>
      </w:r>
    </w:p>
    <w:p w14:paraId="18D681C9">
      <w:pPr>
        <w:spacing w:line="580" w:lineRule="exact"/>
        <w:ind w:firstLine="640"/>
        <w:jc w:val="both"/>
      </w:pPr>
      <w:r>
        <w:rPr>
          <w:rFonts w:ascii="仿宋_GB2312" w:hAnsi="仿宋_GB2312" w:eastAsia="仿宋_GB2312"/>
          <w:b w:val="0"/>
          <w:sz w:val="32"/>
        </w:rPr>
        <w:t>9.卫生健康支出(类)行政事业单位医疗(款)公务员医疗补助(项):支出决算数为4.04万元，比上年决算增加0.83万元，增长25.86%,主要原因是：本年在职人员增加，公务员医疗补助较上年增加。</w:t>
      </w:r>
    </w:p>
    <w:p w14:paraId="4F895513">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0.35万元，比上年决算减少0.07万元，下降16.67%,主要原因是：因退休人员医疗保险制度改革，退休人员基本医疗不再由单位缴纳，导致经费较上年减少。</w:t>
      </w:r>
    </w:p>
    <w:p w14:paraId="7E1377C7">
      <w:pPr>
        <w:spacing w:line="580" w:lineRule="exact"/>
        <w:ind w:firstLine="640"/>
        <w:jc w:val="both"/>
      </w:pPr>
      <w:r>
        <w:rPr>
          <w:rFonts w:ascii="仿宋_GB2312" w:hAnsi="仿宋_GB2312" w:eastAsia="仿宋_GB2312"/>
          <w:b w:val="0"/>
          <w:sz w:val="32"/>
        </w:rPr>
        <w:t>11.住房保障支出(类)住房改革支出(款)住房公积金(项):支出决算数为16.78万元，比上年决算增加4.41万元，增长35.65%,主要原因是：本年在职人员增加，人员工资基数调增，公积金缴费基数上涨，相应支出增加。</w:t>
      </w:r>
    </w:p>
    <w:p w14:paraId="40D552D0">
      <w:pPr>
        <w:spacing w:line="640" w:lineRule="exact"/>
        <w:ind w:firstLine="640"/>
        <w:jc w:val="both"/>
        <w:outlineLvl w:val="2"/>
      </w:pPr>
      <w:r>
        <w:rPr>
          <w:rFonts w:ascii="黑体" w:hAnsi="黑体" w:eastAsia="黑体"/>
          <w:sz w:val="32"/>
        </w:rPr>
        <w:t>六、一般公共预算财政拨款基本支出决算情况说明</w:t>
      </w:r>
    </w:p>
    <w:p w14:paraId="6AFFC186">
      <w:pPr>
        <w:spacing w:line="580" w:lineRule="exact"/>
        <w:ind w:firstLine="640"/>
        <w:jc w:val="both"/>
      </w:pPr>
      <w:r>
        <w:rPr>
          <w:rFonts w:ascii="仿宋_GB2312" w:hAnsi="仿宋_GB2312" w:eastAsia="仿宋_GB2312"/>
          <w:b w:val="0"/>
          <w:sz w:val="32"/>
        </w:rPr>
        <w:t>2024年度一般公共预算财政拨款基本支出237.79万元，其中：</w:t>
      </w:r>
      <w:r>
        <w:rPr>
          <w:rFonts w:ascii="仿宋_GB2312" w:hAnsi="仿宋_GB2312" w:eastAsia="仿宋_GB2312"/>
          <w:b/>
          <w:sz w:val="32"/>
        </w:rPr>
        <w:t>人员经费223.76万元，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生活补助、奖励金。</w:t>
      </w:r>
    </w:p>
    <w:p w14:paraId="17B8001C">
      <w:pPr>
        <w:spacing w:line="580" w:lineRule="exact"/>
        <w:ind w:firstLine="640"/>
        <w:jc w:val="both"/>
      </w:pPr>
      <w:r>
        <w:rPr>
          <w:rFonts w:ascii="仿宋_GB2312" w:hAnsi="仿宋_GB2312" w:eastAsia="仿宋_GB2312"/>
          <w:b/>
          <w:sz w:val="32"/>
        </w:rPr>
        <w:t>公用经费14.03万元，</w:t>
      </w:r>
      <w:r>
        <w:rPr>
          <w:rFonts w:ascii="仿宋_GB2312" w:hAnsi="仿宋_GB2312" w:eastAsia="仿宋_GB2312"/>
          <w:b w:val="0"/>
          <w:sz w:val="32"/>
        </w:rPr>
        <w:t>包括：办公费、邮电费、取暖费、差旅费、培训费、工会经费、福利费、公务用车运行维护费、其他交通费用。</w:t>
      </w:r>
    </w:p>
    <w:p w14:paraId="71309580">
      <w:pPr>
        <w:spacing w:line="640" w:lineRule="exact"/>
        <w:ind w:firstLine="640"/>
        <w:jc w:val="both"/>
        <w:outlineLvl w:val="2"/>
      </w:pPr>
      <w:r>
        <w:rPr>
          <w:rFonts w:ascii="黑体" w:hAnsi="黑体" w:eastAsia="黑体"/>
          <w:sz w:val="32"/>
        </w:rPr>
        <w:t>七、政府性基金预算财政拨款收入支出决算情况说明</w:t>
      </w:r>
    </w:p>
    <w:p w14:paraId="79512292">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1CD79931">
      <w:pPr>
        <w:spacing w:line="640" w:lineRule="exact"/>
        <w:ind w:firstLine="640"/>
        <w:jc w:val="both"/>
        <w:outlineLvl w:val="2"/>
      </w:pPr>
      <w:r>
        <w:rPr>
          <w:rFonts w:ascii="黑体" w:hAnsi="黑体" w:eastAsia="黑体"/>
          <w:sz w:val="32"/>
        </w:rPr>
        <w:t>八、国有资本经营预算财政拨款收入支出决算情况说明</w:t>
      </w:r>
    </w:p>
    <w:p w14:paraId="5E912D85">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3ED9D95E">
      <w:pPr>
        <w:spacing w:line="640" w:lineRule="exact"/>
        <w:ind w:firstLine="640"/>
        <w:jc w:val="both"/>
        <w:outlineLvl w:val="2"/>
      </w:pPr>
      <w:r>
        <w:rPr>
          <w:rFonts w:ascii="黑体" w:hAnsi="黑体" w:eastAsia="黑体"/>
          <w:sz w:val="32"/>
        </w:rPr>
        <w:t>九、财政拨款“三公”经费支出决算情况说明</w:t>
      </w:r>
    </w:p>
    <w:p w14:paraId="4D94F45B">
      <w:pPr>
        <w:spacing w:line="580" w:lineRule="exact"/>
        <w:ind w:firstLine="640"/>
        <w:jc w:val="both"/>
      </w:pPr>
      <w:r>
        <w:rPr>
          <w:rFonts w:ascii="仿宋_GB2312" w:hAnsi="仿宋_GB2312" w:eastAsia="仿宋_GB2312"/>
          <w:b/>
          <w:sz w:val="32"/>
        </w:rPr>
        <w:t>2024年度财政拨款“三公”经费支出2.63万元，</w:t>
      </w:r>
      <w:r>
        <w:rPr>
          <w:rFonts w:ascii="仿宋_GB2312" w:hAnsi="仿宋_GB2312" w:eastAsia="仿宋_GB2312"/>
          <w:b w:val="0"/>
          <w:sz w:val="32"/>
        </w:rPr>
        <w:t>比上年减少3.35万元，下降56.02%，主要原因是：由于租赁新能源车辆，部分公务用车运行维护费调剂到其他交通费科目，导致财政拨款“三公”经费支出减少。其中：因公出国（境）费支出0.00万元，占0.00%，比上年增加0.00万元，增长0.00%，主要原因是：2023年与2024年均未安排因公出国（境）费支出。公务用车购置及运行维护费支出2.63万元，占100.00%，比上年减少3.35万元，下降56.02%，主要原因是：由于租赁新能源车辆，部分公务用车运行维护费调剂到其他交通费科目，导致公务用车运行维护费减少。公务接待费支出0.00万元，占0.00%，比上年增加0.00万元，增长0.00%，主要原因是：2023年与2024年均未安排公务接待费支出。</w:t>
      </w:r>
    </w:p>
    <w:p w14:paraId="4ED342AF">
      <w:pPr>
        <w:spacing w:line="580" w:lineRule="exact"/>
        <w:ind w:firstLine="640"/>
        <w:jc w:val="both"/>
      </w:pPr>
      <w:r>
        <w:rPr>
          <w:rFonts w:ascii="仿宋_GB2312" w:hAnsi="仿宋_GB2312" w:eastAsia="仿宋_GB2312"/>
          <w:b/>
          <w:sz w:val="32"/>
        </w:rPr>
        <w:t>具体情况如下：</w:t>
      </w:r>
    </w:p>
    <w:p w14:paraId="709BCA7D">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EB0C183">
      <w:pPr>
        <w:spacing w:line="580" w:lineRule="exact"/>
        <w:ind w:firstLine="640"/>
        <w:jc w:val="both"/>
      </w:pPr>
      <w:r>
        <w:rPr>
          <w:rFonts w:ascii="仿宋_GB2312" w:hAnsi="仿宋_GB2312" w:eastAsia="仿宋_GB2312"/>
          <w:b w:val="0"/>
          <w:sz w:val="32"/>
        </w:rPr>
        <w:t>公务用车购置及运行维护费2.63万元，其中：公务用车购置费0.00万元，公务用车运行维护费2.63万元。公务用车运行维护费开支内容包括车辆加油费、维修费、保险费、审车费、过路费等。公务用车购置数0辆，公务用车保有量1辆。国有资产占用情况中固定资产车辆1辆，与公务用车保有量差异原因是：本部门固定资产车辆与公务用车保有量一致无差异。</w:t>
      </w:r>
    </w:p>
    <w:p w14:paraId="69445313">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62BD693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2.63万元，决算数2.63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2.63万元，决算数2.63万元，预决算差异率0.00%，主要原因是：严格按照预算执行，预决算无差异。公务接待费全年预算数0.00万元，决算数0.00万元，预决算差异率0.00%，主要原因是：本部门无公务接待费。</w:t>
      </w:r>
    </w:p>
    <w:p w14:paraId="4F9F6A59">
      <w:pPr>
        <w:spacing w:line="640" w:lineRule="exact"/>
        <w:ind w:firstLine="640"/>
        <w:jc w:val="both"/>
        <w:outlineLvl w:val="2"/>
      </w:pPr>
      <w:r>
        <w:rPr>
          <w:rFonts w:ascii="黑体" w:hAnsi="黑体" w:eastAsia="黑体"/>
          <w:sz w:val="32"/>
        </w:rPr>
        <w:t>十、其他重要事项的情况说明</w:t>
      </w:r>
    </w:p>
    <w:p w14:paraId="1B1AEA57">
      <w:pPr>
        <w:spacing w:line="640" w:lineRule="exact"/>
        <w:ind w:firstLine="640"/>
        <w:jc w:val="both"/>
        <w:outlineLvl w:val="3"/>
      </w:pPr>
      <w:r>
        <w:rPr>
          <w:rFonts w:ascii="楷体_GB2312" w:hAnsi="楷体_GB2312" w:eastAsia="楷体_GB2312"/>
          <w:b/>
          <w:sz w:val="32"/>
        </w:rPr>
        <w:t>（一）机关运行经费及公用经费支出情况</w:t>
      </w:r>
    </w:p>
    <w:p w14:paraId="785800DE">
      <w:pPr>
        <w:spacing w:line="580" w:lineRule="exact"/>
        <w:ind w:firstLine="640"/>
        <w:jc w:val="both"/>
      </w:pPr>
      <w:r>
        <w:rPr>
          <w:rFonts w:ascii="仿宋_GB2312" w:hAnsi="仿宋_GB2312" w:eastAsia="仿宋_GB2312"/>
          <w:b w:val="0"/>
          <w:sz w:val="32"/>
        </w:rPr>
        <w:t>2024年度中共巴音郭楞蒙古自治州委员会政策研究室（行政单位和参照公务员法管理事业单位）机关运行经费支出14.03万元，比上年增加0.40万元，增长2.93%，主要原因是：本年在职人员增加，办公费用增加。</w:t>
      </w:r>
    </w:p>
    <w:p w14:paraId="24F19259">
      <w:pPr>
        <w:spacing w:line="640" w:lineRule="exact"/>
        <w:ind w:firstLine="640"/>
        <w:jc w:val="both"/>
        <w:outlineLvl w:val="3"/>
      </w:pPr>
      <w:r>
        <w:rPr>
          <w:rFonts w:ascii="楷体_GB2312" w:hAnsi="楷体_GB2312" w:eastAsia="楷体_GB2312"/>
          <w:b/>
          <w:sz w:val="32"/>
        </w:rPr>
        <w:t>（二）政府采购情况</w:t>
      </w:r>
    </w:p>
    <w:p w14:paraId="49C55B36">
      <w:pPr>
        <w:spacing w:line="580" w:lineRule="exact"/>
        <w:ind w:firstLine="640"/>
        <w:jc w:val="both"/>
      </w:pPr>
      <w:r>
        <w:rPr>
          <w:rFonts w:ascii="仿宋_GB2312" w:hAnsi="仿宋_GB2312" w:eastAsia="仿宋_GB2312"/>
          <w:b w:val="0"/>
          <w:sz w:val="32"/>
        </w:rPr>
        <w:t>2024年度政府采购支出总额6.41万元，其中：政府采购货物支出5.06万元、政府采购工程支出0.00万元、政府采购服务支出1.35万元。</w:t>
      </w:r>
    </w:p>
    <w:p w14:paraId="54634A3C">
      <w:pPr>
        <w:spacing w:line="580" w:lineRule="exact"/>
        <w:ind w:firstLine="640"/>
        <w:jc w:val="both"/>
      </w:pPr>
      <w:r>
        <w:rPr>
          <w:rFonts w:ascii="仿宋_GB2312" w:hAnsi="仿宋_GB2312" w:eastAsia="仿宋_GB2312"/>
          <w:b w:val="0"/>
          <w:sz w:val="32"/>
        </w:rPr>
        <w:t>授予中小企业合同金额6.41万元，占政府采购支出总额的100.00%，其中：授予小微企业合同金额5.94万元，占政府采购支出总额的92.67%。</w:t>
      </w:r>
    </w:p>
    <w:p w14:paraId="660FDCAF">
      <w:pPr>
        <w:spacing w:line="640" w:lineRule="exact"/>
        <w:ind w:firstLine="640"/>
        <w:jc w:val="both"/>
        <w:outlineLvl w:val="3"/>
      </w:pPr>
      <w:r>
        <w:rPr>
          <w:rFonts w:ascii="楷体_GB2312" w:hAnsi="楷体_GB2312" w:eastAsia="楷体_GB2312"/>
          <w:b/>
          <w:sz w:val="32"/>
        </w:rPr>
        <w:t>（三）国有资产占用情况说明</w:t>
      </w:r>
    </w:p>
    <w:p w14:paraId="0A011985">
      <w:pPr>
        <w:spacing w:line="580" w:lineRule="exact"/>
        <w:ind w:firstLine="640"/>
        <w:jc w:val="both"/>
      </w:pPr>
      <w:r>
        <w:rPr>
          <w:rFonts w:ascii="仿宋_GB2312" w:hAnsi="仿宋_GB2312" w:eastAsia="仿宋_GB2312"/>
          <w:b w:val="0"/>
          <w:sz w:val="32"/>
        </w:rPr>
        <w:t>截至2024年12月31日，房屋0.00平方米，价值0.00万元。车辆1辆，价值35.28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67EE610">
      <w:pPr>
        <w:spacing w:line="640" w:lineRule="exact"/>
        <w:ind w:firstLine="640"/>
        <w:jc w:val="both"/>
        <w:outlineLvl w:val="2"/>
      </w:pPr>
      <w:r>
        <w:rPr>
          <w:rFonts w:ascii="黑体" w:hAnsi="黑体" w:eastAsia="黑体"/>
          <w:sz w:val="32"/>
        </w:rPr>
        <w:t>十一、预算绩效的情况说明</w:t>
      </w:r>
    </w:p>
    <w:p w14:paraId="4EEFB1CD">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256.89万元，实际执行总额256.89万元；预算绩效评价项目1个，全年预算数19.60万元，全年执行数19.09万元。预算绩效管理取得的成效：一是</w:t>
      </w:r>
      <w:r>
        <w:rPr>
          <w:rFonts w:hint="eastAsia" w:ascii="仿宋_GB2312" w:hAnsi="仿宋_GB2312" w:eastAsia="仿宋_GB2312"/>
          <w:b w:val="0"/>
          <w:sz w:val="32"/>
          <w:lang w:val="en-US" w:eastAsia="zh-CN"/>
        </w:rPr>
        <w:t>本部门</w:t>
      </w:r>
      <w:r>
        <w:rPr>
          <w:rFonts w:ascii="仿宋_GB2312" w:hAnsi="仿宋_GB2312" w:eastAsia="仿宋_GB2312"/>
          <w:b w:val="0"/>
          <w:sz w:val="32"/>
        </w:rPr>
        <w:t>各科室在预算编制、执行过程中明确绩效目标，并对目标实现情况进行全程跟踪和考核，强化了部门的责任意识，行政效率得到有效提升；二是推动了管理机制的规范化和信息化，建立了涵盖绩效目标设定、监控、评价的全流程管理体系，形成了一套科学的指标库和评价标准，提升了管理的精准度和效率，为预算决策提供了坚实的数据支持。发现的问题及原因：在支出的资金安排和使用上仍有不可预见性，在经费支出科学化精细化管理上还有待加强。下一步改进措施：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5959396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325284E">
        <w:tblPrEx>
          <w:tblCellMar>
            <w:top w:w="0" w:type="dxa"/>
            <w:left w:w="108" w:type="dxa"/>
            <w:bottom w:w="0" w:type="dxa"/>
            <w:right w:w="108" w:type="dxa"/>
          </w:tblCellMar>
        </w:tblPrEx>
        <w:tc>
          <w:tcPr>
            <w:tcW w:w="8840" w:type="dxa"/>
            <w:gridSpan w:val="8"/>
            <w:vAlign w:val="center"/>
          </w:tcPr>
          <w:p w14:paraId="26C4F6C8">
            <w:pPr>
              <w:jc w:val="center"/>
            </w:pPr>
            <w:r>
              <w:rPr>
                <w:rFonts w:ascii="宋体" w:hAnsi="宋体" w:eastAsia="宋体"/>
                <w:sz w:val="24"/>
              </w:rPr>
              <w:t>部门整体支出绩效自评表</w:t>
            </w:r>
          </w:p>
        </w:tc>
      </w:tr>
      <w:tr w14:paraId="760DA50B">
        <w:tblPrEx>
          <w:tblCellMar>
            <w:top w:w="0" w:type="dxa"/>
            <w:left w:w="108" w:type="dxa"/>
            <w:bottom w:w="0" w:type="dxa"/>
            <w:right w:w="108" w:type="dxa"/>
          </w:tblCellMar>
        </w:tblPrEx>
        <w:tc>
          <w:tcPr>
            <w:tcW w:w="8840" w:type="dxa"/>
            <w:gridSpan w:val="8"/>
            <w:vAlign w:val="center"/>
          </w:tcPr>
          <w:p w14:paraId="6C8B6283">
            <w:pPr>
              <w:jc w:val="center"/>
            </w:pPr>
            <w:r>
              <w:rPr>
                <w:rFonts w:ascii="宋体" w:hAnsi="宋体" w:eastAsia="宋体"/>
                <w:sz w:val="24"/>
              </w:rPr>
              <w:t>（2024年度）</w:t>
            </w:r>
          </w:p>
        </w:tc>
      </w:tr>
      <w:tr w14:paraId="025E2E1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8B794">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372D0">
            <w:pPr>
              <w:jc w:val="center"/>
            </w:pPr>
            <w:r>
              <w:rPr>
                <w:rFonts w:ascii="宋体" w:hAnsi="宋体" w:eastAsia="宋体"/>
                <w:sz w:val="16"/>
              </w:rPr>
              <w:t>中共巴音郭楞蒙古自治州委员会政策研究室</w:t>
            </w:r>
          </w:p>
        </w:tc>
      </w:tr>
      <w:tr w14:paraId="5365A25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7D43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E801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BAD93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891FB5">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AD96F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48DA9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7081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E7B32">
            <w:pPr>
              <w:jc w:val="center"/>
            </w:pPr>
            <w:r>
              <w:rPr>
                <w:rFonts w:ascii="宋体" w:hAnsi="宋体" w:eastAsia="宋体"/>
                <w:sz w:val="16"/>
              </w:rPr>
              <w:t>得分</w:t>
            </w:r>
          </w:p>
        </w:tc>
      </w:tr>
      <w:tr w14:paraId="06DA17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BD8B9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4BAD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411CBC">
            <w:pPr>
              <w:jc w:val="center"/>
            </w:pPr>
            <w:r>
              <w:rPr>
                <w:rFonts w:ascii="宋体" w:hAnsi="宋体" w:eastAsia="宋体"/>
                <w:sz w:val="16"/>
              </w:rPr>
              <w:t>246.41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8D5606">
            <w:pPr>
              <w:jc w:val="center"/>
            </w:pPr>
            <w:r>
              <w:rPr>
                <w:rFonts w:ascii="宋体" w:hAnsi="宋体" w:eastAsia="宋体"/>
                <w:sz w:val="16"/>
              </w:rPr>
              <w:t>256.89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5C6D3F">
            <w:pPr>
              <w:jc w:val="center"/>
            </w:pPr>
            <w:r>
              <w:rPr>
                <w:rFonts w:ascii="宋体" w:hAnsi="宋体" w:eastAsia="宋体"/>
                <w:sz w:val="16"/>
              </w:rPr>
              <w:t>256.89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43841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79F00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2ABCE5">
            <w:pPr>
              <w:jc w:val="center"/>
            </w:pPr>
            <w:r>
              <w:rPr>
                <w:rFonts w:ascii="宋体" w:hAnsi="宋体" w:eastAsia="宋体"/>
                <w:sz w:val="16"/>
              </w:rPr>
              <w:t>10</w:t>
            </w:r>
          </w:p>
        </w:tc>
      </w:tr>
      <w:tr w14:paraId="6BE3CD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8157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5E7678">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6AAE3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0A61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42DE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F4C9D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434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61C2A">
            <w:pPr>
              <w:jc w:val="center"/>
            </w:pPr>
            <w:r>
              <w:rPr>
                <w:rFonts w:ascii="宋体" w:hAnsi="宋体" w:eastAsia="宋体"/>
                <w:sz w:val="16"/>
              </w:rPr>
              <w:t>-</w:t>
            </w:r>
          </w:p>
        </w:tc>
      </w:tr>
      <w:tr w14:paraId="793FAA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D5B92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32193">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FEC4E">
            <w:pPr>
              <w:jc w:val="center"/>
            </w:pPr>
            <w:r>
              <w:rPr>
                <w:rFonts w:ascii="宋体" w:hAnsi="宋体" w:eastAsia="宋体"/>
                <w:sz w:val="16"/>
              </w:rPr>
              <w:t>246.41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B36C5">
            <w:pPr>
              <w:jc w:val="center"/>
            </w:pPr>
            <w:r>
              <w:rPr>
                <w:rFonts w:ascii="宋体" w:hAnsi="宋体" w:eastAsia="宋体"/>
                <w:sz w:val="16"/>
              </w:rPr>
              <w:t>256.89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C5DC3">
            <w:pPr>
              <w:jc w:val="center"/>
            </w:pPr>
            <w:r>
              <w:rPr>
                <w:rFonts w:ascii="宋体" w:hAnsi="宋体" w:eastAsia="宋体"/>
                <w:sz w:val="16"/>
              </w:rPr>
              <w:t>256.89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5594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AC20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C3EE67">
            <w:pPr>
              <w:jc w:val="center"/>
            </w:pPr>
            <w:r>
              <w:rPr>
                <w:rFonts w:ascii="宋体" w:hAnsi="宋体" w:eastAsia="宋体"/>
                <w:sz w:val="16"/>
              </w:rPr>
              <w:t>-</w:t>
            </w:r>
          </w:p>
        </w:tc>
      </w:tr>
      <w:tr w14:paraId="140EF7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46217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193BA">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1A3B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5528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CA13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694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CE5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54814">
            <w:pPr>
              <w:jc w:val="center"/>
            </w:pPr>
            <w:r>
              <w:rPr>
                <w:rFonts w:ascii="宋体" w:hAnsi="宋体" w:eastAsia="宋体"/>
                <w:sz w:val="16"/>
              </w:rPr>
              <w:t>-</w:t>
            </w:r>
          </w:p>
        </w:tc>
      </w:tr>
      <w:tr w14:paraId="4866541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A9DC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F9A7F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DBCBD8">
            <w:pPr>
              <w:jc w:val="center"/>
            </w:pPr>
            <w:r>
              <w:rPr>
                <w:rFonts w:ascii="宋体" w:hAnsi="宋体" w:eastAsia="宋体"/>
                <w:sz w:val="16"/>
              </w:rPr>
              <w:t>实际完成情况</w:t>
            </w:r>
          </w:p>
        </w:tc>
      </w:tr>
      <w:tr w14:paraId="1E5D641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D6988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90141A">
            <w:pPr>
              <w:jc w:val="both"/>
            </w:pPr>
            <w:r>
              <w:rPr>
                <w:rFonts w:ascii="宋体" w:hAnsi="宋体" w:eastAsia="宋体"/>
                <w:sz w:val="16"/>
              </w:rPr>
              <w:t>自治州党委政策研究室根据自治州党委统一部署，围绕自治州党委中心工作及单位职能，坚定不移、服务大局，在自治州党委的坚强领导下，积极主动服务自治州党委工作大局，扎实做好文稿起草、调查研究、深化改革、政策宣传、机关党建、</w:t>
            </w:r>
            <w:r>
              <w:rPr>
                <w:rFonts w:hint="eastAsia" w:ascii="宋体" w:hAnsi="宋体"/>
                <w:sz w:val="16"/>
                <w:lang w:eastAsia="zh-CN"/>
              </w:rPr>
              <w:t>为民办实事</w:t>
            </w:r>
            <w:r>
              <w:rPr>
                <w:rFonts w:ascii="宋体" w:hAnsi="宋体" w:eastAsia="宋体"/>
                <w:sz w:val="16"/>
              </w:rPr>
              <w:t>共建等工作，为自治州党委决策提供参谋咨询，为自治州党委工作运转提供有力支撑，为推进全州稳定发展作出积极贡献。</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1D8FFD">
            <w:pPr>
              <w:jc w:val="both"/>
            </w:pPr>
            <w:r>
              <w:rPr>
                <w:rFonts w:ascii="宋体" w:hAnsi="宋体" w:eastAsia="宋体"/>
                <w:sz w:val="16"/>
              </w:rPr>
              <w:t>本年度</w:t>
            </w:r>
            <w:r>
              <w:rPr>
                <w:rFonts w:hint="eastAsia" w:ascii="宋体" w:hAnsi="宋体"/>
                <w:sz w:val="16"/>
                <w:lang w:eastAsia="zh-CN"/>
              </w:rPr>
              <w:t>本部门</w:t>
            </w:r>
            <w:r>
              <w:rPr>
                <w:rFonts w:ascii="宋体" w:hAnsi="宋体" w:eastAsia="宋体"/>
                <w:sz w:val="16"/>
              </w:rPr>
              <w:t>坚定不移围绕中心、服务大局，在自治州党委的坚强领导下，已完成课题调研报告10篇、重点改革项目指导任务3次、编发调研专刊5期，发挥以文辅政作用，提出参考意见，各类改革方案经领导批示采纳2次，供自治州党委决策参考，统筹协调各县市各部门，协调组织行业和专家力量对自治州重大问题调查研究，发挥参谋助手作用。</w:t>
            </w:r>
          </w:p>
        </w:tc>
      </w:tr>
      <w:tr w14:paraId="0ABC009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D10C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1BC5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F1BA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3C2FB">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9028C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72AA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64AD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D8D63">
            <w:pPr>
              <w:jc w:val="center"/>
            </w:pPr>
            <w:r>
              <w:rPr>
                <w:rFonts w:ascii="宋体" w:hAnsi="宋体" w:eastAsia="宋体"/>
                <w:sz w:val="16"/>
              </w:rPr>
              <w:t>得分</w:t>
            </w:r>
          </w:p>
        </w:tc>
      </w:tr>
      <w:tr w14:paraId="5034DC0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0303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385B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4A61D">
            <w:pPr>
              <w:jc w:val="center"/>
            </w:pPr>
            <w:r>
              <w:rPr>
                <w:rFonts w:ascii="宋体" w:hAnsi="宋体" w:eastAsia="宋体"/>
                <w:sz w:val="16"/>
              </w:rPr>
              <w:t>根据自治州党委统一部署完成课题调研报告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EF3E1">
            <w:pPr>
              <w:jc w:val="center"/>
            </w:pPr>
            <w:r>
              <w:rPr>
                <w:rFonts w:ascii="宋体" w:hAnsi="宋体" w:eastAsia="宋体"/>
                <w:sz w:val="16"/>
              </w:rPr>
              <w:t>&gt;=10篇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EB1A8A">
            <w:pPr>
              <w:jc w:val="center"/>
            </w:pPr>
            <w:r>
              <w:rPr>
                <w:rFonts w:hint="eastAsia" w:ascii="宋体" w:hAnsi="宋体"/>
                <w:sz w:val="16"/>
                <w:lang w:eastAsia="zh-CN"/>
              </w:rPr>
              <w:t>会议记录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DBE7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A89BD">
            <w:pPr>
              <w:jc w:val="center"/>
            </w:pPr>
            <w:r>
              <w:rPr>
                <w:rFonts w:ascii="宋体" w:hAnsi="宋体" w:eastAsia="宋体"/>
                <w:sz w:val="16"/>
              </w:rPr>
              <w:t>10篇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54854">
            <w:pPr>
              <w:jc w:val="center"/>
            </w:pPr>
            <w:r>
              <w:rPr>
                <w:rFonts w:ascii="宋体" w:hAnsi="宋体" w:eastAsia="宋体"/>
                <w:sz w:val="16"/>
              </w:rPr>
              <w:t>20</w:t>
            </w:r>
          </w:p>
        </w:tc>
      </w:tr>
      <w:tr w14:paraId="5288F80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15732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6CF8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B4E6E9">
            <w:pPr>
              <w:jc w:val="center"/>
            </w:pPr>
            <w:r>
              <w:rPr>
                <w:rFonts w:ascii="宋体" w:hAnsi="宋体" w:eastAsia="宋体"/>
                <w:sz w:val="16"/>
              </w:rPr>
              <w:t>重点改革项目指导次数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A9698">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386A6">
            <w:pPr>
              <w:jc w:val="center"/>
            </w:pPr>
            <w:r>
              <w:rPr>
                <w:rFonts w:hint="eastAsia" w:ascii="宋体" w:hAnsi="宋体"/>
                <w:sz w:val="16"/>
                <w:lang w:eastAsia="zh-CN"/>
              </w:rPr>
              <w:t>会议记录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56C3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EC6B8">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DC41AF">
            <w:pPr>
              <w:jc w:val="center"/>
            </w:pPr>
            <w:r>
              <w:rPr>
                <w:rFonts w:ascii="宋体" w:hAnsi="宋体" w:eastAsia="宋体"/>
                <w:sz w:val="16"/>
              </w:rPr>
              <w:t>20</w:t>
            </w:r>
          </w:p>
        </w:tc>
      </w:tr>
      <w:tr w14:paraId="5FB0D5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36EF1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35F37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56777">
            <w:pPr>
              <w:jc w:val="center"/>
            </w:pPr>
            <w:r>
              <w:rPr>
                <w:rFonts w:ascii="宋体" w:hAnsi="宋体" w:eastAsia="宋体"/>
                <w:sz w:val="16"/>
              </w:rPr>
              <w:t>编发调研专刊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73E01A">
            <w:pPr>
              <w:jc w:val="center"/>
            </w:pPr>
            <w:r>
              <w:rPr>
                <w:rFonts w:ascii="宋体" w:hAnsi="宋体" w:eastAsia="宋体"/>
                <w:sz w:val="16"/>
              </w:rPr>
              <w:t>&gt;=5期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AF06C3">
            <w:pPr>
              <w:jc w:val="center"/>
            </w:pPr>
            <w:r>
              <w:rPr>
                <w:rFonts w:hint="eastAsia" w:ascii="宋体" w:hAnsi="宋体"/>
                <w:sz w:val="16"/>
                <w:lang w:eastAsia="zh-CN"/>
              </w:rPr>
              <w:t>会议记录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1563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95473">
            <w:pPr>
              <w:jc w:val="center"/>
            </w:pPr>
            <w:r>
              <w:rPr>
                <w:rFonts w:ascii="宋体" w:hAnsi="宋体" w:eastAsia="宋体"/>
                <w:sz w:val="16"/>
              </w:rPr>
              <w:t>5期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1AA6E">
            <w:pPr>
              <w:jc w:val="center"/>
            </w:pPr>
            <w:r>
              <w:rPr>
                <w:rFonts w:ascii="宋体" w:hAnsi="宋体" w:eastAsia="宋体"/>
                <w:sz w:val="16"/>
              </w:rPr>
              <w:t>20</w:t>
            </w:r>
          </w:p>
        </w:tc>
      </w:tr>
      <w:tr w14:paraId="3A82EC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8ABE7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19AC4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3E3DC">
            <w:pPr>
              <w:jc w:val="center"/>
            </w:pPr>
            <w:r>
              <w:rPr>
                <w:rFonts w:ascii="宋体" w:hAnsi="宋体" w:eastAsia="宋体"/>
                <w:sz w:val="16"/>
              </w:rPr>
              <w:t>各类改革方案经领导批示采纳次数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27C30">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A9708">
            <w:pPr>
              <w:jc w:val="center"/>
            </w:pPr>
            <w:r>
              <w:rPr>
                <w:rFonts w:hint="eastAsia" w:ascii="宋体" w:hAnsi="宋体"/>
                <w:sz w:val="16"/>
                <w:lang w:eastAsia="zh-CN"/>
              </w:rPr>
              <w:t>会议记录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119E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6BA0C">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7015C6">
            <w:pPr>
              <w:jc w:val="center"/>
            </w:pPr>
            <w:r>
              <w:rPr>
                <w:rFonts w:ascii="宋体" w:hAnsi="宋体" w:eastAsia="宋体"/>
                <w:sz w:val="16"/>
              </w:rPr>
              <w:t>30</w:t>
            </w:r>
          </w:p>
        </w:tc>
      </w:tr>
    </w:tbl>
    <w:p w14:paraId="1D02C6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96"/>
        <w:gridCol w:w="632"/>
        <w:gridCol w:w="632"/>
      </w:tblGrid>
      <w:tr w14:paraId="6934C90B">
        <w:tblPrEx>
          <w:tblCellMar>
            <w:top w:w="0" w:type="dxa"/>
            <w:left w:w="108" w:type="dxa"/>
            <w:bottom w:w="0" w:type="dxa"/>
            <w:right w:w="108" w:type="dxa"/>
          </w:tblCellMar>
        </w:tblPrEx>
        <w:tc>
          <w:tcPr>
            <w:tcW w:w="8848" w:type="dxa"/>
            <w:gridSpan w:val="14"/>
            <w:vAlign w:val="center"/>
          </w:tcPr>
          <w:p w14:paraId="4DB93926">
            <w:pPr>
              <w:jc w:val="center"/>
            </w:pPr>
            <w:r>
              <w:rPr>
                <w:rFonts w:ascii="宋体" w:hAnsi="宋体" w:eastAsia="宋体"/>
                <w:sz w:val="24"/>
              </w:rPr>
              <w:t>项目支出绩效自评表</w:t>
            </w:r>
          </w:p>
        </w:tc>
      </w:tr>
      <w:tr w14:paraId="7BF503A1">
        <w:tblPrEx>
          <w:tblCellMar>
            <w:top w:w="0" w:type="dxa"/>
            <w:left w:w="108" w:type="dxa"/>
            <w:bottom w:w="0" w:type="dxa"/>
            <w:right w:w="108" w:type="dxa"/>
          </w:tblCellMar>
        </w:tblPrEx>
        <w:tc>
          <w:tcPr>
            <w:tcW w:w="8848" w:type="dxa"/>
            <w:gridSpan w:val="14"/>
            <w:vAlign w:val="center"/>
          </w:tcPr>
          <w:p w14:paraId="3FA6C6A8">
            <w:pPr>
              <w:jc w:val="center"/>
            </w:pPr>
            <w:r>
              <w:rPr>
                <w:rFonts w:ascii="宋体" w:hAnsi="宋体" w:eastAsia="宋体"/>
                <w:sz w:val="24"/>
              </w:rPr>
              <w:t>(2024年度)</w:t>
            </w:r>
          </w:p>
        </w:tc>
      </w:tr>
      <w:tr w14:paraId="7F509F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8D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2B6454">
            <w:pPr>
              <w:jc w:val="center"/>
            </w:pPr>
            <w:r>
              <w:rPr>
                <w:rFonts w:ascii="宋体" w:hAnsi="宋体" w:eastAsia="宋体"/>
                <w:sz w:val="16"/>
              </w:rPr>
              <w:t>政策调研及改革督导项目</w:t>
            </w:r>
          </w:p>
        </w:tc>
      </w:tr>
      <w:tr w14:paraId="2B54F2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CA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19BFF">
            <w:pPr>
              <w:jc w:val="center"/>
            </w:pPr>
            <w:r>
              <w:rPr>
                <w:rFonts w:ascii="宋体" w:hAnsi="宋体" w:eastAsia="宋体"/>
                <w:sz w:val="16"/>
              </w:rPr>
              <w:t>中共巴音郭楞蒙古自治州委员会政策研究室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0C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6A78BB">
            <w:pPr>
              <w:jc w:val="center"/>
            </w:pPr>
            <w:r>
              <w:rPr>
                <w:rFonts w:ascii="宋体" w:hAnsi="宋体" w:eastAsia="宋体"/>
                <w:sz w:val="16"/>
              </w:rPr>
              <w:t>中共巴音郭楞蒙古自治州委员会政策研究室</w:t>
            </w:r>
          </w:p>
        </w:tc>
      </w:tr>
      <w:tr w14:paraId="57ACCB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081A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D83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54C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A73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8B4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0056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0F2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4A65">
            <w:pPr>
              <w:jc w:val="center"/>
            </w:pPr>
            <w:r>
              <w:rPr>
                <w:rFonts w:ascii="宋体" w:hAnsi="宋体" w:eastAsia="宋体"/>
                <w:sz w:val="16"/>
              </w:rPr>
              <w:t>得分</w:t>
            </w:r>
          </w:p>
        </w:tc>
      </w:tr>
      <w:tr w14:paraId="3C7FA2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96C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747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A3866">
            <w:pPr>
              <w:jc w:val="center"/>
            </w:pPr>
            <w:r>
              <w:rPr>
                <w:rFonts w:ascii="宋体" w:hAnsi="宋体" w:eastAsia="宋体"/>
                <w:sz w:val="16"/>
              </w:rPr>
              <w:t>19.60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D6743">
            <w:pPr>
              <w:jc w:val="center"/>
            </w:pPr>
            <w:r>
              <w:rPr>
                <w:rFonts w:ascii="宋体" w:hAnsi="宋体" w:eastAsia="宋体"/>
                <w:sz w:val="16"/>
              </w:rPr>
              <w:t>19.60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273F4">
            <w:pPr>
              <w:jc w:val="center"/>
            </w:pPr>
            <w:r>
              <w:rPr>
                <w:rFonts w:ascii="宋体" w:hAnsi="宋体" w:eastAsia="宋体"/>
                <w:sz w:val="16"/>
              </w:rPr>
              <w:t>19.09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899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5961">
            <w:pPr>
              <w:jc w:val="center"/>
            </w:pPr>
            <w:r>
              <w:rPr>
                <w:rFonts w:ascii="宋体" w:hAnsi="宋体" w:eastAsia="宋体"/>
                <w:sz w:val="16"/>
              </w:rPr>
              <w:t>97.40%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7316">
            <w:pPr>
              <w:jc w:val="center"/>
            </w:pPr>
            <w:r>
              <w:rPr>
                <w:rFonts w:ascii="宋体" w:hAnsi="宋体" w:eastAsia="宋体"/>
                <w:sz w:val="16"/>
              </w:rPr>
              <w:t>9.35</w:t>
            </w:r>
          </w:p>
        </w:tc>
      </w:tr>
      <w:tr w14:paraId="3D02C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C46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FF3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67F9F">
            <w:pPr>
              <w:jc w:val="center"/>
            </w:pPr>
            <w:r>
              <w:rPr>
                <w:rFonts w:ascii="宋体" w:hAnsi="宋体" w:eastAsia="宋体"/>
                <w:sz w:val="16"/>
              </w:rPr>
              <w:t>19.60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E57E9">
            <w:pPr>
              <w:jc w:val="center"/>
            </w:pPr>
            <w:r>
              <w:rPr>
                <w:rFonts w:ascii="宋体" w:hAnsi="宋体" w:eastAsia="宋体"/>
                <w:sz w:val="16"/>
              </w:rPr>
              <w:t>19.60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FC090">
            <w:pPr>
              <w:jc w:val="center"/>
            </w:pPr>
            <w:r>
              <w:rPr>
                <w:rFonts w:ascii="宋体" w:hAnsi="宋体" w:eastAsia="宋体"/>
                <w:sz w:val="16"/>
              </w:rPr>
              <w:t>19.09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FA6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6CD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7875">
            <w:pPr>
              <w:jc w:val="center"/>
            </w:pPr>
            <w:r>
              <w:rPr>
                <w:rFonts w:ascii="宋体" w:hAnsi="宋体" w:eastAsia="宋体"/>
                <w:sz w:val="16"/>
              </w:rPr>
              <w:t>-</w:t>
            </w:r>
          </w:p>
        </w:tc>
      </w:tr>
      <w:tr w14:paraId="3C77F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FD0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C370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4D4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0B2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D9D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4E0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E44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CFAD">
            <w:pPr>
              <w:jc w:val="center"/>
            </w:pPr>
            <w:r>
              <w:rPr>
                <w:rFonts w:ascii="宋体" w:hAnsi="宋体" w:eastAsia="宋体"/>
                <w:sz w:val="16"/>
              </w:rPr>
              <w:t>-</w:t>
            </w:r>
          </w:p>
        </w:tc>
      </w:tr>
      <w:tr w14:paraId="4EEAEF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2CA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1B06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3ED5B7">
            <w:pPr>
              <w:jc w:val="center"/>
            </w:pPr>
            <w:r>
              <w:rPr>
                <w:rFonts w:ascii="宋体" w:hAnsi="宋体" w:eastAsia="宋体"/>
                <w:sz w:val="16"/>
              </w:rPr>
              <w:t>总体目标完成情况</w:t>
            </w:r>
          </w:p>
        </w:tc>
      </w:tr>
      <w:tr w14:paraId="7A75F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A93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54AD8">
            <w:pPr>
              <w:jc w:val="both"/>
            </w:pPr>
            <w:r>
              <w:rPr>
                <w:rFonts w:ascii="宋体" w:hAnsi="宋体" w:eastAsia="宋体"/>
                <w:sz w:val="16"/>
              </w:rPr>
              <w:t>自治州党委政策研究室根据自治州党委统一部署，围绕自治州党委中心工作及单位职能，完成目标1：去各县市调研4次，完成重点改革项目指导，完成调研报告10篇，专项改革方案经领导批示，编发调研专刊5期，并且调研报告在自治区刊物刊发以及本地媒体报道3次；目标2：及时购置日常办公用品8批次，提高单位工作效率。统筹协调各县市各部门，协调组织行业和专家力量对自治州重大问题调查研究，发挥参谋助手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E2F8A8">
            <w:pPr>
              <w:jc w:val="both"/>
            </w:pPr>
            <w:r>
              <w:rPr>
                <w:rFonts w:ascii="宋体" w:hAnsi="宋体" w:eastAsia="宋体"/>
                <w:sz w:val="16"/>
              </w:rPr>
              <w:t>本年度</w:t>
            </w:r>
            <w:r>
              <w:rPr>
                <w:rFonts w:hint="eastAsia" w:ascii="宋体" w:hAnsi="宋体"/>
                <w:sz w:val="16"/>
                <w:lang w:eastAsia="zh-CN"/>
              </w:rPr>
              <w:t>本部门</w:t>
            </w:r>
            <w:r>
              <w:rPr>
                <w:rFonts w:ascii="宋体" w:hAnsi="宋体" w:eastAsia="宋体"/>
                <w:sz w:val="16"/>
              </w:rPr>
              <w:t>根据自治州党委年度中心工作，去县市调研4次，完成课题调研报告10篇、完成重点改革项目指导任务3次、编发调研专刊5期，并在刊物刊发及媒体报道3次，改革方案经领导批示采纳2次，发挥以文辅政作用，提出参考意见，供自治州党委决策参考，发挥参谋助手作用。及时采购办公用品8批次，保障日常办公需求，提高工作效率。</w:t>
            </w:r>
          </w:p>
        </w:tc>
      </w:tr>
      <w:tr w14:paraId="6B1236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BAC4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2A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3B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38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6E7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20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16A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2A0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7E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B5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5C5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055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F21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F3D5">
            <w:pPr>
              <w:jc w:val="center"/>
            </w:pPr>
            <w:r>
              <w:rPr>
                <w:rFonts w:ascii="宋体" w:hAnsi="宋体" w:eastAsia="宋体"/>
                <w:sz w:val="16"/>
              </w:rPr>
              <w:t>偏差原因分析及改进措施</w:t>
            </w:r>
          </w:p>
        </w:tc>
      </w:tr>
      <w:tr w14:paraId="6C46D4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817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0AE0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6CF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B4DD">
            <w:pPr>
              <w:jc w:val="center"/>
            </w:pPr>
            <w:r>
              <w:rPr>
                <w:rFonts w:ascii="宋体" w:hAnsi="宋体" w:eastAsia="宋体"/>
                <w:sz w:val="16"/>
              </w:rPr>
              <w:t>调研报告数量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9883">
            <w:pPr>
              <w:jc w:val="center"/>
            </w:pPr>
            <w:r>
              <w:rPr>
                <w:rFonts w:ascii="宋体" w:hAnsi="宋体" w:eastAsia="宋体"/>
                <w:sz w:val="16"/>
              </w:rPr>
              <w:t>&gt;=10篇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3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2018">
            <w:pPr>
              <w:jc w:val="center"/>
            </w:pPr>
            <w:r>
              <w:rPr>
                <w:rFonts w:ascii="宋体" w:hAnsi="宋体" w:eastAsia="宋体"/>
                <w:sz w:val="16"/>
              </w:rPr>
              <w:t>8篇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4B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2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0F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7C8E">
            <w:pPr>
              <w:jc w:val="center"/>
            </w:pPr>
            <w:r>
              <w:rPr>
                <w:rFonts w:ascii="宋体" w:hAnsi="宋体" w:eastAsia="宋体"/>
                <w:sz w:val="16"/>
              </w:rPr>
              <w:t>=10篇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F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25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B3E7">
            <w:pPr>
              <w:jc w:val="center"/>
            </w:pPr>
          </w:p>
        </w:tc>
      </w:tr>
      <w:tr w14:paraId="79DE5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1D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8E1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353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619A">
            <w:pPr>
              <w:jc w:val="center"/>
            </w:pPr>
            <w:r>
              <w:rPr>
                <w:rFonts w:ascii="宋体" w:hAnsi="宋体" w:eastAsia="宋体"/>
                <w:sz w:val="16"/>
              </w:rPr>
              <w:t>重点改革项目指导次数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462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9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ACB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EA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68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5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B61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E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88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831A">
            <w:pPr>
              <w:jc w:val="center"/>
            </w:pPr>
          </w:p>
        </w:tc>
      </w:tr>
      <w:tr w14:paraId="77532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6F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68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A1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0262">
            <w:pPr>
              <w:jc w:val="center"/>
            </w:pPr>
            <w:r>
              <w:rPr>
                <w:rFonts w:ascii="宋体" w:hAnsi="宋体" w:eastAsia="宋体"/>
                <w:sz w:val="16"/>
              </w:rPr>
              <w:t>编发调研专刊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3C39">
            <w:pPr>
              <w:jc w:val="center"/>
            </w:pPr>
            <w:r>
              <w:rPr>
                <w:rFonts w:ascii="宋体" w:hAnsi="宋体" w:eastAsia="宋体"/>
                <w:sz w:val="16"/>
              </w:rPr>
              <w:t>&gt;=5期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9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E7A5">
            <w:pPr>
              <w:jc w:val="center"/>
            </w:pPr>
            <w:r>
              <w:rPr>
                <w:rFonts w:ascii="宋体" w:hAnsi="宋体" w:eastAsia="宋体"/>
                <w:sz w:val="16"/>
              </w:rPr>
              <w:t>6期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78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12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DE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7921">
            <w:pPr>
              <w:jc w:val="center"/>
            </w:pPr>
            <w:r>
              <w:rPr>
                <w:rFonts w:ascii="宋体" w:hAnsi="宋体" w:eastAsia="宋体"/>
                <w:sz w:val="16"/>
              </w:rPr>
              <w:t>=5期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D2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B3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8F4F">
            <w:pPr>
              <w:jc w:val="center"/>
            </w:pPr>
          </w:p>
        </w:tc>
      </w:tr>
      <w:tr w14:paraId="2CBB6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C8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6E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6D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C477">
            <w:pPr>
              <w:jc w:val="center"/>
            </w:pPr>
            <w:r>
              <w:rPr>
                <w:rFonts w:ascii="宋体" w:hAnsi="宋体" w:eastAsia="宋体"/>
                <w:sz w:val="16"/>
              </w:rPr>
              <w:t>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07D3">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2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D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36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F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62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2DD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9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D4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A776">
            <w:pPr>
              <w:jc w:val="center"/>
            </w:pPr>
          </w:p>
        </w:tc>
      </w:tr>
      <w:tr w14:paraId="05143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22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48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2B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6780">
            <w:pPr>
              <w:jc w:val="center"/>
            </w:pPr>
            <w:r>
              <w:rPr>
                <w:rFonts w:ascii="宋体" w:hAnsi="宋体" w:eastAsia="宋体"/>
                <w:sz w:val="16"/>
              </w:rPr>
              <w:t>购置办公用品批次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EAE7">
            <w:pPr>
              <w:jc w:val="center"/>
            </w:pPr>
            <w:r>
              <w:rPr>
                <w:rFonts w:ascii="宋体" w:hAnsi="宋体" w:eastAsia="宋体"/>
                <w:sz w:val="16"/>
              </w:rPr>
              <w:t>&gt;=8批次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4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A6B9">
            <w:pPr>
              <w:jc w:val="center"/>
            </w:pPr>
            <w:r>
              <w:rPr>
                <w:rFonts w:ascii="宋体" w:hAnsi="宋体" w:eastAsia="宋体"/>
                <w:sz w:val="16"/>
              </w:rPr>
              <w: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54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6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F3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D556">
            <w:pPr>
              <w:jc w:val="center"/>
            </w:pPr>
            <w:r>
              <w:rPr>
                <w:rFonts w:ascii="宋体" w:hAnsi="宋体" w:eastAsia="宋体"/>
                <w:sz w:val="16"/>
              </w:rPr>
              <w: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5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44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84FD">
            <w:pPr>
              <w:jc w:val="center"/>
            </w:pPr>
          </w:p>
        </w:tc>
      </w:tr>
      <w:tr w14:paraId="46E0E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D6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89C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F47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8F2C">
            <w:pPr>
              <w:jc w:val="center"/>
            </w:pPr>
            <w:r>
              <w:rPr>
                <w:rFonts w:ascii="宋体" w:hAnsi="宋体" w:eastAsia="宋体"/>
                <w:sz w:val="16"/>
              </w:rPr>
              <w:t>研究成果评审合格率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7F3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8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C9F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F1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7D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E3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F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0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A4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021C">
            <w:pPr>
              <w:jc w:val="center"/>
            </w:pPr>
          </w:p>
        </w:tc>
      </w:tr>
      <w:tr w14:paraId="1D3B6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7E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02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BF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3A14">
            <w:pPr>
              <w:jc w:val="center"/>
            </w:pPr>
            <w:r>
              <w:rPr>
                <w:rFonts w:ascii="宋体" w:hAnsi="宋体" w:eastAsia="宋体"/>
                <w:sz w:val="16"/>
              </w:rPr>
              <w:t>购置办公用品质量合格率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35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5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A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49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C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BC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1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E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60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AA33">
            <w:pPr>
              <w:jc w:val="center"/>
            </w:pPr>
          </w:p>
        </w:tc>
      </w:tr>
      <w:tr w14:paraId="24368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4A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5D1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36D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F772">
            <w:pPr>
              <w:jc w:val="center"/>
            </w:pPr>
            <w:r>
              <w:rPr>
                <w:rFonts w:ascii="宋体" w:hAnsi="宋体" w:eastAsia="宋体"/>
                <w:sz w:val="16"/>
              </w:rPr>
              <w:t>调研报告按期完成率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08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BD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C9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EA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0D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CF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5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5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90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F354">
            <w:pPr>
              <w:jc w:val="center"/>
            </w:pPr>
          </w:p>
        </w:tc>
      </w:tr>
      <w:tr w14:paraId="2DE27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C8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08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D7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9171">
            <w:pPr>
              <w:jc w:val="center"/>
            </w:pPr>
            <w:r>
              <w:rPr>
                <w:rFonts w:ascii="宋体" w:hAnsi="宋体" w:eastAsia="宋体"/>
                <w:sz w:val="16"/>
              </w:rPr>
              <w:t>购置办公用品及时率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D9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0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9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53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0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13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A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8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49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E096">
            <w:pPr>
              <w:jc w:val="center"/>
            </w:pPr>
          </w:p>
        </w:tc>
      </w:tr>
      <w:tr w14:paraId="7AED6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35F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50A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09E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CFD0">
            <w:pPr>
              <w:jc w:val="center"/>
            </w:pPr>
            <w:r>
              <w:rPr>
                <w:rFonts w:ascii="宋体" w:hAnsi="宋体" w:eastAsia="宋体"/>
                <w:sz w:val="16"/>
              </w:rPr>
              <w:t>调研业务费用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7A18">
            <w:pPr>
              <w:jc w:val="center"/>
            </w:pPr>
            <w:r>
              <w:rPr>
                <w:rFonts w:ascii="宋体" w:hAnsi="宋体" w:eastAsia="宋体"/>
                <w:sz w:val="16"/>
              </w:rPr>
              <w:t>&lt;=12.10万元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2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CDC1">
            <w:pPr>
              <w:jc w:val="center"/>
            </w:pPr>
            <w:r>
              <w:rPr>
                <w:rFonts w:ascii="宋体" w:hAnsi="宋体" w:eastAsia="宋体"/>
                <w:sz w:val="16"/>
              </w:rPr>
              <w:t>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7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7A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80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5161">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6A70">
            <w:pPr>
              <w:jc w:val="center"/>
            </w:pPr>
            <w:r>
              <w:rPr>
                <w:rFonts w:ascii="宋体" w:hAnsi="宋体" w:eastAsia="宋体"/>
                <w:sz w:val="16"/>
              </w:rPr>
              <w:t>95.87%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431B">
            <w:pPr>
              <w:jc w:val="center"/>
            </w:pPr>
            <w:r>
              <w:rPr>
                <w:rFonts w:ascii="宋体" w:hAnsi="宋体" w:eastAsia="宋体"/>
                <w:sz w:val="16"/>
              </w:rPr>
              <w:t>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1D24">
            <w:pPr>
              <w:jc w:val="center"/>
            </w:pPr>
            <w:r>
              <w:rPr>
                <w:rFonts w:ascii="宋体" w:hAnsi="宋体" w:eastAsia="宋体"/>
                <w:sz w:val="16"/>
              </w:rPr>
              <w:t>利用一次出差开展多次调研，减少出差次数，控制支出，下年度加强项目预算编制严谨性，精准设置指标值，减少偏差</w:t>
            </w:r>
          </w:p>
        </w:tc>
      </w:tr>
      <w:tr w14:paraId="05BCC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2C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A4F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5B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BFF7">
            <w:pPr>
              <w:jc w:val="center"/>
            </w:pPr>
            <w:r>
              <w:rPr>
                <w:rFonts w:ascii="宋体" w:hAnsi="宋体" w:eastAsia="宋体"/>
                <w:sz w:val="16"/>
              </w:rPr>
              <w:t>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9C5E">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16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97CE">
            <w:pPr>
              <w:jc w:val="center"/>
            </w:pPr>
            <w:r>
              <w:rPr>
                <w:rFonts w:ascii="宋体" w:hAnsi="宋体" w:eastAsia="宋体"/>
                <w:sz w:val="16"/>
              </w:rPr>
              <w:t>5.57万元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51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E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C0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5764">
            <w:pPr>
              <w:jc w:val="center"/>
            </w:pPr>
            <w:r>
              <w:rPr>
                <w:rFonts w:ascii="宋体" w:hAnsi="宋体" w:eastAsia="宋体"/>
                <w:sz w:val="16"/>
              </w:rPr>
              <w:t>=7.49万元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FB3D">
            <w:pPr>
              <w:jc w:val="center"/>
            </w:pPr>
            <w:r>
              <w:rPr>
                <w:rFonts w:ascii="宋体" w:hAnsi="宋体" w:eastAsia="宋体"/>
                <w:sz w:val="16"/>
              </w:rPr>
              <w:t>99.87%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28D1">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CF66">
            <w:pPr>
              <w:jc w:val="center"/>
            </w:pPr>
            <w:r>
              <w:rPr>
                <w:rFonts w:ascii="宋体" w:hAnsi="宋体" w:eastAsia="宋体"/>
                <w:sz w:val="16"/>
              </w:rPr>
              <w:t>落实过紧日子思想，控制日常支出，严禁办公用品浪费，下年度加强项目预算编制严谨性，精准设置指标值，减少偏差</w:t>
            </w:r>
          </w:p>
        </w:tc>
      </w:tr>
      <w:tr w14:paraId="558BD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8A9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0A52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F60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A5B4">
            <w:pPr>
              <w:jc w:val="center"/>
            </w:pPr>
            <w:r>
              <w:rPr>
                <w:rFonts w:ascii="宋体" w:hAnsi="宋体" w:eastAsia="宋体"/>
                <w:sz w:val="16"/>
              </w:rPr>
              <w:t>刊物刊发及媒体报道次数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362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9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77E4">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91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1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6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BCA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F2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FC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E7C0">
            <w:pPr>
              <w:jc w:val="center"/>
            </w:pPr>
          </w:p>
        </w:tc>
      </w:tr>
      <w:tr w14:paraId="57583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A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C8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A3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FF49">
            <w:pPr>
              <w:jc w:val="center"/>
            </w:pPr>
            <w:r>
              <w:rPr>
                <w:rFonts w:ascii="宋体" w:hAnsi="宋体" w:eastAsia="宋体"/>
                <w:sz w:val="16"/>
              </w:rPr>
              <w:t>各类改革方案经领导批示采纳次数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341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8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9BD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60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9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4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33C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5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3D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7B65">
            <w:pPr>
              <w:jc w:val="center"/>
            </w:pPr>
          </w:p>
        </w:tc>
      </w:tr>
      <w:tr w14:paraId="0D34B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E5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8B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AB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41A5">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2F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84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F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5A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34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49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7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B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6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7E8C">
            <w:pPr>
              <w:jc w:val="center"/>
            </w:pPr>
          </w:p>
        </w:tc>
      </w:tr>
      <w:tr w14:paraId="6BABF92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C4F6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169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3B6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F3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C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4FB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4B93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24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841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87E8">
            <w:pPr>
              <w:jc w:val="center"/>
            </w:pPr>
            <w:r>
              <w:rPr>
                <w:rFonts w:ascii="宋体" w:hAnsi="宋体" w:eastAsia="宋体"/>
                <w:sz w:val="16"/>
              </w:rPr>
              <w:t>98.29分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C7FE4"/>
        </w:tc>
      </w:tr>
    </w:tbl>
    <w:p w14:paraId="43690A76">
      <w:r>
        <w:br w:type="page"/>
      </w:r>
    </w:p>
    <w:p w14:paraId="0CFA40C1">
      <w:pPr>
        <w:spacing w:line="640" w:lineRule="exact"/>
        <w:ind w:firstLine="640"/>
        <w:jc w:val="both"/>
        <w:outlineLvl w:val="2"/>
      </w:pPr>
      <w:r>
        <w:rPr>
          <w:rFonts w:ascii="黑体" w:hAnsi="黑体" w:eastAsia="黑体"/>
          <w:sz w:val="32"/>
        </w:rPr>
        <w:t>十二、其他需说明的事项</w:t>
      </w:r>
    </w:p>
    <w:p w14:paraId="599ECB97">
      <w:pPr>
        <w:spacing w:line="580" w:lineRule="exact"/>
        <w:ind w:firstLine="640"/>
        <w:jc w:val="both"/>
      </w:pPr>
      <w:r>
        <w:rPr>
          <w:rFonts w:ascii="仿宋_GB2312" w:hAnsi="仿宋_GB2312" w:eastAsia="仿宋_GB2312"/>
          <w:b w:val="0"/>
          <w:sz w:val="32"/>
        </w:rPr>
        <w:t>本部门无其他需说明的事项。</w:t>
      </w:r>
    </w:p>
    <w:p w14:paraId="779790B7">
      <w:r>
        <w:br w:type="page"/>
      </w:r>
    </w:p>
    <w:p w14:paraId="00E6AABC">
      <w:pPr>
        <w:spacing w:line="240" w:lineRule="auto"/>
        <w:jc w:val="center"/>
        <w:outlineLvl w:val="1"/>
      </w:pPr>
      <w:r>
        <w:rPr>
          <w:rFonts w:ascii="黑体" w:hAnsi="黑体" w:eastAsia="黑体"/>
          <w:sz w:val="32"/>
        </w:rPr>
        <w:t>第三部分 专业名词解释</w:t>
      </w:r>
    </w:p>
    <w:p w14:paraId="4834A1B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67B5BD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183D79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CA3162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EDC1A5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D35130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2662EE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04610B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23361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C3ADB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26D4FE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332607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32257D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BE25D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CDE8C11">
      <w:r>
        <w:br w:type="page"/>
      </w:r>
    </w:p>
    <w:p w14:paraId="6A2693A3">
      <w:pPr>
        <w:spacing w:line="240" w:lineRule="auto"/>
        <w:jc w:val="center"/>
        <w:outlineLvl w:val="1"/>
      </w:pPr>
      <w:r>
        <w:rPr>
          <w:rFonts w:ascii="黑体" w:hAnsi="黑体" w:eastAsia="黑体"/>
          <w:sz w:val="32"/>
        </w:rPr>
        <w:t>第四部分 部门决算报表（见附表）</w:t>
      </w:r>
    </w:p>
    <w:p w14:paraId="47414D1C">
      <w:pPr>
        <w:spacing w:line="240" w:lineRule="auto"/>
        <w:ind w:firstLine="640"/>
        <w:jc w:val="both"/>
      </w:pPr>
      <w:r>
        <w:rPr>
          <w:rFonts w:ascii="仿宋_GB2312" w:hAnsi="仿宋_GB2312" w:eastAsia="仿宋_GB2312"/>
          <w:b w:val="0"/>
          <w:sz w:val="32"/>
        </w:rPr>
        <w:t>一、《收入支出决算总表》</w:t>
      </w:r>
    </w:p>
    <w:p w14:paraId="24EC3552">
      <w:pPr>
        <w:spacing w:line="240" w:lineRule="auto"/>
        <w:ind w:firstLine="640"/>
        <w:jc w:val="both"/>
      </w:pPr>
      <w:r>
        <w:rPr>
          <w:rFonts w:ascii="仿宋_GB2312" w:hAnsi="仿宋_GB2312" w:eastAsia="仿宋_GB2312"/>
          <w:b w:val="0"/>
          <w:sz w:val="32"/>
        </w:rPr>
        <w:t>二、《收入决算表》</w:t>
      </w:r>
    </w:p>
    <w:p w14:paraId="21405B99">
      <w:pPr>
        <w:spacing w:line="240" w:lineRule="auto"/>
        <w:ind w:firstLine="640"/>
        <w:jc w:val="both"/>
      </w:pPr>
      <w:r>
        <w:rPr>
          <w:rFonts w:ascii="仿宋_GB2312" w:hAnsi="仿宋_GB2312" w:eastAsia="仿宋_GB2312"/>
          <w:b w:val="0"/>
          <w:sz w:val="32"/>
        </w:rPr>
        <w:t>三、《支出决算表》</w:t>
      </w:r>
    </w:p>
    <w:p w14:paraId="3E50D2D4">
      <w:pPr>
        <w:spacing w:line="240" w:lineRule="auto"/>
        <w:ind w:firstLine="640"/>
        <w:jc w:val="both"/>
      </w:pPr>
      <w:r>
        <w:rPr>
          <w:rFonts w:ascii="仿宋_GB2312" w:hAnsi="仿宋_GB2312" w:eastAsia="仿宋_GB2312"/>
          <w:b w:val="0"/>
          <w:sz w:val="32"/>
        </w:rPr>
        <w:t>四、《财政拨款收入支出决算总表》</w:t>
      </w:r>
    </w:p>
    <w:p w14:paraId="6A638106">
      <w:pPr>
        <w:spacing w:line="240" w:lineRule="auto"/>
        <w:ind w:firstLine="640"/>
        <w:jc w:val="both"/>
      </w:pPr>
      <w:r>
        <w:rPr>
          <w:rFonts w:ascii="仿宋_GB2312" w:hAnsi="仿宋_GB2312" w:eastAsia="仿宋_GB2312"/>
          <w:b w:val="0"/>
          <w:sz w:val="32"/>
        </w:rPr>
        <w:t>五、《一般公共预算财政拨款支出决算表》</w:t>
      </w:r>
    </w:p>
    <w:p w14:paraId="06208815">
      <w:pPr>
        <w:spacing w:line="240" w:lineRule="auto"/>
        <w:ind w:firstLine="640"/>
        <w:jc w:val="both"/>
      </w:pPr>
      <w:r>
        <w:rPr>
          <w:rFonts w:ascii="仿宋_GB2312" w:hAnsi="仿宋_GB2312" w:eastAsia="仿宋_GB2312"/>
          <w:b w:val="0"/>
          <w:sz w:val="32"/>
        </w:rPr>
        <w:t>六、《一般公共预算财政拨款基本支出决算表》</w:t>
      </w:r>
    </w:p>
    <w:p w14:paraId="662658DD">
      <w:pPr>
        <w:spacing w:line="240" w:lineRule="auto"/>
        <w:ind w:firstLine="640"/>
        <w:jc w:val="both"/>
      </w:pPr>
      <w:r>
        <w:rPr>
          <w:rFonts w:ascii="仿宋_GB2312" w:hAnsi="仿宋_GB2312" w:eastAsia="仿宋_GB2312"/>
          <w:b w:val="0"/>
          <w:sz w:val="32"/>
        </w:rPr>
        <w:t>七、《政府性基金预算财政拨款收入支出决算表》</w:t>
      </w:r>
    </w:p>
    <w:p w14:paraId="38412D31">
      <w:pPr>
        <w:spacing w:line="240" w:lineRule="auto"/>
        <w:ind w:firstLine="640"/>
        <w:jc w:val="both"/>
      </w:pPr>
      <w:r>
        <w:rPr>
          <w:rFonts w:ascii="仿宋_GB2312" w:hAnsi="仿宋_GB2312" w:eastAsia="仿宋_GB2312"/>
          <w:b w:val="0"/>
          <w:sz w:val="32"/>
        </w:rPr>
        <w:t>八、《国有资本经营预算财政拨款收入支出决算表》</w:t>
      </w:r>
    </w:p>
    <w:p w14:paraId="720BC977">
      <w:pPr>
        <w:spacing w:line="240" w:lineRule="auto"/>
        <w:ind w:firstLine="640"/>
        <w:jc w:val="both"/>
      </w:pPr>
      <w:r>
        <w:rPr>
          <w:rFonts w:ascii="仿宋_GB2312" w:hAnsi="仿宋_GB2312" w:eastAsia="仿宋_GB2312"/>
          <w:b w:val="0"/>
          <w:sz w:val="32"/>
        </w:rPr>
        <w:t>九、《财政拨款“三公”经费支出决算表》</w:t>
      </w:r>
    </w:p>
    <w:p w14:paraId="51DED6DA">
      <w:pPr>
        <w:spacing w:line="240" w:lineRule="auto"/>
        <w:ind w:firstLine="640"/>
        <w:jc w:val="both"/>
      </w:pPr>
    </w:p>
    <w:p w14:paraId="3AF8DCE2">
      <w:pPr>
        <w:spacing w:line="240" w:lineRule="auto"/>
        <w:ind w:firstLine="640"/>
        <w:jc w:val="both"/>
      </w:pPr>
    </w:p>
    <w:p w14:paraId="5050DD53">
      <w:pPr>
        <w:spacing w:line="240" w:lineRule="auto"/>
        <w:ind w:firstLine="640"/>
        <w:jc w:val="both"/>
      </w:pPr>
    </w:p>
    <w:p w14:paraId="1E92C839">
      <w:pPr>
        <w:spacing w:line="240" w:lineRule="auto"/>
        <w:ind w:firstLine="640"/>
        <w:jc w:val="both"/>
      </w:pPr>
    </w:p>
    <w:p w14:paraId="1CD8A43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CE48F2-0244-4981-AD35-3073B90FFC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49D7159-C3F0-49CE-ABA5-4AD79F0C349D}"/>
  </w:font>
  <w:font w:name="仿宋_GB2312">
    <w:panose1 w:val="02010609030101010101"/>
    <w:charset w:val="86"/>
    <w:family w:val="modern"/>
    <w:pitch w:val="default"/>
    <w:sig w:usb0="00000001" w:usb1="080E0000" w:usb2="00000000" w:usb3="00000000" w:csb0="00040000" w:csb1="00000000"/>
    <w:embedRegular r:id="rId3" w:fontKey="{D379AE84-B779-4290-BA50-6A45A6A8A449}"/>
  </w:font>
  <w:font w:name="楷体_GB2312">
    <w:panose1 w:val="02010609030101010101"/>
    <w:charset w:val="86"/>
    <w:family w:val="auto"/>
    <w:pitch w:val="default"/>
    <w:sig w:usb0="00000001" w:usb1="080E0000" w:usb2="00000000" w:usb3="00000000" w:csb0="00040000" w:csb1="00000000"/>
    <w:embedRegular r:id="rId4" w:fontKey="{6B9D60C3-03DC-4678-AF0D-C43D5C3D2A8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026AED"/>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533A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5820</Words>
  <Characters>6596</Characters>
  <Lines>0</Lines>
  <Paragraphs>0</Paragraphs>
  <TotalTime>5</TotalTime>
  <ScaleCrop>false</ScaleCrop>
  <LinksUpToDate>false</LinksUpToDate>
  <CharactersWithSpaces>6604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2025-09-11T09:24:42Z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