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中共巴音郭楞蒙古自治州委员会机构编制委员会办公室2024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FF6E509">
      <w:r>
        <w:br w:type="page"/>
      </w:r>
    </w:p>
    <w:p w14:paraId="59AB9613">
      <w:pPr>
        <w:spacing w:line="640" w:lineRule="exact"/>
        <w:jc w:val="center"/>
        <w:outlineLvl w:val="1"/>
      </w:pPr>
      <w:r>
        <w:rPr>
          <w:rFonts w:ascii="黑体" w:hAnsi="黑体" w:eastAsia="黑体"/>
          <w:sz w:val="32"/>
        </w:rPr>
        <w:t>第一部分 部门概况</w:t>
      </w:r>
    </w:p>
    <w:p w14:paraId="1EA7B426">
      <w:pPr>
        <w:spacing w:line="640" w:lineRule="exact"/>
        <w:ind w:firstLine="640"/>
        <w:jc w:val="both"/>
        <w:outlineLvl w:val="2"/>
      </w:pPr>
      <w:r>
        <w:rPr>
          <w:rFonts w:ascii="黑体" w:hAnsi="黑体" w:eastAsia="黑体"/>
          <w:sz w:val="32"/>
        </w:rPr>
        <w:t>一、主要职能</w:t>
      </w:r>
    </w:p>
    <w:p w14:paraId="2A8E4264">
      <w:pPr>
        <w:spacing w:line="580" w:lineRule="exact"/>
        <w:ind w:firstLine="640"/>
        <w:jc w:val="both"/>
      </w:pPr>
      <w:r>
        <w:rPr>
          <w:rFonts w:ascii="仿宋_GB2312" w:hAnsi="仿宋_GB2312" w:eastAsia="仿宋_GB2312"/>
          <w:sz w:val="32"/>
        </w:rPr>
        <w:t>州委机构编制委员会办公室为自治州党委工作部门，正县级建制，具体负责全州</w:t>
      </w:r>
      <w:r>
        <w:rPr>
          <w:rFonts w:hint="eastAsia" w:ascii="仿宋_GB2312" w:hAnsi="仿宋_GB2312" w:eastAsia="仿宋_GB2312"/>
          <w:sz w:val="32"/>
          <w:lang w:eastAsia="zh-CN"/>
        </w:rPr>
        <w:t>行政体制</w:t>
      </w:r>
      <w:r>
        <w:rPr>
          <w:rFonts w:ascii="仿宋_GB2312" w:hAnsi="仿宋_GB2312" w:eastAsia="仿宋_GB2312"/>
          <w:sz w:val="32"/>
        </w:rPr>
        <w:t>和机构改革及机构编制管理工作。</w:t>
      </w:r>
    </w:p>
    <w:p w14:paraId="36FB5DDD">
      <w:pPr>
        <w:spacing w:line="640" w:lineRule="exact"/>
        <w:ind w:firstLine="640"/>
        <w:jc w:val="both"/>
        <w:outlineLvl w:val="2"/>
      </w:pPr>
      <w:r>
        <w:rPr>
          <w:rFonts w:ascii="黑体" w:hAnsi="黑体" w:eastAsia="黑体"/>
          <w:sz w:val="32"/>
        </w:rPr>
        <w:t>二、机构设置及人员情况</w:t>
      </w:r>
    </w:p>
    <w:p w14:paraId="2F5FFEAA">
      <w:pPr>
        <w:spacing w:line="580" w:lineRule="exact"/>
        <w:ind w:firstLine="640"/>
        <w:jc w:val="both"/>
      </w:pPr>
      <w:r>
        <w:rPr>
          <w:rFonts w:ascii="仿宋_GB2312" w:hAnsi="仿宋_GB2312" w:eastAsia="仿宋_GB2312"/>
          <w:sz w:val="32"/>
        </w:rPr>
        <w:t>中共巴音郭楞蒙古自治州委员会机构编制委员会办公室2024年度，实有人数24人，其中：在职人员15人，增加1人；离休人员0人，增加0人；退休人员9人,增加0人。</w:t>
      </w:r>
    </w:p>
    <w:p w14:paraId="4E52FC2C">
      <w:pPr>
        <w:spacing w:line="580" w:lineRule="exact"/>
        <w:ind w:firstLine="640"/>
        <w:jc w:val="both"/>
      </w:pPr>
      <w:r>
        <w:rPr>
          <w:rFonts w:ascii="仿宋_GB2312" w:hAnsi="仿宋_GB2312" w:eastAsia="仿宋_GB2312"/>
          <w:sz w:val="32"/>
        </w:rPr>
        <w:t>中共巴音郭楞蒙古自治州委员会机构编制委员会办公室无下属预算单位，下设6个科室，分别是：综合科、机关科、事业科、电子政务科、监督检查科、事业单位登记管理局。</w:t>
      </w:r>
    </w:p>
    <w:p w14:paraId="07122A89">
      <w:r>
        <w:br w:type="page"/>
      </w:r>
    </w:p>
    <w:p w14:paraId="1D853073">
      <w:pPr>
        <w:spacing w:line="240" w:lineRule="auto"/>
        <w:jc w:val="center"/>
        <w:outlineLvl w:val="1"/>
      </w:pPr>
      <w:r>
        <w:rPr>
          <w:rFonts w:ascii="黑体" w:hAnsi="黑体" w:eastAsia="黑体"/>
          <w:sz w:val="32"/>
        </w:rPr>
        <w:t>第二部分 部门决算情况说明</w:t>
      </w:r>
    </w:p>
    <w:p w14:paraId="703AD83B">
      <w:pPr>
        <w:spacing w:line="640" w:lineRule="exact"/>
        <w:ind w:firstLine="640"/>
        <w:jc w:val="both"/>
        <w:outlineLvl w:val="2"/>
      </w:pPr>
      <w:r>
        <w:rPr>
          <w:rFonts w:ascii="黑体" w:hAnsi="黑体" w:eastAsia="黑体"/>
          <w:sz w:val="32"/>
        </w:rPr>
        <w:t>一、收入支出决算总体情况说明</w:t>
      </w:r>
    </w:p>
    <w:p w14:paraId="4BA86B48">
      <w:pPr>
        <w:spacing w:line="580" w:lineRule="exact"/>
        <w:ind w:firstLine="640"/>
        <w:jc w:val="both"/>
      </w:pPr>
      <w:r>
        <w:rPr>
          <w:rFonts w:ascii="仿宋_GB2312" w:hAnsi="仿宋_GB2312" w:eastAsia="仿宋_GB2312"/>
          <w:b/>
          <w:sz w:val="32"/>
        </w:rPr>
        <w:t>2024年度收入总计329.88万元，</w:t>
      </w:r>
      <w:r>
        <w:rPr>
          <w:rFonts w:ascii="仿宋_GB2312" w:hAnsi="仿宋_GB2312" w:eastAsia="仿宋_GB2312"/>
          <w:b w:val="0"/>
          <w:sz w:val="32"/>
        </w:rPr>
        <w:t>其中：本年收入合计329.82万元，使用非财政拨款结余（含专用结余）0.00万元，年初结转和结余0.06万元。</w:t>
      </w:r>
    </w:p>
    <w:p w14:paraId="4C72C9BD">
      <w:pPr>
        <w:spacing w:line="580" w:lineRule="exact"/>
        <w:ind w:firstLine="640"/>
        <w:jc w:val="both"/>
      </w:pPr>
      <w:r>
        <w:rPr>
          <w:rFonts w:ascii="仿宋_GB2312" w:hAnsi="仿宋_GB2312" w:eastAsia="仿宋_GB2312"/>
          <w:b/>
          <w:sz w:val="32"/>
        </w:rPr>
        <w:t>2024年度支出总计329.88万元，</w:t>
      </w:r>
      <w:r>
        <w:rPr>
          <w:rFonts w:ascii="仿宋_GB2312" w:hAnsi="仿宋_GB2312" w:eastAsia="仿宋_GB2312"/>
          <w:b w:val="0"/>
          <w:sz w:val="32"/>
        </w:rPr>
        <w:t>其中：本年支出合计329.82万元，结余分配0.00万元，年末结转和结余0.06万元。</w:t>
      </w:r>
    </w:p>
    <w:p w14:paraId="5DA5FFFE">
      <w:pPr>
        <w:spacing w:line="580" w:lineRule="exact"/>
        <w:ind w:firstLine="640"/>
        <w:jc w:val="both"/>
      </w:pPr>
      <w:r>
        <w:rPr>
          <w:rFonts w:ascii="仿宋_GB2312" w:hAnsi="仿宋_GB2312" w:eastAsia="仿宋_GB2312"/>
          <w:b w:val="0"/>
          <w:sz w:val="32"/>
        </w:rPr>
        <w:t>收入支出总体与上年相比，增加16.40万元，增长5.23%，主要原因是：本年在职人员增加，在职人员工资调增、社保、公积金基数调增，人员经费增加。</w:t>
      </w:r>
    </w:p>
    <w:p w14:paraId="48C23C8B">
      <w:pPr>
        <w:spacing w:line="640" w:lineRule="exact"/>
        <w:ind w:firstLine="640"/>
        <w:jc w:val="both"/>
        <w:outlineLvl w:val="2"/>
      </w:pPr>
      <w:r>
        <w:rPr>
          <w:rFonts w:ascii="黑体" w:hAnsi="黑体" w:eastAsia="黑体"/>
          <w:sz w:val="32"/>
        </w:rPr>
        <w:t>二、收入决算情况说明</w:t>
      </w:r>
    </w:p>
    <w:p w14:paraId="6D1E4DEF">
      <w:pPr>
        <w:spacing w:line="580" w:lineRule="exact"/>
        <w:ind w:firstLine="640"/>
        <w:jc w:val="both"/>
      </w:pPr>
      <w:r>
        <w:rPr>
          <w:rFonts w:ascii="仿宋_GB2312" w:hAnsi="仿宋_GB2312" w:eastAsia="仿宋_GB2312"/>
          <w:b/>
          <w:sz w:val="32"/>
        </w:rPr>
        <w:t>本年收入329.82万元，</w:t>
      </w:r>
      <w:r>
        <w:rPr>
          <w:rFonts w:ascii="仿宋_GB2312" w:hAnsi="仿宋_GB2312" w:eastAsia="仿宋_GB2312"/>
          <w:b w:val="0"/>
          <w:sz w:val="32"/>
        </w:rPr>
        <w:t>其中：财政拨款收入329.80万元，占99.99%；上级补助收入0.00万元，占0.00%；事业收入0.00万元，占0.00%；经营收入0.00万元，占0.00%；附属单位上缴收入0.00万元，占0.00%；其他收入0.03万元，占0.009%。</w:t>
      </w:r>
    </w:p>
    <w:p w14:paraId="10981BE9">
      <w:pPr>
        <w:spacing w:line="640" w:lineRule="exact"/>
        <w:ind w:firstLine="640"/>
        <w:jc w:val="both"/>
        <w:outlineLvl w:val="2"/>
      </w:pPr>
      <w:r>
        <w:rPr>
          <w:rFonts w:ascii="黑体" w:hAnsi="黑体" w:eastAsia="黑体"/>
          <w:sz w:val="32"/>
        </w:rPr>
        <w:t>三、支出决算情况说明</w:t>
      </w:r>
    </w:p>
    <w:p w14:paraId="770310CE">
      <w:pPr>
        <w:spacing w:line="580" w:lineRule="exact"/>
        <w:ind w:firstLine="640"/>
        <w:jc w:val="both"/>
      </w:pPr>
      <w:r>
        <w:rPr>
          <w:rFonts w:ascii="仿宋_GB2312" w:hAnsi="仿宋_GB2312" w:eastAsia="仿宋_GB2312"/>
          <w:b/>
          <w:sz w:val="32"/>
        </w:rPr>
        <w:t>本年支出329.82万元，</w:t>
      </w:r>
      <w:r>
        <w:rPr>
          <w:rFonts w:ascii="仿宋_GB2312" w:hAnsi="仿宋_GB2312" w:eastAsia="仿宋_GB2312"/>
          <w:b w:val="0"/>
          <w:sz w:val="32"/>
        </w:rPr>
        <w:t>其中：基本支出296.86万元，占90.01%；项目支出32.96万元，占9.99%；上缴上级支出0.00万元，占0.00%；经营支出0.00万元，占0.00%；对附属单位补助支出0.00万元，占0.00%。</w:t>
      </w:r>
    </w:p>
    <w:p w14:paraId="709B0343">
      <w:pPr>
        <w:spacing w:line="640" w:lineRule="exact"/>
        <w:ind w:firstLine="640"/>
        <w:jc w:val="both"/>
        <w:outlineLvl w:val="2"/>
      </w:pPr>
      <w:r>
        <w:rPr>
          <w:rFonts w:ascii="黑体" w:hAnsi="黑体" w:eastAsia="黑体"/>
          <w:sz w:val="32"/>
        </w:rPr>
        <w:t>四、财政拨款收入支出决算总体情况说明</w:t>
      </w:r>
    </w:p>
    <w:p w14:paraId="232C83F6">
      <w:pPr>
        <w:spacing w:line="580" w:lineRule="exact"/>
        <w:ind w:firstLine="640"/>
        <w:jc w:val="both"/>
      </w:pPr>
      <w:r>
        <w:rPr>
          <w:rFonts w:ascii="仿宋_GB2312" w:hAnsi="仿宋_GB2312" w:eastAsia="仿宋_GB2312"/>
          <w:b/>
          <w:sz w:val="32"/>
        </w:rPr>
        <w:t>2024年度财政拨款收入总计329.80万元，</w:t>
      </w:r>
      <w:r>
        <w:rPr>
          <w:rFonts w:ascii="仿宋_GB2312" w:hAnsi="仿宋_GB2312" w:eastAsia="仿宋_GB2312"/>
          <w:b w:val="0"/>
          <w:sz w:val="32"/>
        </w:rPr>
        <w:t>其中：年初财政拨款结转和结余0.00万元，本年财政拨款收入329.80万元。</w:t>
      </w:r>
      <w:r>
        <w:rPr>
          <w:rFonts w:ascii="仿宋_GB2312" w:hAnsi="仿宋_GB2312" w:eastAsia="仿宋_GB2312"/>
          <w:b/>
          <w:sz w:val="32"/>
        </w:rPr>
        <w:t>财政拨款支出总计329.80万元，</w:t>
      </w:r>
      <w:r>
        <w:rPr>
          <w:rFonts w:ascii="仿宋_GB2312" w:hAnsi="仿宋_GB2312" w:eastAsia="仿宋_GB2312"/>
          <w:b w:val="0"/>
          <w:sz w:val="32"/>
        </w:rPr>
        <w:t>其中：年末财政拨款结转和结余0.00万元，本年财政拨款支出329.80万元。</w:t>
      </w:r>
    </w:p>
    <w:p w14:paraId="1106E0B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增加16.38万元，增长5.23%，主要原因是：本年在职人员增加，在职人员工资调增、社保、公积金基数调增，人员经费增加。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年初预算数302.39万元，决算数329.80万元，预决算差异率9.06%，主要原因是：年中追加人员工资、社保、公积金调增部分，导致预决算存在差异。</w:t>
      </w:r>
    </w:p>
    <w:p w14:paraId="6037811C">
      <w:pPr>
        <w:spacing w:line="640" w:lineRule="exact"/>
        <w:ind w:firstLine="640"/>
        <w:jc w:val="both"/>
        <w:outlineLvl w:val="2"/>
      </w:pPr>
      <w:r>
        <w:rPr>
          <w:rFonts w:ascii="黑体" w:hAnsi="黑体" w:eastAsia="黑体"/>
          <w:sz w:val="32"/>
        </w:rPr>
        <w:t>五、一般公共预算财政拨款支出决算情况说明</w:t>
      </w:r>
    </w:p>
    <w:p w14:paraId="358D75CA">
      <w:pPr>
        <w:spacing w:line="640" w:lineRule="exact"/>
        <w:ind w:firstLine="640"/>
        <w:jc w:val="both"/>
        <w:outlineLvl w:val="3"/>
      </w:pPr>
      <w:r>
        <w:rPr>
          <w:rFonts w:ascii="楷体_GB2312" w:hAnsi="楷体_GB2312" w:eastAsia="楷体_GB2312"/>
          <w:b/>
          <w:sz w:val="32"/>
        </w:rPr>
        <w:t>（一）一般公共预算财政拨款支出决算总体情况</w:t>
      </w:r>
    </w:p>
    <w:p w14:paraId="450B2ED7">
      <w:pPr>
        <w:spacing w:line="580" w:lineRule="exact"/>
        <w:ind w:firstLine="640"/>
        <w:jc w:val="both"/>
      </w:pPr>
      <w:r>
        <w:rPr>
          <w:rFonts w:ascii="仿宋_GB2312" w:hAnsi="仿宋_GB2312" w:eastAsia="仿宋_GB2312"/>
          <w:b/>
          <w:sz w:val="32"/>
        </w:rPr>
        <w:t>2024年度一般公共预算财政拨款支出329.80万元，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增加16.38万元，增长5.23%，主要原因是：本年在职人员增加，在职人员工资调增、社保、公积金基数调增，人员经费增加。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年初预算数302.39万元，决算数329.80万元，预决算差异率9.06%，主要原因是：年中追加人员工资、社保、公积金调增部分，导致预决算存在差异。</w:t>
      </w:r>
    </w:p>
    <w:p w14:paraId="6243CF38">
      <w:pPr>
        <w:spacing w:line="640" w:lineRule="exact"/>
        <w:ind w:firstLine="640"/>
        <w:jc w:val="both"/>
        <w:outlineLvl w:val="3"/>
      </w:pPr>
      <w:r>
        <w:rPr>
          <w:rFonts w:ascii="楷体_GB2312" w:hAnsi="楷体_GB2312" w:eastAsia="楷体_GB2312"/>
          <w:b/>
          <w:sz w:val="32"/>
        </w:rPr>
        <w:t>（二）一般公共预算财政拨款支出决算结构情况</w:t>
      </w:r>
    </w:p>
    <w:p w14:paraId="2CC3C154">
      <w:pPr>
        <w:spacing w:line="580" w:lineRule="exact"/>
        <w:ind w:firstLine="640"/>
        <w:jc w:val="both"/>
      </w:pPr>
      <w:r>
        <w:rPr>
          <w:rFonts w:ascii="仿宋_GB2312" w:hAnsi="仿宋_GB2312" w:eastAsia="仿宋_GB2312"/>
          <w:b w:val="0"/>
          <w:sz w:val="32"/>
        </w:rPr>
        <w:t>1.一般公共服务支出(类)250.94万元,占76.09%。</w:t>
      </w:r>
    </w:p>
    <w:p w14:paraId="3F0AE923">
      <w:pPr>
        <w:spacing w:line="580" w:lineRule="exact"/>
        <w:ind w:firstLine="640"/>
        <w:jc w:val="both"/>
      </w:pPr>
      <w:r>
        <w:rPr>
          <w:rFonts w:ascii="仿宋_GB2312" w:hAnsi="仿宋_GB2312" w:eastAsia="仿宋_GB2312"/>
          <w:b w:val="0"/>
          <w:sz w:val="32"/>
        </w:rPr>
        <w:t>2.教育支出(类)0.98万元,占0.30%。</w:t>
      </w:r>
    </w:p>
    <w:p w14:paraId="3C8D3A19">
      <w:pPr>
        <w:spacing w:line="580" w:lineRule="exact"/>
        <w:ind w:firstLine="640"/>
        <w:jc w:val="both"/>
      </w:pPr>
      <w:r>
        <w:rPr>
          <w:rFonts w:ascii="仿宋_GB2312" w:hAnsi="仿宋_GB2312" w:eastAsia="仿宋_GB2312"/>
          <w:b w:val="0"/>
          <w:sz w:val="32"/>
        </w:rPr>
        <w:t>3.社会保障和就业支出(类)38.63万元,占11.71%。</w:t>
      </w:r>
    </w:p>
    <w:p w14:paraId="073569CC">
      <w:pPr>
        <w:spacing w:line="580" w:lineRule="exact"/>
        <w:ind w:firstLine="640"/>
        <w:jc w:val="both"/>
      </w:pPr>
      <w:r>
        <w:rPr>
          <w:rFonts w:ascii="仿宋_GB2312" w:hAnsi="仿宋_GB2312" w:eastAsia="仿宋_GB2312"/>
          <w:b w:val="0"/>
          <w:sz w:val="32"/>
        </w:rPr>
        <w:t>4.卫生健康支出(类)18.14万元,占5.50%。</w:t>
      </w:r>
    </w:p>
    <w:p w14:paraId="61BA9019">
      <w:pPr>
        <w:spacing w:line="580" w:lineRule="exact"/>
        <w:ind w:firstLine="640"/>
        <w:jc w:val="both"/>
      </w:pPr>
      <w:r>
        <w:rPr>
          <w:rFonts w:ascii="仿宋_GB2312" w:hAnsi="仿宋_GB2312" w:eastAsia="仿宋_GB2312"/>
          <w:b w:val="0"/>
          <w:sz w:val="32"/>
        </w:rPr>
        <w:t>5.住房保障支出(类)21.11万元,占6.40%。</w:t>
      </w:r>
    </w:p>
    <w:p w14:paraId="18079EEC">
      <w:pPr>
        <w:spacing w:line="640" w:lineRule="exact"/>
        <w:ind w:firstLine="640"/>
        <w:jc w:val="both"/>
        <w:outlineLvl w:val="3"/>
      </w:pPr>
      <w:r>
        <w:rPr>
          <w:rFonts w:ascii="楷体_GB2312" w:hAnsi="楷体_GB2312" w:eastAsia="楷体_GB2312"/>
          <w:b/>
          <w:sz w:val="32"/>
        </w:rPr>
        <w:t>（三）一般公共预算财政拨款支出决算具体情况</w:t>
      </w:r>
    </w:p>
    <w:p w14:paraId="657FBB41">
      <w:pPr>
        <w:spacing w:line="580" w:lineRule="exact"/>
        <w:ind w:firstLine="640"/>
        <w:jc w:val="both"/>
      </w:pPr>
      <w:r>
        <w:rPr>
          <w:rFonts w:ascii="仿宋_GB2312" w:hAnsi="仿宋_GB2312" w:eastAsia="仿宋_GB2312"/>
          <w:b w:val="0"/>
          <w:sz w:val="32"/>
        </w:rPr>
        <w:t>1.一般公共服务支出(类)组织事务(款)行政运行(项):支出决算数为217.97万元，比上年决算增加13.83万元，增长6.77%,主要原因是：本年新增在职人员，人员经费增加，导致经费较上年有所增加。</w:t>
      </w:r>
    </w:p>
    <w:p w14:paraId="29005EA1">
      <w:pPr>
        <w:spacing w:line="580" w:lineRule="exact"/>
        <w:ind w:firstLine="640"/>
        <w:jc w:val="both"/>
      </w:pPr>
      <w:r>
        <w:rPr>
          <w:rFonts w:ascii="仿宋_GB2312" w:hAnsi="仿宋_GB2312" w:eastAsia="仿宋_GB2312"/>
          <w:b w:val="0"/>
          <w:sz w:val="32"/>
        </w:rPr>
        <w:t>2.一般公共服务支出(类)组织事务(款)一般行政管理事务(项):支出决算数为32.96万元，比上年决算减少5.84万元，下降15.05%,主要原因是：本年减少第一书记活动经费，导致经费较上年减少。</w:t>
      </w:r>
    </w:p>
    <w:p w14:paraId="5DBA12E7">
      <w:pPr>
        <w:spacing w:line="580" w:lineRule="exact"/>
        <w:ind w:firstLine="640"/>
        <w:jc w:val="both"/>
      </w:pPr>
      <w:r>
        <w:rPr>
          <w:rFonts w:ascii="仿宋_GB2312" w:hAnsi="仿宋_GB2312" w:eastAsia="仿宋_GB2312"/>
          <w:b w:val="0"/>
          <w:sz w:val="32"/>
        </w:rPr>
        <w:t>3.教育支出(类)进修及培训(款)培训支出(项):支出决算数为0.98万元，比上年决算增加0.15万元，增长18.07%,主要原因是：本年外出培训增加，导致培训支出增加。</w:t>
      </w:r>
    </w:p>
    <w:p w14:paraId="5710D220">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4.社会保障和就业支出(类)行政事业单位养老支出(款)行政单位离退休(项):支出决算数为10.09万元，比上年决算增加2.24万元，增长28.54%,主要原因是：本年增加退休人员基础绩效奖，退休费支出增加。</w:t>
      </w:r>
    </w:p>
    <w:p w14:paraId="770D784F">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28.54万元，比上年决算增加3.99万元，增长16.25%,主要原因是：本年在职人员增加，在职人员工资基数调增，养老缴费基数上涨，相应支出增加。</w:t>
      </w:r>
    </w:p>
    <w:p w14:paraId="56518889">
      <w:pPr>
        <w:spacing w:line="580" w:lineRule="exact"/>
        <w:ind w:firstLine="640"/>
        <w:jc w:val="both"/>
      </w:pPr>
      <w:r>
        <w:rPr>
          <w:rFonts w:ascii="仿宋_GB2312" w:hAnsi="仿宋_GB2312" w:eastAsia="仿宋_GB2312"/>
          <w:b w:val="0"/>
          <w:sz w:val="32"/>
        </w:rPr>
        <w:t>6.卫生健康支出(类)行政事业单位医疗(款)行政单位医疗(项):支出决算数为12.4万元，比上年决算增加0.98万元，增长8.58%,主要原因是：本年在职人员增加，在职人员工资基数调增，行政单位医疗基数上涨，相应支出增加。</w:t>
      </w:r>
    </w:p>
    <w:p w14:paraId="6CCD57E8">
      <w:pPr>
        <w:spacing w:line="580" w:lineRule="exact"/>
        <w:ind w:firstLine="640"/>
        <w:jc w:val="both"/>
      </w:pPr>
      <w:r>
        <w:rPr>
          <w:rFonts w:ascii="仿宋_GB2312" w:hAnsi="仿宋_GB2312" w:eastAsia="仿宋_GB2312"/>
          <w:b w:val="0"/>
          <w:sz w:val="32"/>
        </w:rPr>
        <w:t>7.卫生健康支出(类)行政事业单位医疗(款)公务员医疗补助(项):支出决算数为5.32万元，比上年决算减少2.73万元，下降33.91%,主要原因是：因退休人员医疗保险制度改革，退休人员基本医疗不再由单位缴纳，导致经费较上年减少。</w:t>
      </w:r>
    </w:p>
    <w:p w14:paraId="1F2D081D">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0.42万元，比上年决算减少0.33万元，下降44.00%,主要原因是：因退休人员医疗保险制度改革，退休人员基本医疗不再由单位缴纳，导致经费较上年减少。</w:t>
      </w:r>
    </w:p>
    <w:p w14:paraId="743AE481">
      <w:pPr>
        <w:spacing w:line="580" w:lineRule="exact"/>
        <w:ind w:firstLine="640"/>
        <w:jc w:val="both"/>
      </w:pPr>
      <w:r>
        <w:rPr>
          <w:rFonts w:ascii="仿宋_GB2312" w:hAnsi="仿宋_GB2312" w:eastAsia="仿宋_GB2312"/>
          <w:b w:val="0"/>
          <w:sz w:val="32"/>
        </w:rPr>
        <w:t>9.住房保障支出(类)住房改革支出(款)住房公积金(项):支出决算数为21.11万元，比上年决算增加4.07万元，增长23.88%,主要原因是：本年在职人员增加，在职人员工资基数调增，住房公积金基数上涨，相应支出增加。</w:t>
      </w:r>
    </w:p>
    <w:p w14:paraId="02524088">
      <w:pPr>
        <w:spacing w:line="640" w:lineRule="exact"/>
        <w:ind w:firstLine="640"/>
        <w:jc w:val="both"/>
        <w:outlineLvl w:val="2"/>
      </w:pPr>
      <w:r>
        <w:rPr>
          <w:rFonts w:ascii="黑体" w:hAnsi="黑体" w:eastAsia="黑体"/>
          <w:sz w:val="32"/>
        </w:rPr>
        <w:t>六、一般公共预算财政拨款基本支出决算情况说明</w:t>
      </w:r>
    </w:p>
    <w:p w14:paraId="0E47BA5C">
      <w:pPr>
        <w:spacing w:line="580" w:lineRule="exact"/>
        <w:ind w:firstLine="640"/>
        <w:jc w:val="both"/>
      </w:pPr>
      <w:r>
        <w:rPr>
          <w:rFonts w:ascii="仿宋_GB2312" w:hAnsi="仿宋_GB2312" w:eastAsia="仿宋_GB2312"/>
          <w:b w:val="0"/>
          <w:sz w:val="32"/>
        </w:rPr>
        <w:t>2024年度一般公共预算财政拨款基本支出296.83万元，其中：</w:t>
      </w:r>
      <w:r>
        <w:rPr>
          <w:rFonts w:ascii="仿宋_GB2312" w:hAnsi="仿宋_GB2312" w:eastAsia="仿宋_GB2312"/>
          <w:b/>
          <w:sz w:val="32"/>
        </w:rPr>
        <w:t>人员经费283.71万元，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包括：基本工资、津贴补贴、奖金、伙食补助费、机关事业单位基本养老保险缴费、职工基本医疗保险缴费、公务员医疗补助缴费、其他社会保障缴费、住房公积金、退休费、生活补助、奖励金。</w:t>
      </w:r>
    </w:p>
    <w:p w14:paraId="63F10CA6">
      <w:pPr>
        <w:spacing w:line="580" w:lineRule="exact"/>
        <w:ind w:firstLine="640"/>
        <w:jc w:val="both"/>
      </w:pPr>
      <w:r>
        <w:rPr>
          <w:rFonts w:ascii="仿宋_GB2312" w:hAnsi="仿宋_GB2312" w:eastAsia="仿宋_GB2312"/>
          <w:b/>
          <w:sz w:val="32"/>
        </w:rPr>
        <w:t>公用经费13.12万元，</w:t>
      </w:r>
      <w:r>
        <w:rPr>
          <w:rFonts w:ascii="仿宋_GB2312" w:hAnsi="仿宋_GB2312" w:eastAsia="仿宋_GB2312"/>
          <w:b w:val="0"/>
          <w:sz w:val="32"/>
        </w:rPr>
        <w:t>包括：办公费、邮电费、取暖费、差旅费、培训费、公务接待费、工会经费、福利费、公务用车运行维护费。</w:t>
      </w:r>
    </w:p>
    <w:p w14:paraId="251177DF">
      <w:pPr>
        <w:spacing w:line="640" w:lineRule="exact"/>
        <w:ind w:firstLine="640"/>
        <w:jc w:val="both"/>
        <w:outlineLvl w:val="2"/>
      </w:pPr>
      <w:r>
        <w:rPr>
          <w:rFonts w:ascii="黑体" w:hAnsi="黑体" w:eastAsia="黑体"/>
          <w:sz w:val="32"/>
        </w:rPr>
        <w:t>七、政府性基金预算财政拨款收入支出决算情况说明</w:t>
      </w:r>
    </w:p>
    <w:p w14:paraId="0631AF80">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64AC2FFB">
      <w:pPr>
        <w:spacing w:line="640" w:lineRule="exact"/>
        <w:ind w:firstLine="640"/>
        <w:jc w:val="both"/>
        <w:outlineLvl w:val="2"/>
      </w:pPr>
      <w:r>
        <w:rPr>
          <w:rFonts w:ascii="黑体" w:hAnsi="黑体" w:eastAsia="黑体"/>
          <w:sz w:val="32"/>
        </w:rPr>
        <w:t>八、国有资本经营预算财政拨款收入支出决算情况说明</w:t>
      </w:r>
    </w:p>
    <w:p w14:paraId="77F3BF47">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45E4C354">
      <w:pPr>
        <w:spacing w:line="640" w:lineRule="exact"/>
        <w:ind w:firstLine="640"/>
        <w:jc w:val="both"/>
        <w:outlineLvl w:val="2"/>
      </w:pPr>
      <w:r>
        <w:rPr>
          <w:rFonts w:ascii="黑体" w:hAnsi="黑体" w:eastAsia="黑体"/>
          <w:sz w:val="32"/>
        </w:rPr>
        <w:t>九、财政拨款“三公”经费支出决算情况说明</w:t>
      </w:r>
    </w:p>
    <w:p w14:paraId="3333153C">
      <w:pPr>
        <w:spacing w:line="580" w:lineRule="exact"/>
        <w:ind w:firstLine="640"/>
        <w:jc w:val="both"/>
      </w:pPr>
      <w:r>
        <w:rPr>
          <w:rFonts w:ascii="仿宋_GB2312" w:hAnsi="仿宋_GB2312" w:eastAsia="仿宋_GB2312"/>
          <w:b/>
          <w:sz w:val="32"/>
        </w:rPr>
        <w:t>2024年度财政拨款“三公”经费支出2.54万元，</w:t>
      </w:r>
      <w:r>
        <w:rPr>
          <w:rFonts w:ascii="仿宋_GB2312" w:hAnsi="仿宋_GB2312" w:eastAsia="仿宋_GB2312"/>
          <w:b w:val="0"/>
          <w:sz w:val="32"/>
        </w:rPr>
        <w:t>比上年增加0.19万元，增长8.05%，主要原因是：本年度接待人次较上年增加，导致公务接待费较上年增加。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2.34万元，占92.13%，比上年增加0.17万元，增长7.83%，主要原因是：本年因业务需求，用车次数增加，燃油费增加，导致公务用车运行维护费较上年增加。公务接待费支出0.20万元，占7.87%，比上年增加0.02万元，增长11.11%，主要原因是：本年度接待人次较上年增加，导致公务接待费较上年增加。</w:t>
      </w:r>
    </w:p>
    <w:p w14:paraId="33E430DC">
      <w:pPr>
        <w:spacing w:line="580" w:lineRule="exact"/>
        <w:ind w:firstLine="640"/>
        <w:jc w:val="both"/>
      </w:pPr>
      <w:r>
        <w:rPr>
          <w:rFonts w:ascii="仿宋_GB2312" w:hAnsi="仿宋_GB2312" w:eastAsia="仿宋_GB2312"/>
          <w:b/>
          <w:sz w:val="32"/>
        </w:rPr>
        <w:t>具体情况如下：</w:t>
      </w:r>
    </w:p>
    <w:p w14:paraId="3F9CA8F9">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28A5B414">
      <w:pPr>
        <w:spacing w:line="580" w:lineRule="exact"/>
        <w:ind w:firstLine="640"/>
        <w:jc w:val="both"/>
      </w:pPr>
      <w:r>
        <w:rPr>
          <w:rFonts w:ascii="仿宋_GB2312" w:hAnsi="仿宋_GB2312" w:eastAsia="仿宋_GB2312"/>
          <w:b w:val="0"/>
          <w:sz w:val="32"/>
        </w:rPr>
        <w:t>公务用车购置及运行维护费2.34万元，其中：公务用车购置费0.00万元，公务用车运行维护费2.34万元。公务用车运行维护费开支内容包括车辆加油费、保险费、过路费、维修费。公务用车购置数0辆，公务用车保有量1辆。国有资产占用情况中固定资产车辆1辆，与公务用车保有量差异原因是：本部门固定资产车辆与公务用车保有量一致无差异。</w:t>
      </w:r>
    </w:p>
    <w:p w14:paraId="312DF890">
      <w:pPr>
        <w:spacing w:line="580" w:lineRule="exact"/>
        <w:ind w:firstLine="640"/>
        <w:jc w:val="both"/>
      </w:pPr>
      <w:r>
        <w:rPr>
          <w:rFonts w:ascii="仿宋_GB2312" w:hAnsi="仿宋_GB2312" w:eastAsia="仿宋_GB2312"/>
          <w:b w:val="0"/>
          <w:sz w:val="32"/>
        </w:rPr>
        <w:t>公务接待费0.20万元，开支内容包括因工作需求，接待上级领导检查产生的就餐费。部门全年安排的国内公务接待2批次，29人次。</w:t>
      </w:r>
    </w:p>
    <w:p w14:paraId="112D131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2.54万元，决算数2.54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2.34万元，决算数2.34万元，预决算差异率0.00%，主要原因是：严格按照预算执行，预决算无差异。公务接待费全年预算数0.20万元，决算数0.20万元，预决算差异率0.00%，主要原因是：严格按照预算执行，预决算无差异。</w:t>
      </w:r>
    </w:p>
    <w:p w14:paraId="12F0E2F2">
      <w:pPr>
        <w:spacing w:line="640" w:lineRule="exact"/>
        <w:ind w:firstLine="640"/>
        <w:jc w:val="both"/>
        <w:outlineLvl w:val="2"/>
      </w:pPr>
      <w:r>
        <w:rPr>
          <w:rFonts w:ascii="黑体" w:hAnsi="黑体" w:eastAsia="黑体"/>
          <w:sz w:val="32"/>
        </w:rPr>
        <w:t>十、其他重要事项的情况说明</w:t>
      </w:r>
    </w:p>
    <w:p w14:paraId="3E7580B2">
      <w:pPr>
        <w:spacing w:line="640" w:lineRule="exact"/>
        <w:ind w:firstLine="640"/>
        <w:jc w:val="both"/>
        <w:outlineLvl w:val="3"/>
      </w:pPr>
      <w:r>
        <w:rPr>
          <w:rFonts w:ascii="楷体_GB2312" w:hAnsi="楷体_GB2312" w:eastAsia="楷体_GB2312"/>
          <w:b/>
          <w:sz w:val="32"/>
        </w:rPr>
        <w:t>（一）机关运行经费及公用经费支出情况</w:t>
      </w:r>
    </w:p>
    <w:p w14:paraId="42F9B8F0">
      <w:pPr>
        <w:spacing w:line="580" w:lineRule="exact"/>
        <w:ind w:firstLine="640"/>
        <w:jc w:val="both"/>
      </w:pPr>
      <w:r>
        <w:rPr>
          <w:rFonts w:ascii="仿宋_GB2312" w:hAnsi="仿宋_GB2312" w:eastAsia="仿宋_GB2312"/>
          <w:b w:val="0"/>
          <w:sz w:val="32"/>
        </w:rPr>
        <w:t>2024年度中共巴音郭楞蒙古自治州委员会机构编制委员会办公室（行政单位和参照公务员法管理事业单位）机关运行经费支出13.12万元，比上年增加1.04万元，增长8.61%，主要原因是：本年增加维修村民文化阵地经费、办公费。</w:t>
      </w:r>
    </w:p>
    <w:p w14:paraId="1C5F6E64">
      <w:pPr>
        <w:spacing w:line="640" w:lineRule="exact"/>
        <w:ind w:firstLine="640"/>
        <w:jc w:val="both"/>
        <w:outlineLvl w:val="3"/>
      </w:pPr>
      <w:r>
        <w:rPr>
          <w:rFonts w:ascii="楷体_GB2312" w:hAnsi="楷体_GB2312" w:eastAsia="楷体_GB2312"/>
          <w:b/>
          <w:sz w:val="32"/>
        </w:rPr>
        <w:t>（二）政府采购情况</w:t>
      </w:r>
    </w:p>
    <w:p w14:paraId="7E1B86FB">
      <w:pPr>
        <w:spacing w:line="580" w:lineRule="exact"/>
        <w:ind w:firstLine="640"/>
        <w:jc w:val="both"/>
      </w:pPr>
      <w:r>
        <w:rPr>
          <w:rFonts w:ascii="仿宋_GB2312" w:hAnsi="仿宋_GB2312" w:eastAsia="仿宋_GB2312"/>
          <w:b w:val="0"/>
          <w:sz w:val="32"/>
        </w:rPr>
        <w:t>2024年度政府采购支出总额1.15万元，其中：政府采购货物支出0.61万元、政府采购工程支出0.00万元、政府采购服务支出0.54万元。</w:t>
      </w:r>
    </w:p>
    <w:p w14:paraId="61473860">
      <w:pPr>
        <w:spacing w:line="580" w:lineRule="exact"/>
        <w:ind w:firstLine="640"/>
        <w:jc w:val="both"/>
      </w:pPr>
      <w:r>
        <w:rPr>
          <w:rFonts w:ascii="仿宋_GB2312" w:hAnsi="仿宋_GB2312" w:eastAsia="仿宋_GB2312"/>
          <w:b w:val="0"/>
          <w:sz w:val="32"/>
        </w:rPr>
        <w:t>授予中小企业合同金额0.78万元，占政府采购支出总额的67.83%，其中：授予小微企业合同金额0.78万元，占政府采购支出总额的67.83%。</w:t>
      </w:r>
    </w:p>
    <w:p w14:paraId="39AFC9C6">
      <w:pPr>
        <w:spacing w:line="640" w:lineRule="exact"/>
        <w:ind w:firstLine="640"/>
        <w:jc w:val="both"/>
        <w:outlineLvl w:val="3"/>
      </w:pPr>
      <w:r>
        <w:rPr>
          <w:rFonts w:ascii="楷体_GB2312" w:hAnsi="楷体_GB2312" w:eastAsia="楷体_GB2312"/>
          <w:b/>
          <w:sz w:val="32"/>
        </w:rPr>
        <w:t>（三）国有资产占用情况说明</w:t>
      </w:r>
    </w:p>
    <w:p w14:paraId="2B50ACB8">
      <w:pPr>
        <w:spacing w:line="580" w:lineRule="exact"/>
        <w:ind w:firstLine="640"/>
        <w:jc w:val="both"/>
      </w:pPr>
      <w:r>
        <w:rPr>
          <w:rFonts w:ascii="仿宋_GB2312" w:hAnsi="仿宋_GB2312" w:eastAsia="仿宋_GB2312"/>
          <w:b w:val="0"/>
          <w:sz w:val="32"/>
        </w:rPr>
        <w:t>截至2024年12月31日，房屋0.00平方米，价值0.00万元。车辆1辆，价值24.89万元，其中：副部（省）级及以上领导用车0辆、主要负责人用车1辆、机要通信用车0辆、应急保障用车0辆、执法执勤用车0辆、特种专业技术用车0辆、离退休干部服务用车0辆、其他用车0辆，其他用车主要是：本部门无其他用车。单价100万元（含）以上设备（不含车辆）0台（套）。</w:t>
      </w:r>
    </w:p>
    <w:p w14:paraId="587BFE52">
      <w:pPr>
        <w:spacing w:line="640" w:lineRule="exact"/>
        <w:ind w:firstLine="640"/>
        <w:jc w:val="both"/>
        <w:outlineLvl w:val="2"/>
      </w:pPr>
      <w:r>
        <w:rPr>
          <w:rFonts w:ascii="黑体" w:hAnsi="黑体" w:eastAsia="黑体"/>
          <w:sz w:val="32"/>
        </w:rPr>
        <w:t>十一、预算绩效的情况说明</w:t>
      </w:r>
    </w:p>
    <w:p w14:paraId="2C410617">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根据预算绩效管理要求，本部门2024年度预算绩效管理形成整体支出绩效自评表1个，全年预算总额329.88万元，实际执行总额329.82万元；预算绩效评价项目2个，全年预算数</w:t>
      </w:r>
      <w:r>
        <w:rPr>
          <w:rFonts w:hint="eastAsia" w:ascii="仿宋_GB2312" w:hAnsi="仿宋_GB2312" w:eastAsia="仿宋_GB2312"/>
          <w:b w:val="0"/>
          <w:sz w:val="32"/>
          <w:lang w:val="en-US" w:eastAsia="zh-CN"/>
        </w:rPr>
        <w:t>33</w:t>
      </w:r>
      <w:r>
        <w:rPr>
          <w:rFonts w:ascii="仿宋_GB2312" w:hAnsi="仿宋_GB2312" w:eastAsia="仿宋_GB2312"/>
          <w:b w:val="0"/>
          <w:sz w:val="32"/>
        </w:rPr>
        <w:t>.00万元，全年执行数</w:t>
      </w:r>
      <w:r>
        <w:rPr>
          <w:rFonts w:hint="eastAsia" w:ascii="仿宋_GB2312" w:hAnsi="仿宋_GB2312" w:eastAsia="仿宋_GB2312"/>
          <w:b w:val="0"/>
          <w:sz w:val="32"/>
          <w:lang w:val="en-US" w:eastAsia="zh-CN"/>
        </w:rPr>
        <w:t>32.96</w:t>
      </w:r>
      <w:r>
        <w:rPr>
          <w:rFonts w:ascii="仿宋_GB2312" w:hAnsi="仿宋_GB2312" w:eastAsia="仿宋_GB2312"/>
          <w:b w:val="0"/>
          <w:sz w:val="32"/>
        </w:rPr>
        <w:t>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要按照“谁使用、谁负责”的原则，强化预算部门绩效管理的主体责任，将绩效目标、绩效监控、部门自评等绩效工具，作为提高资金使用效益的重要抓手，积极配合财政部门检查、督促、重点评价等方式加强监督管理；二是总结经验，加强资金使用管理，严格按照执行资金批准的使用计划和批复资料，认真执行资金管理和财务管理制度，严格执行国家有关财务规章制度规定的开支范围及开支标准，确保资金用到实处，发挥效益。</w:t>
      </w:r>
      <w:bookmarkStart w:id="0" w:name="_GoBack"/>
      <w:bookmarkEnd w:id="0"/>
      <w:r>
        <w:rPr>
          <w:rFonts w:ascii="仿宋_GB2312" w:hAnsi="仿宋_GB2312" w:eastAsia="仿宋_GB2312"/>
          <w:b w:val="0"/>
          <w:sz w:val="32"/>
        </w:rPr>
        <w:t>具体附部门整体支出绩效自评表，项目支出绩效自评表和部门评价报告。</w:t>
      </w:r>
    </w:p>
    <w:p w14:paraId="3B65C42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B06BA87">
        <w:tblPrEx>
          <w:tblCellMar>
            <w:top w:w="0" w:type="dxa"/>
            <w:left w:w="108" w:type="dxa"/>
            <w:bottom w:w="0" w:type="dxa"/>
            <w:right w:w="108" w:type="dxa"/>
          </w:tblCellMar>
        </w:tblPrEx>
        <w:tc>
          <w:tcPr>
            <w:tcW w:w="8840" w:type="dxa"/>
            <w:gridSpan w:val="8"/>
            <w:vAlign w:val="center"/>
          </w:tcPr>
          <w:p w14:paraId="2BBFCF9B">
            <w:pPr>
              <w:jc w:val="center"/>
            </w:pPr>
            <w:r>
              <w:rPr>
                <w:rFonts w:ascii="宋体" w:hAnsi="宋体" w:eastAsia="宋体"/>
                <w:sz w:val="24"/>
              </w:rPr>
              <w:t>部门整体支出绩效自评表</w:t>
            </w:r>
          </w:p>
        </w:tc>
      </w:tr>
      <w:tr w14:paraId="7A65510C">
        <w:tblPrEx>
          <w:tblCellMar>
            <w:top w:w="0" w:type="dxa"/>
            <w:left w:w="108" w:type="dxa"/>
            <w:bottom w:w="0" w:type="dxa"/>
            <w:right w:w="108" w:type="dxa"/>
          </w:tblCellMar>
        </w:tblPrEx>
        <w:tc>
          <w:tcPr>
            <w:tcW w:w="8840" w:type="dxa"/>
            <w:gridSpan w:val="8"/>
            <w:vAlign w:val="center"/>
          </w:tcPr>
          <w:p w14:paraId="6FD8AAF3">
            <w:pPr>
              <w:jc w:val="center"/>
            </w:pPr>
            <w:r>
              <w:rPr>
                <w:rFonts w:ascii="宋体" w:hAnsi="宋体" w:eastAsia="宋体"/>
                <w:sz w:val="24"/>
              </w:rPr>
              <w:t>（2024年度）</w:t>
            </w:r>
          </w:p>
        </w:tc>
      </w:tr>
      <w:tr w14:paraId="3FC5D90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F9FF10">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7E3A2">
            <w:pPr>
              <w:jc w:val="center"/>
            </w:pPr>
            <w:r>
              <w:rPr>
                <w:rFonts w:ascii="宋体" w:hAnsi="宋体" w:eastAsia="宋体"/>
                <w:sz w:val="16"/>
              </w:rPr>
              <w:t>中共巴音郭楞蒙古自治州委员会机构编制委员会办公室</w:t>
            </w:r>
          </w:p>
        </w:tc>
      </w:tr>
      <w:tr w14:paraId="58D5F5C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9CF1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D3329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6D0B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AAC8B6">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EC6A69">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A8985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9B474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79DA75">
            <w:pPr>
              <w:jc w:val="center"/>
            </w:pPr>
            <w:r>
              <w:rPr>
                <w:rFonts w:ascii="宋体" w:hAnsi="宋体" w:eastAsia="宋体"/>
                <w:sz w:val="16"/>
              </w:rPr>
              <w:t>得分</w:t>
            </w:r>
          </w:p>
        </w:tc>
      </w:tr>
      <w:tr w14:paraId="693DB65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4CD5E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AE8A82">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340F41">
            <w:pPr>
              <w:jc w:val="center"/>
            </w:pPr>
            <w:r>
              <w:rPr>
                <w:rFonts w:ascii="宋体" w:hAnsi="宋体" w:eastAsia="宋体"/>
                <w:sz w:val="16"/>
              </w:rPr>
              <w:t>302.39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1484D7">
            <w:pPr>
              <w:jc w:val="center"/>
            </w:pPr>
            <w:r>
              <w:rPr>
                <w:rFonts w:ascii="宋体" w:hAnsi="宋体" w:eastAsia="宋体"/>
                <w:sz w:val="16"/>
              </w:rPr>
              <w:t>329.88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D13735">
            <w:pPr>
              <w:jc w:val="center"/>
            </w:pPr>
            <w:r>
              <w:rPr>
                <w:rFonts w:ascii="宋体" w:hAnsi="宋体" w:eastAsia="宋体"/>
                <w:sz w:val="16"/>
              </w:rPr>
              <w:t>329.82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80B22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D4FAA">
            <w:pPr>
              <w:jc w:val="center"/>
            </w:pPr>
            <w:r>
              <w:rPr>
                <w:rFonts w:ascii="宋体" w:hAnsi="宋体" w:eastAsia="宋体"/>
                <w:sz w:val="16"/>
              </w:rPr>
              <w:t>99.98%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1419C3">
            <w:pPr>
              <w:jc w:val="center"/>
            </w:pPr>
            <w:r>
              <w:rPr>
                <w:rFonts w:ascii="宋体" w:hAnsi="宋体" w:eastAsia="宋体"/>
                <w:sz w:val="16"/>
              </w:rPr>
              <w:t>9.99</w:t>
            </w:r>
          </w:p>
        </w:tc>
      </w:tr>
      <w:tr w14:paraId="017BABF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6AB7D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FE50EE">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22D72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C12A7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7232D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245D1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B6368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435856">
            <w:pPr>
              <w:jc w:val="center"/>
            </w:pPr>
            <w:r>
              <w:rPr>
                <w:rFonts w:ascii="宋体" w:hAnsi="宋体" w:eastAsia="宋体"/>
                <w:sz w:val="16"/>
              </w:rPr>
              <w:t>-</w:t>
            </w:r>
          </w:p>
        </w:tc>
      </w:tr>
      <w:tr w14:paraId="6F28149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6076E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ABEB2">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DB39A3">
            <w:pPr>
              <w:jc w:val="center"/>
            </w:pPr>
            <w:r>
              <w:rPr>
                <w:rFonts w:ascii="宋体" w:hAnsi="宋体" w:eastAsia="宋体"/>
                <w:sz w:val="16"/>
              </w:rPr>
              <w:t>302.39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E9AE62">
            <w:pPr>
              <w:jc w:val="center"/>
            </w:pPr>
            <w:r>
              <w:rPr>
                <w:rFonts w:ascii="宋体" w:hAnsi="宋体" w:eastAsia="宋体"/>
                <w:sz w:val="16"/>
              </w:rPr>
              <w:t>329.88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083EEA">
            <w:pPr>
              <w:jc w:val="center"/>
            </w:pPr>
            <w:r>
              <w:rPr>
                <w:rFonts w:ascii="宋体" w:hAnsi="宋体" w:eastAsia="宋体"/>
                <w:sz w:val="16"/>
              </w:rPr>
              <w:t>329.82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DE602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041D7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10B092">
            <w:pPr>
              <w:jc w:val="center"/>
            </w:pPr>
            <w:r>
              <w:rPr>
                <w:rFonts w:ascii="宋体" w:hAnsi="宋体" w:eastAsia="宋体"/>
                <w:sz w:val="16"/>
              </w:rPr>
              <w:t>-</w:t>
            </w:r>
          </w:p>
        </w:tc>
      </w:tr>
      <w:tr w14:paraId="6080989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B973F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DD40B7">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DC380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8B412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F1411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5E55C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F69A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D11EA0">
            <w:pPr>
              <w:jc w:val="center"/>
            </w:pPr>
            <w:r>
              <w:rPr>
                <w:rFonts w:ascii="宋体" w:hAnsi="宋体" w:eastAsia="宋体"/>
                <w:sz w:val="16"/>
              </w:rPr>
              <w:t>-</w:t>
            </w:r>
          </w:p>
        </w:tc>
      </w:tr>
      <w:tr w14:paraId="5E8EB88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0509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E8A24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24764E">
            <w:pPr>
              <w:jc w:val="center"/>
            </w:pPr>
            <w:r>
              <w:rPr>
                <w:rFonts w:ascii="宋体" w:hAnsi="宋体" w:eastAsia="宋体"/>
                <w:sz w:val="16"/>
              </w:rPr>
              <w:t>实际完成情况</w:t>
            </w:r>
          </w:p>
        </w:tc>
      </w:tr>
      <w:tr w14:paraId="0E020F9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1F2E1D"/>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49281D">
            <w:pPr>
              <w:jc w:val="both"/>
            </w:pPr>
            <w:r>
              <w:rPr>
                <w:rFonts w:ascii="宋体" w:hAnsi="宋体" w:eastAsia="宋体"/>
                <w:sz w:val="16"/>
              </w:rPr>
              <w:t>深入学习宣传贯彻党的二十大精神，全面贯彻习近平新时代中国特色社会主义思想，完整准确贯彻新时代党的治疆方略，深入学习贯彻习近平总书记对新疆系列重要讲话重要指示批示精神，深刻领悟“两个确立”的决定性意义，增强“四个意识”、坚定“四个自信”、做到“两个维护”，围绕自治区改革发展稳定重点工作，持续深化改革，健全完善机构职能体系、推进事业单位改革，重塑事业单位功能定位、优化机构编制资源配置管理，加强重点领域和基层机构编制保障、加快推进</w:t>
            </w:r>
            <w:r>
              <w:rPr>
                <w:rFonts w:hint="eastAsia" w:ascii="宋体" w:hAnsi="宋体"/>
                <w:sz w:val="16"/>
                <w:lang w:eastAsia="zh-CN"/>
              </w:rPr>
              <w:t>机构编制法定化</w:t>
            </w:r>
            <w:r>
              <w:rPr>
                <w:rFonts w:ascii="宋体" w:hAnsi="宋体" w:eastAsia="宋体"/>
                <w:sz w:val="16"/>
              </w:rPr>
              <w:t>建设，加强机构改革调研指导、监督检查、改革方案对接及安排</w:t>
            </w:r>
            <w:r>
              <w:rPr>
                <w:rFonts w:hint="eastAsia" w:ascii="宋体" w:hAnsi="宋体"/>
                <w:sz w:val="16"/>
                <w:lang w:eastAsia="zh-CN"/>
              </w:rPr>
              <w:t>各别</w:t>
            </w:r>
            <w:r>
              <w:rPr>
                <w:rFonts w:ascii="宋体" w:hAnsi="宋体" w:eastAsia="宋体"/>
                <w:sz w:val="16"/>
              </w:rPr>
              <w:t>会议培训、加强自身建设，打造政治强、业务精、作风优的机构编制干部队伍。</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AF07B8">
            <w:pPr>
              <w:jc w:val="both"/>
            </w:pPr>
            <w:r>
              <w:rPr>
                <w:rFonts w:ascii="宋体" w:hAnsi="宋体" w:eastAsia="宋体"/>
                <w:sz w:val="16"/>
              </w:rPr>
              <w:t>机构改革领导小组会汇报机构改革工作，提请研究部署机构改革事宜，解决改革难点问题，一线调研摸底，实地走访县（市），结合巴州实际，</w:t>
            </w:r>
            <w:r>
              <w:rPr>
                <w:rFonts w:hint="eastAsia" w:ascii="宋体" w:hAnsi="宋体"/>
                <w:sz w:val="16"/>
                <w:lang w:eastAsia="zh-CN"/>
              </w:rPr>
              <w:t>拟订方案</w:t>
            </w:r>
            <w:r>
              <w:rPr>
                <w:rFonts w:ascii="宋体" w:hAnsi="宋体" w:eastAsia="宋体"/>
                <w:sz w:val="16"/>
              </w:rPr>
              <w:t>，组织召开机构改革协调推进会、部门协调座谈会，进一步压实改革任务，协调解决改革难题和职能交叉、权责不明问题。坚持“一体推进”县（市）机构改革，通过专题培训、面对面讲解等方式强化对县（市）机构改革的指导，赴八县一市和州直涉改部门实地指导县（市）“三定”规定审核和乡</w:t>
            </w:r>
          </w:p>
        </w:tc>
      </w:tr>
      <w:tr w14:paraId="43BFAF5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56C9E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07270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1801E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A5A4A2">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19B32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66CE6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3596F4">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170846">
            <w:pPr>
              <w:jc w:val="center"/>
            </w:pPr>
            <w:r>
              <w:rPr>
                <w:rFonts w:ascii="宋体" w:hAnsi="宋体" w:eastAsia="宋体"/>
                <w:sz w:val="16"/>
              </w:rPr>
              <w:t>得分</w:t>
            </w:r>
          </w:p>
        </w:tc>
      </w:tr>
      <w:tr w14:paraId="7C746AE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69EA6">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9CFF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A1D335">
            <w:pPr>
              <w:jc w:val="center"/>
            </w:pPr>
            <w:r>
              <w:rPr>
                <w:rFonts w:ascii="宋体" w:hAnsi="宋体" w:eastAsia="宋体"/>
                <w:sz w:val="16"/>
              </w:rPr>
              <w:t>机构改革调研指导次数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DD786E">
            <w:pPr>
              <w:jc w:val="center"/>
            </w:pPr>
            <w:r>
              <w:rPr>
                <w:rFonts w:ascii="宋体" w:hAnsi="宋体" w:eastAsia="宋体"/>
                <w:sz w:val="16"/>
              </w:rPr>
              <w:t>&gt;=3次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7CA147">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3E48D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9E2703">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826BA">
            <w:pPr>
              <w:jc w:val="center"/>
            </w:pPr>
            <w:r>
              <w:rPr>
                <w:rFonts w:ascii="宋体" w:hAnsi="宋体" w:eastAsia="宋体"/>
                <w:sz w:val="16"/>
              </w:rPr>
              <w:t>20</w:t>
            </w:r>
          </w:p>
        </w:tc>
      </w:tr>
      <w:tr w14:paraId="6448AAA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E41AE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B44F5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C006C">
            <w:pPr>
              <w:jc w:val="center"/>
            </w:pPr>
            <w:r>
              <w:rPr>
                <w:rFonts w:ascii="宋体" w:hAnsi="宋体" w:eastAsia="宋体"/>
                <w:sz w:val="16"/>
              </w:rPr>
              <w:t>机构改革监督检查次数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80315C">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0A3DF6">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EFBD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0A0B17">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1AF824">
            <w:pPr>
              <w:jc w:val="center"/>
            </w:pPr>
            <w:r>
              <w:rPr>
                <w:rFonts w:ascii="宋体" w:hAnsi="宋体" w:eastAsia="宋体"/>
                <w:sz w:val="16"/>
              </w:rPr>
              <w:t>20</w:t>
            </w:r>
          </w:p>
        </w:tc>
      </w:tr>
      <w:tr w14:paraId="679126B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A48FF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4D9E1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E99C2E">
            <w:pPr>
              <w:jc w:val="center"/>
            </w:pPr>
            <w:r>
              <w:rPr>
                <w:rFonts w:ascii="宋体" w:hAnsi="宋体" w:eastAsia="宋体"/>
                <w:sz w:val="16"/>
              </w:rPr>
              <w:t>机构改革方案对接、上报次数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5143C3">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DCD9E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11D3C9">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3EE497">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33A920">
            <w:pPr>
              <w:jc w:val="center"/>
            </w:pPr>
            <w:r>
              <w:rPr>
                <w:rFonts w:ascii="宋体" w:hAnsi="宋体" w:eastAsia="宋体"/>
                <w:sz w:val="16"/>
              </w:rPr>
              <w:t>25</w:t>
            </w:r>
          </w:p>
        </w:tc>
      </w:tr>
      <w:tr w14:paraId="0E09408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D836F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612EE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51067C">
            <w:pPr>
              <w:jc w:val="center"/>
            </w:pPr>
            <w:r>
              <w:rPr>
                <w:rFonts w:ascii="宋体" w:hAnsi="宋体" w:eastAsia="宋体"/>
                <w:sz w:val="16"/>
              </w:rPr>
              <w:t>机构改革会议培训次数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3F700">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C1EDD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815F36">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8B7E40">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B106B">
            <w:pPr>
              <w:jc w:val="center"/>
            </w:pPr>
            <w:r>
              <w:rPr>
                <w:rFonts w:ascii="宋体" w:hAnsi="宋体" w:eastAsia="宋体"/>
                <w:sz w:val="16"/>
              </w:rPr>
              <w:t>25</w:t>
            </w:r>
          </w:p>
        </w:tc>
      </w:tr>
    </w:tbl>
    <w:p w14:paraId="54558D9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14:paraId="07B4142A">
        <w:tblPrEx>
          <w:tblCellMar>
            <w:top w:w="0" w:type="dxa"/>
            <w:left w:w="108" w:type="dxa"/>
            <w:bottom w:w="0" w:type="dxa"/>
            <w:right w:w="108" w:type="dxa"/>
          </w:tblCellMar>
        </w:tblPrEx>
        <w:tc>
          <w:tcPr>
            <w:tcW w:w="8848" w:type="dxa"/>
            <w:gridSpan w:val="14"/>
            <w:vAlign w:val="center"/>
          </w:tcPr>
          <w:p w14:paraId="7EC6DDA5">
            <w:pPr>
              <w:jc w:val="center"/>
            </w:pPr>
            <w:r>
              <w:rPr>
                <w:rFonts w:ascii="宋体" w:hAnsi="宋体" w:eastAsia="宋体"/>
                <w:sz w:val="24"/>
              </w:rPr>
              <w:t>项目支出绩效自评表</w:t>
            </w:r>
          </w:p>
        </w:tc>
      </w:tr>
      <w:tr w14:paraId="6195A0CE">
        <w:tblPrEx>
          <w:tblCellMar>
            <w:top w:w="0" w:type="dxa"/>
            <w:left w:w="108" w:type="dxa"/>
            <w:bottom w:w="0" w:type="dxa"/>
            <w:right w:w="108" w:type="dxa"/>
          </w:tblCellMar>
        </w:tblPrEx>
        <w:tc>
          <w:tcPr>
            <w:tcW w:w="8848" w:type="dxa"/>
            <w:gridSpan w:val="14"/>
            <w:vAlign w:val="center"/>
          </w:tcPr>
          <w:p w14:paraId="6111BDA1">
            <w:pPr>
              <w:jc w:val="center"/>
            </w:pPr>
            <w:r>
              <w:rPr>
                <w:rFonts w:ascii="宋体" w:hAnsi="宋体" w:eastAsia="宋体"/>
                <w:sz w:val="24"/>
              </w:rPr>
              <w:t>(2024年度)</w:t>
            </w:r>
          </w:p>
        </w:tc>
      </w:tr>
      <w:tr w14:paraId="4C1EA4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11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6283C0">
            <w:pPr>
              <w:jc w:val="center"/>
            </w:pPr>
            <w:r>
              <w:rPr>
                <w:rFonts w:ascii="宋体" w:hAnsi="宋体" w:eastAsia="宋体"/>
                <w:sz w:val="16"/>
              </w:rPr>
              <w:t>2024年工作队为民办实事经费</w:t>
            </w:r>
          </w:p>
        </w:tc>
      </w:tr>
      <w:tr w14:paraId="40BDEF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53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ED06A8">
            <w:pPr>
              <w:jc w:val="center"/>
            </w:pPr>
            <w:r>
              <w:rPr>
                <w:rFonts w:ascii="宋体" w:hAnsi="宋体" w:eastAsia="宋体"/>
                <w:sz w:val="16"/>
              </w:rPr>
              <w:t>中共巴音郭楞蒙古自治州委员会机构编制委员会办公室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D0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76C929">
            <w:pPr>
              <w:jc w:val="center"/>
            </w:pPr>
            <w:r>
              <w:rPr>
                <w:rFonts w:ascii="宋体" w:hAnsi="宋体" w:eastAsia="宋体"/>
                <w:sz w:val="16"/>
              </w:rPr>
              <w:t>中共巴音郭楞蒙古自治州委员会机构编制委员会办公室</w:t>
            </w:r>
          </w:p>
        </w:tc>
      </w:tr>
      <w:tr w14:paraId="5DD66C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98BB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02B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040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C03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E2B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42C5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596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5BA1">
            <w:pPr>
              <w:jc w:val="center"/>
            </w:pPr>
            <w:r>
              <w:rPr>
                <w:rFonts w:ascii="宋体" w:hAnsi="宋体" w:eastAsia="宋体"/>
                <w:sz w:val="16"/>
              </w:rPr>
              <w:t>得分</w:t>
            </w:r>
          </w:p>
        </w:tc>
      </w:tr>
      <w:tr w14:paraId="120D7D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F1E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6A0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3FCB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6800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4E56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D8C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785E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7E1B6">
            <w:pPr>
              <w:jc w:val="center"/>
            </w:pPr>
            <w:r>
              <w:rPr>
                <w:rFonts w:ascii="宋体" w:hAnsi="宋体" w:eastAsia="宋体"/>
                <w:sz w:val="16"/>
              </w:rPr>
              <w:t>10.00</w:t>
            </w:r>
          </w:p>
        </w:tc>
      </w:tr>
      <w:tr w14:paraId="1892A0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7B2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5CA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B440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330F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AFD3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D77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F0F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6FF8">
            <w:pPr>
              <w:jc w:val="center"/>
            </w:pPr>
            <w:r>
              <w:rPr>
                <w:rFonts w:ascii="宋体" w:hAnsi="宋体" w:eastAsia="宋体"/>
                <w:sz w:val="16"/>
              </w:rPr>
              <w:t>-</w:t>
            </w:r>
          </w:p>
        </w:tc>
      </w:tr>
      <w:tr w14:paraId="5D705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6FE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D18E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C3A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D9E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A85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510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DB8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8A7E">
            <w:pPr>
              <w:jc w:val="center"/>
            </w:pPr>
            <w:r>
              <w:rPr>
                <w:rFonts w:ascii="宋体" w:hAnsi="宋体" w:eastAsia="宋体"/>
                <w:sz w:val="16"/>
              </w:rPr>
              <w:t>-</w:t>
            </w:r>
          </w:p>
        </w:tc>
      </w:tr>
      <w:tr w14:paraId="76895A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2CAE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1733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7FF047">
            <w:pPr>
              <w:jc w:val="center"/>
            </w:pPr>
            <w:r>
              <w:rPr>
                <w:rFonts w:ascii="宋体" w:hAnsi="宋体" w:eastAsia="宋体"/>
                <w:sz w:val="16"/>
              </w:rPr>
              <w:t>总体目标完成情况</w:t>
            </w:r>
          </w:p>
        </w:tc>
      </w:tr>
      <w:tr w14:paraId="4B3FF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A1C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32DA26">
            <w:pPr>
              <w:jc w:val="both"/>
            </w:pPr>
            <w:r>
              <w:rPr>
                <w:rFonts w:ascii="宋体" w:hAnsi="宋体" w:eastAsia="宋体"/>
                <w:sz w:val="16"/>
              </w:rPr>
              <w:t>根据巴财预</w:t>
            </w:r>
            <w:r>
              <w:rPr>
                <w:rFonts w:hint="eastAsia" w:ascii="宋体" w:hAnsi="宋体"/>
                <w:sz w:val="16"/>
                <w:lang w:eastAsia="zh-CN"/>
              </w:rPr>
              <w:t>〔2024〕16号</w:t>
            </w:r>
            <w:r>
              <w:rPr>
                <w:rFonts w:ascii="宋体" w:hAnsi="宋体" w:eastAsia="宋体"/>
                <w:sz w:val="16"/>
              </w:rPr>
              <w:t>，通过派驻和静县哈尔莫敦镇乌兰尕扎尔村工作队1个，第一书记1人，工作队员4人,合理合规使用为民办实事经费，确保为民办实事经费使用的安全性、规范性和实效性，确保为民办实事工作经费落实到实处，达到提高居民生活水平，有效提升群众获得感和满意度。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627DBE">
            <w:pPr>
              <w:jc w:val="both"/>
            </w:pPr>
            <w:r>
              <w:rPr>
                <w:rFonts w:ascii="宋体" w:hAnsi="宋体" w:eastAsia="宋体"/>
                <w:sz w:val="16"/>
              </w:rPr>
              <w:t>已完成派驻工作队1个，队员4人，已完成组织开展节日期间米面油等生活物资慰问，将党的关怀及时送到群众心里，加强民族团结，促进了社会稳定和谐，切实</w:t>
            </w:r>
            <w:r>
              <w:rPr>
                <w:rFonts w:hint="eastAsia" w:ascii="宋体" w:hAnsi="宋体"/>
                <w:sz w:val="16"/>
                <w:lang w:eastAsia="zh-CN"/>
              </w:rPr>
              <w:t>地</w:t>
            </w:r>
            <w:r>
              <w:rPr>
                <w:rFonts w:ascii="宋体" w:hAnsi="宋体" w:eastAsia="宋体"/>
                <w:sz w:val="16"/>
              </w:rPr>
              <w:t>把党的关怀送到每位受慰问的群众之中，进一步拉近党群关系，组织凝聚力、向心力、提升</w:t>
            </w:r>
            <w:r>
              <w:rPr>
                <w:rFonts w:hint="eastAsia" w:ascii="宋体" w:hAnsi="宋体"/>
                <w:sz w:val="16"/>
                <w:lang w:eastAsia="zh-CN"/>
              </w:rPr>
              <w:t>广大</w:t>
            </w:r>
            <w:r>
              <w:rPr>
                <w:rFonts w:ascii="宋体" w:hAnsi="宋体" w:eastAsia="宋体"/>
                <w:sz w:val="16"/>
              </w:rPr>
              <w:t>群众幸福感。</w:t>
            </w:r>
          </w:p>
        </w:tc>
      </w:tr>
      <w:tr w14:paraId="399363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413C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12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A9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DA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DDD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C3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8CB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163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2C9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C6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97E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605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880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B04E">
            <w:pPr>
              <w:jc w:val="center"/>
            </w:pPr>
            <w:r>
              <w:rPr>
                <w:rFonts w:ascii="宋体" w:hAnsi="宋体" w:eastAsia="宋体"/>
                <w:sz w:val="16"/>
              </w:rPr>
              <w:t>偏差原因分析及改进措施</w:t>
            </w:r>
          </w:p>
        </w:tc>
      </w:tr>
      <w:tr w14:paraId="7B08E4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ACE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23A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C05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C8FD">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467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B0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AF7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6F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4A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BC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CC1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1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E7A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CC37">
            <w:pPr>
              <w:jc w:val="center"/>
            </w:pPr>
          </w:p>
        </w:tc>
      </w:tr>
      <w:tr w14:paraId="3596F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368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9E4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D34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84F7">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63EF">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D0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2CC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9D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9A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D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DC41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C5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D5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8386">
            <w:pPr>
              <w:jc w:val="center"/>
            </w:pPr>
          </w:p>
        </w:tc>
      </w:tr>
      <w:tr w14:paraId="5D440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CC1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AB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AA5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4461">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1D7F">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EF4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9A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79F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6A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E0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7197">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53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16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EB0A">
            <w:pPr>
              <w:jc w:val="center"/>
            </w:pPr>
          </w:p>
        </w:tc>
      </w:tr>
      <w:tr w14:paraId="254A40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14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E3B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3E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0BE7">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A5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8C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56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4D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C53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D7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4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4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690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1C42">
            <w:pPr>
              <w:jc w:val="center"/>
            </w:pPr>
          </w:p>
        </w:tc>
      </w:tr>
      <w:tr w14:paraId="379D1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186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663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DD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7F6A">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8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28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423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12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99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13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4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52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E3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E077">
            <w:pPr>
              <w:jc w:val="center"/>
            </w:pPr>
          </w:p>
        </w:tc>
      </w:tr>
      <w:tr w14:paraId="7DD996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BBF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750B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994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5D59">
            <w:pPr>
              <w:jc w:val="center"/>
            </w:pPr>
            <w:r>
              <w:rPr>
                <w:rFonts w:ascii="宋体" w:hAnsi="宋体" w:eastAsia="宋体"/>
                <w:sz w:val="16"/>
              </w:rPr>
              <w:t>为民办事经费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C77F">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4C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D38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FD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A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62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ABEF">
            <w:pPr>
              <w:jc w:val="center"/>
            </w:pPr>
            <w:r>
              <w:rPr>
                <w:rFonts w:ascii="宋体" w:hAnsi="宋体" w:eastAsia="宋体"/>
                <w:sz w:val="16"/>
              </w:rPr>
              <w:t>=14.6万元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A51F">
            <w:pPr>
              <w:jc w:val="center"/>
            </w:pPr>
            <w:r>
              <w:rPr>
                <w:rFonts w:ascii="宋体" w:hAnsi="宋体" w:eastAsia="宋体"/>
                <w:sz w:val="16"/>
              </w:rPr>
              <w:t>97.33%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1B91">
            <w:pPr>
              <w:jc w:val="center"/>
            </w:pPr>
            <w:r>
              <w:rPr>
                <w:rFonts w:ascii="宋体" w:hAnsi="宋体" w:eastAsia="宋体"/>
                <w:sz w:val="16"/>
              </w:rPr>
              <w:t>9.33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14C9">
            <w:pPr>
              <w:jc w:val="center"/>
            </w:pPr>
            <w:r>
              <w:rPr>
                <w:rFonts w:ascii="宋体" w:hAnsi="宋体" w:eastAsia="宋体"/>
                <w:sz w:val="16"/>
              </w:rPr>
              <w:t>根据工作内容安排，办实事的项目进行了微调整，</w:t>
            </w:r>
            <w:r>
              <w:rPr>
                <w:rFonts w:hint="eastAsia" w:ascii="宋体" w:hAnsi="宋体"/>
                <w:sz w:val="16"/>
                <w:lang w:eastAsia="zh-CN"/>
              </w:rPr>
              <w:t>侧重访</w:t>
            </w:r>
            <w:r>
              <w:rPr>
                <w:rFonts w:ascii="宋体" w:hAnsi="宋体" w:eastAsia="宋体"/>
                <w:sz w:val="16"/>
              </w:rPr>
              <w:t>贫慰问，解决群众实际问题，加大了支出。</w:t>
            </w:r>
          </w:p>
        </w:tc>
      </w:tr>
      <w:tr w14:paraId="70ED7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200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9E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435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3D81">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E35A">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51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B4C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B7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6C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81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0CDF">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015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8E4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302C">
            <w:pPr>
              <w:jc w:val="center"/>
            </w:pPr>
            <w:r>
              <w:rPr>
                <w:rFonts w:ascii="宋体" w:hAnsi="宋体" w:eastAsia="宋体"/>
                <w:sz w:val="16"/>
              </w:rPr>
              <w:t>根据工作内容安排，办实事的项目进行了微调整，</w:t>
            </w:r>
            <w:r>
              <w:rPr>
                <w:rFonts w:hint="eastAsia" w:ascii="宋体" w:hAnsi="宋体"/>
                <w:sz w:val="16"/>
                <w:lang w:eastAsia="zh-CN"/>
              </w:rPr>
              <w:t>侧重访</w:t>
            </w:r>
            <w:r>
              <w:rPr>
                <w:rFonts w:ascii="宋体" w:hAnsi="宋体" w:eastAsia="宋体"/>
                <w:sz w:val="16"/>
              </w:rPr>
              <w:t>贫慰问，解决群众实际问题，加大了支出。</w:t>
            </w:r>
          </w:p>
        </w:tc>
      </w:tr>
      <w:tr w14:paraId="44439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4E5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75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3B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C069">
            <w:pPr>
              <w:jc w:val="center"/>
            </w:pPr>
            <w:r>
              <w:rPr>
                <w:rFonts w:ascii="宋体" w:hAnsi="宋体" w:eastAsia="宋体"/>
                <w:sz w:val="16"/>
              </w:rPr>
              <w:t>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0D9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F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A52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5B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BE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4B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80B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9F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6A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877F">
            <w:pPr>
              <w:jc w:val="center"/>
            </w:pPr>
          </w:p>
        </w:tc>
      </w:tr>
      <w:tr w14:paraId="41DB0D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7C1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D6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82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78F4">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63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22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B5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0A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72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D1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AA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E30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05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D8E5">
            <w:pPr>
              <w:jc w:val="center"/>
            </w:pPr>
          </w:p>
        </w:tc>
      </w:tr>
      <w:tr w14:paraId="6097DB1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E4BEF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3D78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1444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479C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E6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9A67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F46F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3C8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04C3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5156">
            <w:pPr>
              <w:jc w:val="center"/>
            </w:pPr>
            <w:r>
              <w:rPr>
                <w:rFonts w:ascii="宋体" w:hAnsi="宋体" w:eastAsia="宋体"/>
                <w:sz w:val="16"/>
              </w:rPr>
              <w:t>89.33分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7038FC"/>
        </w:tc>
      </w:tr>
    </w:tbl>
    <w:p w14:paraId="204100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553B81AA">
        <w:tblPrEx>
          <w:tblCellMar>
            <w:top w:w="0" w:type="dxa"/>
            <w:left w:w="108" w:type="dxa"/>
            <w:bottom w:w="0" w:type="dxa"/>
            <w:right w:w="108" w:type="dxa"/>
          </w:tblCellMar>
        </w:tblPrEx>
        <w:tc>
          <w:tcPr>
            <w:tcW w:w="8848" w:type="dxa"/>
            <w:gridSpan w:val="14"/>
            <w:vAlign w:val="center"/>
          </w:tcPr>
          <w:p w14:paraId="0C419274">
            <w:pPr>
              <w:jc w:val="center"/>
            </w:pPr>
            <w:r>
              <w:rPr>
                <w:rFonts w:ascii="宋体" w:hAnsi="宋体" w:eastAsia="宋体"/>
                <w:sz w:val="24"/>
              </w:rPr>
              <w:t>项目支出绩效自评表</w:t>
            </w:r>
          </w:p>
        </w:tc>
      </w:tr>
      <w:tr w14:paraId="40593ADF">
        <w:tblPrEx>
          <w:tblCellMar>
            <w:top w:w="0" w:type="dxa"/>
            <w:left w:w="108" w:type="dxa"/>
            <w:bottom w:w="0" w:type="dxa"/>
            <w:right w:w="108" w:type="dxa"/>
          </w:tblCellMar>
        </w:tblPrEx>
        <w:tc>
          <w:tcPr>
            <w:tcW w:w="8848" w:type="dxa"/>
            <w:gridSpan w:val="14"/>
            <w:vAlign w:val="center"/>
          </w:tcPr>
          <w:p w14:paraId="55C93277">
            <w:pPr>
              <w:jc w:val="center"/>
            </w:pPr>
            <w:r>
              <w:rPr>
                <w:rFonts w:ascii="宋体" w:hAnsi="宋体" w:eastAsia="宋体"/>
                <w:sz w:val="24"/>
              </w:rPr>
              <w:t>(2024年度)</w:t>
            </w:r>
          </w:p>
        </w:tc>
      </w:tr>
      <w:tr w14:paraId="1A4483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3D9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9EF1AD">
            <w:pPr>
              <w:jc w:val="center"/>
            </w:pPr>
            <w:r>
              <w:rPr>
                <w:rFonts w:ascii="宋体" w:hAnsi="宋体" w:eastAsia="宋体"/>
                <w:sz w:val="16"/>
              </w:rPr>
              <w:t>机构编制工作项目</w:t>
            </w:r>
          </w:p>
        </w:tc>
      </w:tr>
      <w:tr w14:paraId="77117A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62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CA9963">
            <w:pPr>
              <w:jc w:val="center"/>
            </w:pPr>
            <w:r>
              <w:rPr>
                <w:rFonts w:ascii="宋体" w:hAnsi="宋体" w:eastAsia="宋体"/>
                <w:sz w:val="16"/>
              </w:rPr>
              <w:t>中共巴音郭楞蒙古自治州委员会机构编制委员会办公室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D2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8DAFDC">
            <w:pPr>
              <w:jc w:val="center"/>
            </w:pPr>
            <w:r>
              <w:rPr>
                <w:rFonts w:ascii="宋体" w:hAnsi="宋体" w:eastAsia="宋体"/>
                <w:sz w:val="16"/>
              </w:rPr>
              <w:t>中共巴音郭楞蒙古自治州委员会机构编制委员会办公室</w:t>
            </w:r>
          </w:p>
        </w:tc>
      </w:tr>
      <w:tr w14:paraId="3A11EB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DF7C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955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171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FC6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17D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D076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A4F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ED9C">
            <w:pPr>
              <w:jc w:val="center"/>
            </w:pPr>
            <w:r>
              <w:rPr>
                <w:rFonts w:ascii="宋体" w:hAnsi="宋体" w:eastAsia="宋体"/>
                <w:sz w:val="16"/>
              </w:rPr>
              <w:t>得分</w:t>
            </w:r>
          </w:p>
        </w:tc>
      </w:tr>
      <w:tr w14:paraId="792435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BF03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9A4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692F5">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CD700">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ABDFE">
            <w:pPr>
              <w:jc w:val="center"/>
            </w:pPr>
            <w:r>
              <w:rPr>
                <w:rFonts w:ascii="宋体" w:hAnsi="宋体" w:eastAsia="宋体"/>
                <w:sz w:val="16"/>
              </w:rPr>
              <w:t>15.96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0A3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35F0F">
            <w:pPr>
              <w:jc w:val="center"/>
            </w:pPr>
            <w:r>
              <w:rPr>
                <w:rFonts w:ascii="宋体" w:hAnsi="宋体" w:eastAsia="宋体"/>
                <w:sz w:val="16"/>
              </w:rPr>
              <w:t>99.75%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6777">
            <w:pPr>
              <w:jc w:val="center"/>
            </w:pPr>
            <w:r>
              <w:rPr>
                <w:rFonts w:ascii="宋体" w:hAnsi="宋体" w:eastAsia="宋体"/>
                <w:sz w:val="16"/>
              </w:rPr>
              <w:t>10.00</w:t>
            </w:r>
          </w:p>
        </w:tc>
      </w:tr>
      <w:tr w14:paraId="42C09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D7D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0AC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A582A">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581DA">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34E35">
            <w:pPr>
              <w:jc w:val="center"/>
            </w:pPr>
            <w:r>
              <w:rPr>
                <w:rFonts w:ascii="宋体" w:hAnsi="宋体" w:eastAsia="宋体"/>
                <w:sz w:val="16"/>
              </w:rPr>
              <w:t>15.96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C1C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2F3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EE8B">
            <w:pPr>
              <w:jc w:val="center"/>
            </w:pPr>
            <w:r>
              <w:rPr>
                <w:rFonts w:ascii="宋体" w:hAnsi="宋体" w:eastAsia="宋体"/>
                <w:sz w:val="16"/>
              </w:rPr>
              <w:t>-</w:t>
            </w:r>
          </w:p>
        </w:tc>
      </w:tr>
      <w:tr w14:paraId="6C6ECE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81E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D718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062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BF0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F8B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7FF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9D5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23EB">
            <w:pPr>
              <w:jc w:val="center"/>
            </w:pPr>
            <w:r>
              <w:rPr>
                <w:rFonts w:ascii="宋体" w:hAnsi="宋体" w:eastAsia="宋体"/>
                <w:sz w:val="16"/>
              </w:rPr>
              <w:t>-</w:t>
            </w:r>
          </w:p>
        </w:tc>
      </w:tr>
      <w:tr w14:paraId="359C98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758E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9E14E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35DF0E">
            <w:pPr>
              <w:jc w:val="center"/>
            </w:pPr>
            <w:r>
              <w:rPr>
                <w:rFonts w:ascii="宋体" w:hAnsi="宋体" w:eastAsia="宋体"/>
                <w:sz w:val="16"/>
              </w:rPr>
              <w:t>总体目标完成情况</w:t>
            </w:r>
          </w:p>
        </w:tc>
      </w:tr>
      <w:tr w14:paraId="70B15B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E5F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6B5A49">
            <w:pPr>
              <w:jc w:val="both"/>
            </w:pPr>
            <w:r>
              <w:rPr>
                <w:rFonts w:ascii="宋体" w:hAnsi="宋体" w:eastAsia="宋体"/>
                <w:sz w:val="16"/>
              </w:rPr>
              <w:t>根据《国家党政机构改革方案》和自治区党委对本轮党政机构、事业单位改革相关工作部署，稳妥推进自治州本级党政机构、事业单位改革，指导县（市）制定县（市）党政机构、事业单位改革方案。为进一步落实中央和自治区党委关于党政机构改革和深化事业单位改革部署要求，机构改革方案对接、上报预计6次，购置办公用品办公耗材预计2批，有效保障单位工作正常运转；并赴县市督促指导评估机构改革工作，确保全州党政机构改革和深化事业单位改革如期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B3C332">
            <w:pPr>
              <w:jc w:val="both"/>
            </w:pPr>
            <w:r>
              <w:rPr>
                <w:rFonts w:ascii="宋体" w:hAnsi="宋体" w:eastAsia="宋体"/>
                <w:sz w:val="16"/>
              </w:rPr>
              <w:t>为进一步落实中央和自治区党委关于党政机构改革和深化事业单位改革部署要求，机构改革方案对接、上报6次，购置办公用品办公耗材3批，有效保障单位工作正常运转；并赴县市督促指导评估机构改革工作，促进机构编制资源使用效率进一步提升新台阶。</w:t>
            </w:r>
          </w:p>
        </w:tc>
      </w:tr>
      <w:tr w14:paraId="270A5E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8B05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6D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C8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3D9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5F7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C0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5FD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ECF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ED6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45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133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ECB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8C5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997C">
            <w:pPr>
              <w:jc w:val="center"/>
            </w:pPr>
            <w:r>
              <w:rPr>
                <w:rFonts w:ascii="宋体" w:hAnsi="宋体" w:eastAsia="宋体"/>
                <w:sz w:val="16"/>
              </w:rPr>
              <w:t>偏差原因分析及改进措施</w:t>
            </w:r>
          </w:p>
        </w:tc>
      </w:tr>
      <w:tr w14:paraId="032644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75F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9E6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11B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DA2F">
            <w:pPr>
              <w:jc w:val="center"/>
            </w:pPr>
            <w:r>
              <w:rPr>
                <w:rFonts w:ascii="宋体" w:hAnsi="宋体" w:eastAsia="宋体"/>
                <w:sz w:val="16"/>
              </w:rPr>
              <w:t>办公用品采购批次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98B8">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9C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AE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DB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E5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37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415A">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BE75">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5EB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AD92">
            <w:pPr>
              <w:jc w:val="center"/>
            </w:pPr>
            <w:r>
              <w:rPr>
                <w:rFonts w:ascii="宋体" w:hAnsi="宋体" w:eastAsia="宋体"/>
                <w:sz w:val="16"/>
              </w:rPr>
              <w:t>本年</w:t>
            </w:r>
            <w:r>
              <w:rPr>
                <w:rFonts w:hint="eastAsia" w:ascii="宋体" w:hAnsi="宋体"/>
                <w:sz w:val="16"/>
                <w:lang w:eastAsia="zh-CN"/>
              </w:rPr>
              <w:t>部门</w:t>
            </w:r>
            <w:r>
              <w:rPr>
                <w:rFonts w:ascii="宋体" w:hAnsi="宋体" w:eastAsia="宋体"/>
                <w:sz w:val="16"/>
              </w:rPr>
              <w:t>新增加中央全国性乡镇履职事项清单工作，增加采购办公用品次数。</w:t>
            </w:r>
          </w:p>
        </w:tc>
      </w:tr>
      <w:tr w14:paraId="0F5B85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D39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F7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CC8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C9D1">
            <w:pPr>
              <w:jc w:val="center"/>
            </w:pPr>
            <w:r>
              <w:rPr>
                <w:rFonts w:ascii="宋体" w:hAnsi="宋体" w:eastAsia="宋体"/>
                <w:sz w:val="16"/>
              </w:rPr>
              <w:t>机构改革方案对接、上报次数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62C8">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001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A2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39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4A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6A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8084">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0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6D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CCC8">
            <w:pPr>
              <w:jc w:val="center"/>
            </w:pPr>
          </w:p>
        </w:tc>
      </w:tr>
      <w:tr w14:paraId="387463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E0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157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189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8A91">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3535">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09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B3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B4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56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5A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9AB0">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6FEC">
            <w:pPr>
              <w:jc w:val="center"/>
            </w:pPr>
            <w:r>
              <w:rPr>
                <w:rFonts w:ascii="宋体" w:hAnsi="宋体" w:eastAsia="宋体"/>
                <w:sz w:val="16"/>
              </w:rPr>
              <w:t>107.14%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027E">
            <w:pPr>
              <w:jc w:val="center"/>
            </w:pPr>
            <w:r>
              <w:rPr>
                <w:rFonts w:ascii="宋体" w:hAnsi="宋体" w:eastAsia="宋体"/>
                <w:sz w:val="16"/>
              </w:rPr>
              <w:t>4.64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A73E">
            <w:pPr>
              <w:jc w:val="center"/>
            </w:pPr>
            <w:r>
              <w:rPr>
                <w:rFonts w:ascii="宋体" w:hAnsi="宋体" w:eastAsia="宋体"/>
                <w:sz w:val="16"/>
              </w:rPr>
              <w:t>本年</w:t>
            </w:r>
            <w:r>
              <w:rPr>
                <w:rFonts w:hint="eastAsia" w:ascii="宋体" w:hAnsi="宋体"/>
                <w:sz w:val="16"/>
                <w:lang w:eastAsia="zh-CN"/>
              </w:rPr>
              <w:t>部门</w:t>
            </w:r>
            <w:r>
              <w:rPr>
                <w:rFonts w:ascii="宋体" w:hAnsi="宋体" w:eastAsia="宋体"/>
                <w:sz w:val="16"/>
              </w:rPr>
              <w:t>新调入一名在职干部。</w:t>
            </w:r>
          </w:p>
        </w:tc>
      </w:tr>
      <w:tr w14:paraId="04CBD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070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42C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882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87E2">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C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FA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AB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8B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16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E0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B7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D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9E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F0FC">
            <w:pPr>
              <w:jc w:val="center"/>
            </w:pPr>
          </w:p>
        </w:tc>
      </w:tr>
      <w:tr w14:paraId="46A29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D0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A9D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814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FA88">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86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5D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B6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5F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5A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1C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9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32F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C5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01A6">
            <w:pPr>
              <w:jc w:val="center"/>
            </w:pPr>
          </w:p>
        </w:tc>
      </w:tr>
      <w:tr w14:paraId="74F2D4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7FC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556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143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9001">
            <w:pPr>
              <w:jc w:val="center"/>
            </w:pPr>
            <w:r>
              <w:rPr>
                <w:rFonts w:ascii="宋体" w:hAnsi="宋体" w:eastAsia="宋体"/>
                <w:sz w:val="16"/>
              </w:rPr>
              <w:t>采购办公用品按时完成率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3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B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A3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0E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087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97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2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AB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EE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00AE">
            <w:pPr>
              <w:jc w:val="center"/>
            </w:pPr>
          </w:p>
        </w:tc>
      </w:tr>
      <w:tr w14:paraId="02C6E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AA1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14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C8F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B11C">
            <w:pPr>
              <w:jc w:val="center"/>
            </w:pPr>
            <w:r>
              <w:rPr>
                <w:rFonts w:ascii="宋体" w:hAnsi="宋体" w:eastAsia="宋体"/>
                <w:sz w:val="16"/>
              </w:rPr>
              <w:t>机构改革方案对接、上报工作经费支付及时率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F5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52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82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93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E6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4F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4A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6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17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811A">
            <w:pPr>
              <w:jc w:val="center"/>
            </w:pPr>
          </w:p>
        </w:tc>
      </w:tr>
      <w:tr w14:paraId="67D395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43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A36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76A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24D9">
            <w:pPr>
              <w:jc w:val="center"/>
            </w:pPr>
            <w:r>
              <w:rPr>
                <w:rFonts w:ascii="宋体" w:hAnsi="宋体" w:eastAsia="宋体"/>
                <w:sz w:val="16"/>
              </w:rPr>
              <w:t>综合办公经费支付及时率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DD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BC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D2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2A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2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7A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CF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51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BB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1060">
            <w:pPr>
              <w:jc w:val="center"/>
            </w:pPr>
          </w:p>
        </w:tc>
      </w:tr>
      <w:tr w14:paraId="69585E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BC6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9752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2CC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4A74">
            <w:pPr>
              <w:jc w:val="center"/>
            </w:pPr>
            <w:r>
              <w:rPr>
                <w:rFonts w:ascii="宋体" w:hAnsi="宋体" w:eastAsia="宋体"/>
                <w:sz w:val="16"/>
              </w:rPr>
              <w:t>办公用品采购成本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095C">
            <w:pPr>
              <w:jc w:val="center"/>
            </w:pPr>
            <w:r>
              <w:rPr>
                <w:rFonts w:ascii="宋体" w:hAnsi="宋体" w:eastAsia="宋体"/>
                <w:sz w:val="16"/>
              </w:rPr>
              <w:t>&lt;=5.50万元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20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13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7C9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95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613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955C">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A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E0F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DA87">
            <w:pPr>
              <w:jc w:val="center"/>
            </w:pPr>
          </w:p>
        </w:tc>
      </w:tr>
      <w:tr w14:paraId="7B13B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93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34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DF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B98E">
            <w:pPr>
              <w:jc w:val="center"/>
            </w:pPr>
            <w:r>
              <w:rPr>
                <w:rFonts w:ascii="宋体" w:hAnsi="宋体" w:eastAsia="宋体"/>
                <w:sz w:val="16"/>
              </w:rPr>
              <w:t>综合办公经费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DF25">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E6F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C4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BA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565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5F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2A56">
            <w:pPr>
              <w:jc w:val="center"/>
            </w:pPr>
            <w:r>
              <w:rPr>
                <w:rFonts w:ascii="宋体" w:hAnsi="宋体" w:eastAsia="宋体"/>
                <w:sz w:val="16"/>
              </w:rPr>
              <w:t>=6.45万元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4A1AF">
            <w:pPr>
              <w:jc w:val="center"/>
            </w:pPr>
            <w:r>
              <w:rPr>
                <w:rFonts w:ascii="宋体" w:hAnsi="宋体" w:eastAsia="宋体"/>
                <w:sz w:val="16"/>
              </w:rPr>
              <w:t>99.23%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3166">
            <w:pPr>
              <w:jc w:val="center"/>
            </w:pPr>
            <w:r>
              <w:rPr>
                <w:rFonts w:ascii="宋体" w:hAnsi="宋体" w:eastAsia="宋体"/>
                <w:sz w:val="16"/>
              </w:rPr>
              <w:t>6.87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10EF">
            <w:pPr>
              <w:jc w:val="center"/>
            </w:pPr>
            <w:r>
              <w:rPr>
                <w:rFonts w:ascii="宋体" w:hAnsi="宋体" w:eastAsia="宋体"/>
                <w:sz w:val="16"/>
              </w:rPr>
              <w:t>本年</w:t>
            </w:r>
            <w:r>
              <w:rPr>
                <w:rFonts w:hint="eastAsia" w:ascii="宋体" w:hAnsi="宋体"/>
                <w:sz w:val="16"/>
                <w:lang w:eastAsia="zh-CN"/>
              </w:rPr>
              <w:t>部门</w:t>
            </w:r>
            <w:r>
              <w:rPr>
                <w:rFonts w:ascii="宋体" w:hAnsi="宋体" w:eastAsia="宋体"/>
                <w:sz w:val="16"/>
              </w:rPr>
              <w:t>落实过紧日子政策，与相关部门沟通减少报刊杂志征订。</w:t>
            </w:r>
          </w:p>
        </w:tc>
      </w:tr>
      <w:tr w14:paraId="693C8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B6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6EF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05C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C790">
            <w:pPr>
              <w:jc w:val="center"/>
            </w:pPr>
            <w:r>
              <w:rPr>
                <w:rFonts w:ascii="宋体" w:hAnsi="宋体" w:eastAsia="宋体"/>
                <w:sz w:val="16"/>
              </w:rPr>
              <w:t>机构改革方案对接、上报工作经费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79E8">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80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D9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5D1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CA6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9D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1B0C">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88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274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746C">
            <w:pPr>
              <w:jc w:val="center"/>
            </w:pPr>
          </w:p>
        </w:tc>
      </w:tr>
      <w:tr w14:paraId="4F9F6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8C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56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8E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2D98">
            <w:pPr>
              <w:jc w:val="center"/>
            </w:pPr>
            <w:r>
              <w:rPr>
                <w:rFonts w:ascii="宋体" w:hAnsi="宋体" w:eastAsia="宋体"/>
                <w:sz w:val="16"/>
              </w:rPr>
              <w:t>单位机构编制使用效益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74F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17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CB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66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A1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FF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79B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FD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52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F4CF">
            <w:pPr>
              <w:jc w:val="center"/>
            </w:pPr>
          </w:p>
        </w:tc>
      </w:tr>
      <w:tr w14:paraId="0CD6A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A37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59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9E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8540">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78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42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7D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85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3C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E0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B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37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AF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019D">
            <w:pPr>
              <w:jc w:val="center"/>
            </w:pPr>
          </w:p>
        </w:tc>
      </w:tr>
      <w:tr w14:paraId="00924F2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B39E7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9937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8125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16E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6B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9997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CF1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3EF8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64E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0A05">
            <w:pPr>
              <w:jc w:val="center"/>
            </w:pPr>
            <w:r>
              <w:rPr>
                <w:rFonts w:ascii="宋体" w:hAnsi="宋体" w:eastAsia="宋体"/>
                <w:sz w:val="16"/>
              </w:rPr>
              <w:t>97.01分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3C11C3"/>
        </w:tc>
      </w:tr>
    </w:tbl>
    <w:p w14:paraId="746009DC">
      <w:r>
        <w:br w:type="page"/>
      </w:r>
    </w:p>
    <w:p w14:paraId="0454C046">
      <w:pPr>
        <w:spacing w:line="640" w:lineRule="exact"/>
        <w:ind w:firstLine="640"/>
        <w:jc w:val="both"/>
        <w:outlineLvl w:val="2"/>
      </w:pPr>
      <w:r>
        <w:rPr>
          <w:rFonts w:ascii="黑体" w:hAnsi="黑体" w:eastAsia="黑体"/>
          <w:sz w:val="32"/>
        </w:rPr>
        <w:t>十二、其他需说明的事项</w:t>
      </w:r>
    </w:p>
    <w:p w14:paraId="6557C325">
      <w:pPr>
        <w:spacing w:line="580" w:lineRule="exact"/>
        <w:ind w:firstLine="640"/>
        <w:jc w:val="both"/>
      </w:pPr>
      <w:r>
        <w:rPr>
          <w:rFonts w:ascii="仿宋_GB2312" w:hAnsi="仿宋_GB2312" w:eastAsia="仿宋_GB2312"/>
          <w:b w:val="0"/>
          <w:sz w:val="32"/>
        </w:rPr>
        <w:t>本部门无其他需说明的事项。</w:t>
      </w:r>
    </w:p>
    <w:p w14:paraId="27E8FAFE">
      <w:r>
        <w:br w:type="page"/>
      </w:r>
    </w:p>
    <w:p w14:paraId="41A59C54">
      <w:pPr>
        <w:spacing w:line="240" w:lineRule="auto"/>
        <w:jc w:val="center"/>
        <w:outlineLvl w:val="1"/>
      </w:pPr>
      <w:r>
        <w:rPr>
          <w:rFonts w:ascii="黑体" w:hAnsi="黑体" w:eastAsia="黑体"/>
          <w:sz w:val="32"/>
        </w:rPr>
        <w:t>第三部分 专业名词解释</w:t>
      </w:r>
    </w:p>
    <w:p w14:paraId="752FABD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A3064D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396531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BDBFA8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E4AA0B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62F626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A1A732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09B52E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0C2FF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0547C1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78738A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28E017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BEE20E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F2344C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51DA739">
      <w:r>
        <w:br w:type="page"/>
      </w:r>
    </w:p>
    <w:p w14:paraId="55B17276">
      <w:pPr>
        <w:spacing w:line="240" w:lineRule="auto"/>
        <w:jc w:val="center"/>
        <w:outlineLvl w:val="1"/>
      </w:pPr>
      <w:r>
        <w:rPr>
          <w:rFonts w:ascii="黑体" w:hAnsi="黑体" w:eastAsia="黑体"/>
          <w:sz w:val="32"/>
        </w:rPr>
        <w:t>第四部分 部门决算报表（见附表）</w:t>
      </w:r>
    </w:p>
    <w:p w14:paraId="3BB7BC91">
      <w:pPr>
        <w:spacing w:line="240" w:lineRule="auto"/>
        <w:ind w:firstLine="640"/>
        <w:jc w:val="both"/>
      </w:pPr>
      <w:r>
        <w:rPr>
          <w:rFonts w:ascii="仿宋_GB2312" w:hAnsi="仿宋_GB2312" w:eastAsia="仿宋_GB2312"/>
          <w:b w:val="0"/>
          <w:sz w:val="32"/>
        </w:rPr>
        <w:t>一、《收入支出决算总表》</w:t>
      </w:r>
    </w:p>
    <w:p w14:paraId="706ED475">
      <w:pPr>
        <w:spacing w:line="240" w:lineRule="auto"/>
        <w:ind w:firstLine="640"/>
        <w:jc w:val="both"/>
      </w:pPr>
      <w:r>
        <w:rPr>
          <w:rFonts w:ascii="仿宋_GB2312" w:hAnsi="仿宋_GB2312" w:eastAsia="仿宋_GB2312"/>
          <w:b w:val="0"/>
          <w:sz w:val="32"/>
        </w:rPr>
        <w:t>二、《收入决算表》</w:t>
      </w:r>
    </w:p>
    <w:p w14:paraId="586699B4">
      <w:pPr>
        <w:spacing w:line="240" w:lineRule="auto"/>
        <w:ind w:firstLine="640"/>
        <w:jc w:val="both"/>
      </w:pPr>
      <w:r>
        <w:rPr>
          <w:rFonts w:ascii="仿宋_GB2312" w:hAnsi="仿宋_GB2312" w:eastAsia="仿宋_GB2312"/>
          <w:b w:val="0"/>
          <w:sz w:val="32"/>
        </w:rPr>
        <w:t>三、《支出决算表》</w:t>
      </w:r>
    </w:p>
    <w:p w14:paraId="78B34DCB">
      <w:pPr>
        <w:spacing w:line="240" w:lineRule="auto"/>
        <w:ind w:firstLine="640"/>
        <w:jc w:val="both"/>
      </w:pPr>
      <w:r>
        <w:rPr>
          <w:rFonts w:ascii="仿宋_GB2312" w:hAnsi="仿宋_GB2312" w:eastAsia="仿宋_GB2312"/>
          <w:b w:val="0"/>
          <w:sz w:val="32"/>
        </w:rPr>
        <w:t>四、《财政拨款收入支出决算总表》</w:t>
      </w:r>
    </w:p>
    <w:p w14:paraId="38F77A90">
      <w:pPr>
        <w:spacing w:line="240" w:lineRule="auto"/>
        <w:ind w:firstLine="640"/>
        <w:jc w:val="both"/>
      </w:pPr>
      <w:r>
        <w:rPr>
          <w:rFonts w:ascii="仿宋_GB2312" w:hAnsi="仿宋_GB2312" w:eastAsia="仿宋_GB2312"/>
          <w:b w:val="0"/>
          <w:sz w:val="32"/>
        </w:rPr>
        <w:t>五、《一般公共预算财政拨款支出决算表》</w:t>
      </w:r>
    </w:p>
    <w:p w14:paraId="0A508B25">
      <w:pPr>
        <w:spacing w:line="240" w:lineRule="auto"/>
        <w:ind w:firstLine="640"/>
        <w:jc w:val="both"/>
      </w:pPr>
      <w:r>
        <w:rPr>
          <w:rFonts w:ascii="仿宋_GB2312" w:hAnsi="仿宋_GB2312" w:eastAsia="仿宋_GB2312"/>
          <w:b w:val="0"/>
          <w:sz w:val="32"/>
        </w:rPr>
        <w:t>六、《一般公共预算财政拨款基本支出决算表》</w:t>
      </w:r>
    </w:p>
    <w:p w14:paraId="76BED8D9">
      <w:pPr>
        <w:spacing w:line="240" w:lineRule="auto"/>
        <w:ind w:firstLine="640"/>
        <w:jc w:val="both"/>
      </w:pPr>
      <w:r>
        <w:rPr>
          <w:rFonts w:ascii="仿宋_GB2312" w:hAnsi="仿宋_GB2312" w:eastAsia="仿宋_GB2312"/>
          <w:b w:val="0"/>
          <w:sz w:val="32"/>
        </w:rPr>
        <w:t>七、《政府性基金预算财政拨款收入支出决算表》</w:t>
      </w:r>
    </w:p>
    <w:p w14:paraId="599C0529">
      <w:pPr>
        <w:spacing w:line="240" w:lineRule="auto"/>
        <w:ind w:firstLine="640"/>
        <w:jc w:val="both"/>
      </w:pPr>
      <w:r>
        <w:rPr>
          <w:rFonts w:ascii="仿宋_GB2312" w:hAnsi="仿宋_GB2312" w:eastAsia="仿宋_GB2312"/>
          <w:b w:val="0"/>
          <w:sz w:val="32"/>
        </w:rPr>
        <w:t>八、《国有资本经营预算财政拨款收入支出决算表》</w:t>
      </w:r>
    </w:p>
    <w:p w14:paraId="53DE951E">
      <w:pPr>
        <w:spacing w:line="240" w:lineRule="auto"/>
        <w:ind w:firstLine="640"/>
        <w:jc w:val="both"/>
      </w:pPr>
      <w:r>
        <w:rPr>
          <w:rFonts w:ascii="仿宋_GB2312" w:hAnsi="仿宋_GB2312" w:eastAsia="仿宋_GB2312"/>
          <w:b w:val="0"/>
          <w:sz w:val="32"/>
        </w:rPr>
        <w:t>九、《财政拨款“三公”经费支出决算表》</w:t>
      </w:r>
    </w:p>
    <w:p w14:paraId="5CA91F5E">
      <w:pPr>
        <w:spacing w:line="240" w:lineRule="auto"/>
        <w:ind w:firstLine="640"/>
        <w:jc w:val="both"/>
      </w:pPr>
    </w:p>
    <w:p w14:paraId="4AFBA991">
      <w:pPr>
        <w:spacing w:line="240" w:lineRule="auto"/>
        <w:ind w:firstLine="640"/>
        <w:jc w:val="both"/>
      </w:pPr>
    </w:p>
    <w:p w14:paraId="3855F41B">
      <w:pPr>
        <w:spacing w:line="240" w:lineRule="auto"/>
        <w:ind w:firstLine="640"/>
        <w:jc w:val="both"/>
      </w:pPr>
    </w:p>
    <w:p w14:paraId="1D541552">
      <w:pPr>
        <w:spacing w:line="240" w:lineRule="auto"/>
        <w:ind w:firstLine="640"/>
        <w:jc w:val="both"/>
      </w:pPr>
    </w:p>
    <w:p w14:paraId="658D002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772E67"/>
    <w:rsid w:val="11E15093"/>
    <w:rsid w:val="120E0809"/>
    <w:rsid w:val="19071D6C"/>
    <w:rsid w:val="19B5554D"/>
    <w:rsid w:val="1B6357C3"/>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BE854FA"/>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5734</Words>
  <Characters>6473</Characters>
  <Lines>0</Lines>
  <Paragraphs>0</Paragraphs>
  <TotalTime>6</TotalTime>
  <ScaleCrop>false</ScaleCrop>
  <LinksUpToDate>false</LinksUpToDate>
  <CharactersWithSpaces>6481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2025-09-12T09:25:58Z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