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巴音郭楞蒙古自治州数字化发展局2024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874955">
      <w:r>
        <w:br w:type="page"/>
      </w:r>
    </w:p>
    <w:p w14:paraId="5CB5FF9D">
      <w:pPr>
        <w:spacing w:line="640" w:lineRule="exact"/>
        <w:jc w:val="center"/>
        <w:outlineLvl w:val="1"/>
      </w:pPr>
      <w:r>
        <w:rPr>
          <w:rFonts w:ascii="黑体" w:hAnsi="黑体" w:eastAsia="黑体"/>
          <w:sz w:val="32"/>
        </w:rPr>
        <w:t>第一部分 部门概况</w:t>
      </w:r>
    </w:p>
    <w:p w14:paraId="6C4CC687">
      <w:pPr>
        <w:spacing w:line="640" w:lineRule="exact"/>
        <w:ind w:firstLine="640"/>
        <w:jc w:val="both"/>
        <w:outlineLvl w:val="2"/>
      </w:pPr>
      <w:r>
        <w:rPr>
          <w:rFonts w:ascii="黑体" w:hAnsi="黑体" w:eastAsia="黑体"/>
          <w:sz w:val="32"/>
        </w:rPr>
        <w:t>一、主要职能</w:t>
      </w:r>
    </w:p>
    <w:p w14:paraId="333E0B60">
      <w:pPr>
        <w:spacing w:line="580" w:lineRule="exact"/>
        <w:ind w:firstLine="640"/>
        <w:jc w:val="both"/>
      </w:pPr>
      <w:r>
        <w:rPr>
          <w:rFonts w:ascii="仿宋_GB2312" w:hAnsi="仿宋_GB2312" w:eastAsia="仿宋_GB2312"/>
          <w:sz w:val="32"/>
        </w:rPr>
        <w:t>（一）贯彻执行国家、自治区关于数据要素、政务服务管理的法律、法规、指标标准规范和政策措施并组织实施。</w:t>
      </w:r>
    </w:p>
    <w:p w14:paraId="40952025">
      <w:pPr>
        <w:spacing w:line="580" w:lineRule="exact"/>
        <w:ind w:firstLine="640"/>
        <w:jc w:val="both"/>
      </w:pPr>
      <w:r>
        <w:rPr>
          <w:rFonts w:ascii="仿宋_GB2312" w:hAnsi="仿宋_GB2312" w:eastAsia="仿宋_GB2312"/>
          <w:sz w:val="32"/>
        </w:rPr>
        <w:t>（二）贯彻落实数字巴州、数字经济、数字社会、数字政府规划和建设。组织落实国家大数据战略。</w:t>
      </w:r>
    </w:p>
    <w:p w14:paraId="4DBE1F2F">
      <w:pPr>
        <w:spacing w:line="580" w:lineRule="exact"/>
        <w:ind w:firstLine="640"/>
        <w:jc w:val="both"/>
      </w:pPr>
      <w:r>
        <w:rPr>
          <w:rFonts w:ascii="仿宋_GB2312" w:hAnsi="仿宋_GB2312" w:eastAsia="仿宋_GB2312"/>
          <w:sz w:val="32"/>
        </w:rPr>
        <w:t>（三）组织落实数据要素产权、流通、分配、治理等数据基础制度，指导数据要素市场建设。研究提出培育数据要素市场的政策建议，引导数据交易场所建设发展。</w:t>
      </w:r>
    </w:p>
    <w:p w14:paraId="70EF08F6">
      <w:pPr>
        <w:spacing w:line="580" w:lineRule="exact"/>
        <w:ind w:firstLine="640"/>
        <w:jc w:val="both"/>
      </w:pPr>
      <w:r>
        <w:rPr>
          <w:rFonts w:ascii="仿宋_GB2312" w:hAnsi="仿宋_GB2312" w:eastAsia="仿宋_GB2312"/>
          <w:sz w:val="32"/>
        </w:rPr>
        <w:t>（四）统筹数据资源整合共享和开发利用。协调推进数据资源分类分级管理，组织推动公共数据资源开发利用，推动信息资源跨行业跨部门互联互通。</w:t>
      </w:r>
    </w:p>
    <w:p w14:paraId="2F45FC7F">
      <w:pPr>
        <w:spacing w:line="580" w:lineRule="exact"/>
        <w:ind w:firstLine="640"/>
        <w:jc w:val="both"/>
      </w:pPr>
      <w:r>
        <w:rPr>
          <w:rFonts w:ascii="仿宋_GB2312" w:hAnsi="仿宋_GB2312" w:eastAsia="仿宋_GB2312"/>
          <w:sz w:val="32"/>
        </w:rPr>
        <w:t>（五）负责组织、协调、指导推进自治州数字政府的改革、建设、管理。负责推动全州政务服务体系建设工作，落实政务服务“一网通办”、政府运行“一网协同”、经济社会治理“一网统管”建设。负责自治州政务服务综合管理、业务指导。统筹推进和指导自治州行政审批制度改革工作。</w:t>
      </w:r>
    </w:p>
    <w:p w14:paraId="54EA1C90">
      <w:pPr>
        <w:spacing w:line="580" w:lineRule="exact"/>
        <w:ind w:firstLine="640"/>
        <w:jc w:val="both"/>
      </w:pPr>
      <w:r>
        <w:rPr>
          <w:rFonts w:ascii="仿宋_GB2312" w:hAnsi="仿宋_GB2312" w:eastAsia="仿宋_GB2312"/>
          <w:sz w:val="32"/>
        </w:rPr>
        <w:t>（六）协调推进数字经济发展，促进数字产业化和产业数字化。推动跨领域跨行业数字化转型，促进数字经济和实体经济深度融合。协调推动数字社会发展。协调推动公共服务和社会治理信息化，协调促进智慧城市建设。</w:t>
      </w:r>
    </w:p>
    <w:p w14:paraId="7315E2B3">
      <w:pPr>
        <w:spacing w:line="580" w:lineRule="exact"/>
        <w:ind w:firstLine="640"/>
        <w:jc w:val="both"/>
      </w:pPr>
      <w:r>
        <w:rPr>
          <w:rFonts w:ascii="仿宋_GB2312" w:hAnsi="仿宋_GB2312" w:eastAsia="仿宋_GB2312"/>
          <w:sz w:val="32"/>
        </w:rPr>
        <w:t>（七）组织拟订自治州有关数字基础设施布局规划，协调推进数字基础设施布局建设。</w:t>
      </w:r>
    </w:p>
    <w:p w14:paraId="663666D0">
      <w:pPr>
        <w:spacing w:line="580" w:lineRule="exact"/>
        <w:ind w:firstLine="640"/>
        <w:jc w:val="both"/>
      </w:pPr>
      <w:r>
        <w:rPr>
          <w:rFonts w:ascii="仿宋_GB2312" w:hAnsi="仿宋_GB2312" w:eastAsia="仿宋_GB2312"/>
          <w:sz w:val="32"/>
        </w:rPr>
        <w:t>（八）在具体承担数据基础制度建设、数据要素市场建设、数据标准规范、数据基础设施建设等职责中，履行相应数据安全职责，负责拟订相关数据安全政策并组织实施。</w:t>
      </w:r>
    </w:p>
    <w:p w14:paraId="3DF73F4F">
      <w:pPr>
        <w:spacing w:line="580" w:lineRule="exact"/>
        <w:ind w:firstLine="640"/>
        <w:jc w:val="both"/>
      </w:pPr>
      <w:r>
        <w:rPr>
          <w:rFonts w:ascii="仿宋_GB2312" w:hAnsi="仿宋_GB2312" w:eastAsia="仿宋_GB2312"/>
          <w:sz w:val="32"/>
        </w:rPr>
        <w:t>（九）协同自治州党委网络安全和信息化委员会办公室开展网络数据跨境流动安全评估和监管工作。</w:t>
      </w:r>
    </w:p>
    <w:p w14:paraId="6DBD0D10">
      <w:pPr>
        <w:spacing w:line="580" w:lineRule="exact"/>
        <w:ind w:firstLine="640"/>
        <w:jc w:val="both"/>
      </w:pPr>
      <w:r>
        <w:rPr>
          <w:rFonts w:ascii="仿宋_GB2312" w:hAnsi="仿宋_GB2312" w:eastAsia="仿宋_GB2312"/>
          <w:sz w:val="32"/>
        </w:rPr>
        <w:t>（十）负责管理数字政府平台建设运维资金。负责数据资产管理等工作。</w:t>
      </w:r>
    </w:p>
    <w:p w14:paraId="3F3DD4E8">
      <w:pPr>
        <w:spacing w:line="580" w:lineRule="exact"/>
        <w:ind w:firstLine="640"/>
        <w:jc w:val="both"/>
      </w:pPr>
      <w:r>
        <w:rPr>
          <w:rFonts w:ascii="仿宋_GB2312" w:hAnsi="仿宋_GB2312" w:eastAsia="仿宋_GB2312"/>
          <w:sz w:val="32"/>
        </w:rPr>
        <w:t>（十一）完成自治州党委、自治州人民政府交办的其他任务。</w:t>
      </w:r>
    </w:p>
    <w:p w14:paraId="1C4F3FAB">
      <w:pPr>
        <w:spacing w:line="640" w:lineRule="exact"/>
        <w:ind w:firstLine="640"/>
        <w:jc w:val="both"/>
        <w:outlineLvl w:val="2"/>
      </w:pPr>
      <w:r>
        <w:rPr>
          <w:rFonts w:ascii="黑体" w:hAnsi="黑体" w:eastAsia="黑体"/>
          <w:sz w:val="32"/>
        </w:rPr>
        <w:t>二、机构设置及人员情况</w:t>
      </w:r>
    </w:p>
    <w:p w14:paraId="24A69C00">
      <w:pPr>
        <w:spacing w:line="580" w:lineRule="exact"/>
        <w:ind w:firstLine="640"/>
        <w:jc w:val="both"/>
      </w:pPr>
      <w:r>
        <w:rPr>
          <w:rFonts w:ascii="仿宋_GB2312" w:hAnsi="仿宋_GB2312" w:eastAsia="仿宋_GB2312"/>
          <w:sz w:val="32"/>
        </w:rPr>
        <w:t>巴音郭楞蒙古自治州数字化发展局2024年度，实有人数6人，其中：在职人员6人，增加6人；离休人员0人，增加0人；退休人员0人,增加0人。</w:t>
      </w:r>
    </w:p>
    <w:p w14:paraId="5772CF44">
      <w:pPr>
        <w:spacing w:line="580" w:lineRule="exact"/>
        <w:ind w:firstLine="640"/>
        <w:jc w:val="both"/>
      </w:pPr>
      <w:r>
        <w:rPr>
          <w:rFonts w:ascii="仿宋_GB2312" w:hAnsi="仿宋_GB2312" w:eastAsia="仿宋_GB2312"/>
          <w:sz w:val="32"/>
        </w:rPr>
        <w:t>巴音郭楞蒙古自治州数字化发展局无下属预算单位，下设3个科室，分别是：办公室、数字政府规划建设科、数据要素应用与安全科。</w:t>
      </w:r>
    </w:p>
    <w:p w14:paraId="290506F2">
      <w:r>
        <w:br w:type="page"/>
      </w:r>
    </w:p>
    <w:p w14:paraId="6475D8FC">
      <w:pPr>
        <w:spacing w:line="240" w:lineRule="auto"/>
        <w:jc w:val="center"/>
        <w:outlineLvl w:val="1"/>
      </w:pPr>
      <w:r>
        <w:rPr>
          <w:rFonts w:ascii="黑体" w:hAnsi="黑体" w:eastAsia="黑体"/>
          <w:sz w:val="32"/>
        </w:rPr>
        <w:t>第二部分 部门决算情况说明</w:t>
      </w:r>
    </w:p>
    <w:p w14:paraId="29812F85">
      <w:pPr>
        <w:spacing w:line="640" w:lineRule="exact"/>
        <w:ind w:firstLine="640"/>
        <w:jc w:val="both"/>
        <w:outlineLvl w:val="2"/>
      </w:pPr>
      <w:r>
        <w:rPr>
          <w:rFonts w:ascii="黑体" w:hAnsi="黑体" w:eastAsia="黑体"/>
          <w:sz w:val="32"/>
        </w:rPr>
        <w:t>一、收入支出决算总体情况说明</w:t>
      </w:r>
    </w:p>
    <w:p w14:paraId="709F2793">
      <w:pPr>
        <w:spacing w:line="580" w:lineRule="exact"/>
        <w:ind w:firstLine="640"/>
        <w:jc w:val="both"/>
      </w:pPr>
      <w:r>
        <w:rPr>
          <w:rFonts w:ascii="仿宋_GB2312" w:hAnsi="仿宋_GB2312" w:eastAsia="仿宋_GB2312"/>
          <w:b/>
          <w:sz w:val="32"/>
        </w:rPr>
        <w:t>2024年度收入总计58.96万元，</w:t>
      </w:r>
      <w:r>
        <w:rPr>
          <w:rFonts w:ascii="仿宋_GB2312" w:hAnsi="仿宋_GB2312" w:eastAsia="仿宋_GB2312"/>
          <w:b w:val="0"/>
          <w:sz w:val="32"/>
        </w:rPr>
        <w:t>其中：本年收入合计58.96万元，使用非财政拨款结余（含专用结余）0.00万元，年初结转和结余0.00万元。</w:t>
      </w:r>
    </w:p>
    <w:p w14:paraId="3AD58A47">
      <w:pPr>
        <w:spacing w:line="580" w:lineRule="exact"/>
        <w:ind w:firstLine="640"/>
        <w:jc w:val="both"/>
      </w:pPr>
      <w:r>
        <w:rPr>
          <w:rFonts w:ascii="仿宋_GB2312" w:hAnsi="仿宋_GB2312" w:eastAsia="仿宋_GB2312"/>
          <w:b/>
          <w:sz w:val="32"/>
        </w:rPr>
        <w:t>2024年度支出总计58.96万元，</w:t>
      </w:r>
      <w:r>
        <w:rPr>
          <w:rFonts w:ascii="仿宋_GB2312" w:hAnsi="仿宋_GB2312" w:eastAsia="仿宋_GB2312"/>
          <w:b w:val="0"/>
          <w:sz w:val="32"/>
        </w:rPr>
        <w:t>其中：本年支出合计58.96万元，结余分配0.00万元，年末结转和结余0.00万元。</w:t>
      </w:r>
    </w:p>
    <w:p w14:paraId="14D388E4">
      <w:pPr>
        <w:spacing w:line="580" w:lineRule="exact"/>
        <w:ind w:firstLine="640"/>
        <w:jc w:val="both"/>
      </w:pPr>
      <w:r>
        <w:rPr>
          <w:rFonts w:ascii="仿宋_GB2312" w:hAnsi="仿宋_GB2312" w:eastAsia="仿宋_GB2312"/>
          <w:b w:val="0"/>
          <w:sz w:val="32"/>
        </w:rPr>
        <w:t>收入支出总体与上年相比，增加58.96万元，增长100.00%，主要原因是：本部门为新成立部门，无上年对比数据。</w:t>
      </w:r>
    </w:p>
    <w:p w14:paraId="2E4EF19A">
      <w:pPr>
        <w:spacing w:line="640" w:lineRule="exact"/>
        <w:ind w:firstLine="640"/>
        <w:jc w:val="both"/>
        <w:outlineLvl w:val="2"/>
      </w:pPr>
      <w:r>
        <w:rPr>
          <w:rFonts w:ascii="黑体" w:hAnsi="黑体" w:eastAsia="黑体"/>
          <w:sz w:val="32"/>
        </w:rPr>
        <w:t>二、收入决算情况说明</w:t>
      </w:r>
    </w:p>
    <w:p w14:paraId="0168CC28">
      <w:pPr>
        <w:spacing w:line="580" w:lineRule="exact"/>
        <w:ind w:firstLine="640"/>
        <w:jc w:val="both"/>
      </w:pPr>
      <w:r>
        <w:rPr>
          <w:rFonts w:ascii="仿宋_GB2312" w:hAnsi="仿宋_GB2312" w:eastAsia="仿宋_GB2312"/>
          <w:b/>
          <w:sz w:val="32"/>
        </w:rPr>
        <w:t>本年收入58.96万元，</w:t>
      </w:r>
      <w:r>
        <w:rPr>
          <w:rFonts w:ascii="仿宋_GB2312" w:hAnsi="仿宋_GB2312" w:eastAsia="仿宋_GB2312"/>
          <w:b w:val="0"/>
          <w:sz w:val="32"/>
        </w:rPr>
        <w:t>其中：财政拨款收入58.96万元，占100.00%；上级补助收入0.00万元，占0.00%；事业收入0.00万元，占0.00%；经营收入0.00万元，占0.00%；附属单位上缴收入0.00万元，占0.00%；其他收入0.00万元，占0.00%。</w:t>
      </w:r>
    </w:p>
    <w:p w14:paraId="2F060874">
      <w:pPr>
        <w:spacing w:line="640" w:lineRule="exact"/>
        <w:ind w:firstLine="640"/>
        <w:jc w:val="both"/>
        <w:outlineLvl w:val="2"/>
      </w:pPr>
      <w:r>
        <w:rPr>
          <w:rFonts w:ascii="黑体" w:hAnsi="黑体" w:eastAsia="黑体"/>
          <w:sz w:val="32"/>
        </w:rPr>
        <w:t>三、支出决算情况说明</w:t>
      </w:r>
    </w:p>
    <w:p w14:paraId="16269D93">
      <w:pPr>
        <w:spacing w:line="580" w:lineRule="exact"/>
        <w:ind w:firstLine="640"/>
        <w:jc w:val="both"/>
      </w:pPr>
      <w:r>
        <w:rPr>
          <w:rFonts w:ascii="仿宋_GB2312" w:hAnsi="仿宋_GB2312" w:eastAsia="仿宋_GB2312"/>
          <w:b/>
          <w:sz w:val="32"/>
        </w:rPr>
        <w:t>本年支出58.96万元，</w:t>
      </w:r>
      <w:r>
        <w:rPr>
          <w:rFonts w:ascii="仿宋_GB2312" w:hAnsi="仿宋_GB2312" w:eastAsia="仿宋_GB2312"/>
          <w:b w:val="0"/>
          <w:sz w:val="32"/>
        </w:rPr>
        <w:t>其中：基本支出46.78万元，占79.34%；项目支出12.19万元，占20.68%；上缴上级支出0.00万元，占0.00%；经营支出0.00万元，占0.00%；对附属单位补助支出0.00万元，占0.00%。</w:t>
      </w:r>
    </w:p>
    <w:p w14:paraId="240C067C">
      <w:pPr>
        <w:spacing w:line="640" w:lineRule="exact"/>
        <w:ind w:firstLine="640"/>
        <w:jc w:val="both"/>
        <w:outlineLvl w:val="2"/>
      </w:pPr>
      <w:r>
        <w:rPr>
          <w:rFonts w:ascii="黑体" w:hAnsi="黑体" w:eastAsia="黑体"/>
          <w:sz w:val="32"/>
        </w:rPr>
        <w:t>四、财政拨款收入支出决算总体情况说明</w:t>
      </w:r>
    </w:p>
    <w:p w14:paraId="606C5AFB">
      <w:pPr>
        <w:spacing w:line="580" w:lineRule="exact"/>
        <w:ind w:firstLine="640"/>
        <w:jc w:val="both"/>
      </w:pPr>
      <w:r>
        <w:rPr>
          <w:rFonts w:ascii="仿宋_GB2312" w:hAnsi="仿宋_GB2312" w:eastAsia="仿宋_GB2312"/>
          <w:b/>
          <w:sz w:val="32"/>
        </w:rPr>
        <w:t>2024年度财政拨款收入总计58.96万元，</w:t>
      </w:r>
      <w:r>
        <w:rPr>
          <w:rFonts w:ascii="仿宋_GB2312" w:hAnsi="仿宋_GB2312" w:eastAsia="仿宋_GB2312"/>
          <w:b w:val="0"/>
          <w:sz w:val="32"/>
        </w:rPr>
        <w:t>其中：年初财政拨款结转和结余0.00万元，本年财政拨款收入58.96万元。</w:t>
      </w:r>
      <w:r>
        <w:rPr>
          <w:rFonts w:ascii="仿宋_GB2312" w:hAnsi="仿宋_GB2312" w:eastAsia="仿宋_GB2312"/>
          <w:b/>
          <w:sz w:val="32"/>
        </w:rPr>
        <w:t>财政拨款支出总计58.96万元，</w:t>
      </w:r>
      <w:r>
        <w:rPr>
          <w:rFonts w:ascii="仿宋_GB2312" w:hAnsi="仿宋_GB2312" w:eastAsia="仿宋_GB2312"/>
          <w:b w:val="0"/>
          <w:sz w:val="32"/>
        </w:rPr>
        <w:t>其中：年末财政拨款结转和结余0.00万元，本年财政拨款支出58.96万元。</w:t>
      </w:r>
    </w:p>
    <w:p w14:paraId="590E2E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增加58.96万元，增长100.00%，主要原因是：本部门为新成立部门，无上年对比数据。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年初预算数0.00万元，决算数58.96万元，预决算差异率100.00%，主要原因是：本部门为年中新成立，无年初预算，年中追加人员工资、社保、公积金基数调增部分资金，导致预决算存在差异。</w:t>
      </w:r>
    </w:p>
    <w:p w14:paraId="15B2A960">
      <w:pPr>
        <w:spacing w:line="640" w:lineRule="exact"/>
        <w:ind w:firstLine="640"/>
        <w:jc w:val="both"/>
        <w:outlineLvl w:val="2"/>
      </w:pPr>
      <w:r>
        <w:rPr>
          <w:rFonts w:ascii="黑体" w:hAnsi="黑体" w:eastAsia="黑体"/>
          <w:sz w:val="32"/>
        </w:rPr>
        <w:t>五、一般公共预算财政拨款支出决算情况说明</w:t>
      </w:r>
    </w:p>
    <w:p w14:paraId="66DC31BA">
      <w:pPr>
        <w:spacing w:line="640" w:lineRule="exact"/>
        <w:ind w:firstLine="640"/>
        <w:jc w:val="both"/>
        <w:outlineLvl w:val="3"/>
      </w:pPr>
      <w:r>
        <w:rPr>
          <w:rFonts w:ascii="楷体_GB2312" w:hAnsi="楷体_GB2312" w:eastAsia="楷体_GB2312"/>
          <w:b/>
          <w:sz w:val="32"/>
        </w:rPr>
        <w:t>（一）一般公共预算财政拨款支出决算总体情况</w:t>
      </w:r>
    </w:p>
    <w:p w14:paraId="6567D8E6">
      <w:pPr>
        <w:spacing w:line="580" w:lineRule="exact"/>
        <w:ind w:firstLine="640"/>
        <w:jc w:val="both"/>
      </w:pPr>
      <w:r>
        <w:rPr>
          <w:rFonts w:ascii="仿宋_GB2312" w:hAnsi="仿宋_GB2312" w:eastAsia="仿宋_GB2312"/>
          <w:b/>
          <w:sz w:val="32"/>
        </w:rPr>
        <w:t>2024年度一般公共预算财政拨款支出58.96万元，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增加58.96万元，增长100.00%，主要原因是：本部门为新成立部门，无上年对比数据。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年初预算数0.00万元，决算数58.96万元，预决算差异率100.00%，主要原因是：本部门为年中新成立，无年初预算，年中追加人员工资、社保、公积金基数调增部分资金，导致预决算存在差异。</w:t>
      </w:r>
    </w:p>
    <w:p w14:paraId="44F21137">
      <w:pPr>
        <w:spacing w:line="640" w:lineRule="exact"/>
        <w:ind w:firstLine="640"/>
        <w:jc w:val="both"/>
        <w:outlineLvl w:val="3"/>
      </w:pPr>
      <w:r>
        <w:rPr>
          <w:rFonts w:ascii="楷体_GB2312" w:hAnsi="楷体_GB2312" w:eastAsia="楷体_GB2312"/>
          <w:b/>
          <w:sz w:val="32"/>
        </w:rPr>
        <w:t>（二）一般公共预算财政拨款支出决算结构情况</w:t>
      </w:r>
    </w:p>
    <w:p w14:paraId="02FC3958">
      <w:pPr>
        <w:spacing w:line="580" w:lineRule="exact"/>
        <w:ind w:firstLine="640"/>
        <w:jc w:val="both"/>
      </w:pPr>
      <w:r>
        <w:rPr>
          <w:rFonts w:ascii="仿宋_GB2312" w:hAnsi="仿宋_GB2312" w:eastAsia="仿宋_GB2312"/>
          <w:b w:val="0"/>
          <w:sz w:val="32"/>
        </w:rPr>
        <w:t>1.一般公共服务支出(类)58.96万元,占100.00%。</w:t>
      </w:r>
    </w:p>
    <w:p w14:paraId="2C7A9A7D">
      <w:pPr>
        <w:spacing w:line="640" w:lineRule="exact"/>
        <w:ind w:firstLine="640"/>
        <w:jc w:val="both"/>
        <w:outlineLvl w:val="3"/>
      </w:pPr>
      <w:r>
        <w:rPr>
          <w:rFonts w:ascii="楷体_GB2312" w:hAnsi="楷体_GB2312" w:eastAsia="楷体_GB2312"/>
          <w:b/>
          <w:sz w:val="32"/>
        </w:rPr>
        <w:t>（三）一般公共预算财政拨款支出决算具体情况</w:t>
      </w:r>
    </w:p>
    <w:p w14:paraId="1C56482E">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58.96万元，比上年决算增加58.96万元，增长100.00%,主要原因是：本部门为新成立部门，无上年对比数据。</w:t>
      </w:r>
    </w:p>
    <w:p w14:paraId="1C774FDF">
      <w:pPr>
        <w:spacing w:line="640" w:lineRule="exact"/>
        <w:ind w:firstLine="640"/>
        <w:jc w:val="both"/>
        <w:outlineLvl w:val="2"/>
      </w:pPr>
      <w:r>
        <w:rPr>
          <w:rFonts w:ascii="黑体" w:hAnsi="黑体" w:eastAsia="黑体"/>
          <w:sz w:val="32"/>
        </w:rPr>
        <w:t>六、一般公共预算财政拨款基本支出决算情况说明</w:t>
      </w:r>
    </w:p>
    <w:p w14:paraId="14BB0481">
      <w:pPr>
        <w:spacing w:line="580" w:lineRule="exact"/>
        <w:ind w:firstLine="640"/>
        <w:jc w:val="both"/>
      </w:pPr>
      <w:r>
        <w:rPr>
          <w:rFonts w:ascii="仿宋_GB2312" w:hAnsi="仿宋_GB2312" w:eastAsia="仿宋_GB2312"/>
          <w:b w:val="0"/>
          <w:sz w:val="32"/>
        </w:rPr>
        <w:t>2024年度一般公共预算财政拨款基本支出46.78万元，其中：</w:t>
      </w:r>
      <w:r>
        <w:rPr>
          <w:rFonts w:ascii="仿宋_GB2312" w:hAnsi="仿宋_GB2312" w:eastAsia="仿宋_GB2312"/>
          <w:b/>
          <w:sz w:val="32"/>
        </w:rPr>
        <w:t>人员经费39.66万元，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包括：基本工资、津贴补贴、奖金、伙食补助费、机关事业单位基本养老保险缴费、职工基本医疗保险缴费、公务员医疗补助缴费、其他社会保障缴费、住房公积金、医疗费、生活补助。</w:t>
      </w:r>
    </w:p>
    <w:p w14:paraId="363DA5ED">
      <w:pPr>
        <w:spacing w:line="580" w:lineRule="exact"/>
        <w:ind w:firstLine="640"/>
        <w:jc w:val="both"/>
      </w:pPr>
      <w:r>
        <w:rPr>
          <w:rFonts w:ascii="仿宋_GB2312" w:hAnsi="仿宋_GB2312" w:eastAsia="仿宋_GB2312"/>
          <w:b/>
          <w:sz w:val="32"/>
        </w:rPr>
        <w:t>公用经费7.12万元，</w:t>
      </w:r>
      <w:r>
        <w:rPr>
          <w:rFonts w:ascii="仿宋_GB2312" w:hAnsi="仿宋_GB2312" w:eastAsia="仿宋_GB2312"/>
          <w:b w:val="0"/>
          <w:sz w:val="32"/>
        </w:rPr>
        <w:t>包括：办公费、取暖费、差旅费、会议费、公务接待费、工会经费、福利费。</w:t>
      </w:r>
    </w:p>
    <w:p w14:paraId="5342926B">
      <w:pPr>
        <w:spacing w:line="640" w:lineRule="exact"/>
        <w:ind w:firstLine="640"/>
        <w:jc w:val="both"/>
        <w:outlineLvl w:val="2"/>
      </w:pPr>
      <w:r>
        <w:rPr>
          <w:rFonts w:ascii="黑体" w:hAnsi="黑体" w:eastAsia="黑体"/>
          <w:sz w:val="32"/>
        </w:rPr>
        <w:t>七、政府性基金预算财政拨款收入支出决算情况说明</w:t>
      </w:r>
    </w:p>
    <w:p w14:paraId="58F9190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AC677A4">
      <w:pPr>
        <w:spacing w:line="640" w:lineRule="exact"/>
        <w:ind w:firstLine="640"/>
        <w:jc w:val="both"/>
        <w:outlineLvl w:val="2"/>
      </w:pPr>
      <w:r>
        <w:rPr>
          <w:rFonts w:ascii="黑体" w:hAnsi="黑体" w:eastAsia="黑体"/>
          <w:sz w:val="32"/>
        </w:rPr>
        <w:t>八、国有资本经营预算财政拨款收入支出决算情况说明</w:t>
      </w:r>
    </w:p>
    <w:p w14:paraId="13357AB4">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3B99B45">
      <w:pPr>
        <w:spacing w:line="640" w:lineRule="exact"/>
        <w:ind w:firstLine="640"/>
        <w:jc w:val="both"/>
        <w:outlineLvl w:val="2"/>
      </w:pPr>
      <w:r>
        <w:rPr>
          <w:rFonts w:ascii="黑体" w:hAnsi="黑体" w:eastAsia="黑体"/>
          <w:sz w:val="32"/>
        </w:rPr>
        <w:t>九、财政拨款“三公”经费支出决算情况说明</w:t>
      </w:r>
    </w:p>
    <w:p w14:paraId="5FD08313">
      <w:pPr>
        <w:spacing w:line="580" w:lineRule="exact"/>
        <w:ind w:firstLine="640"/>
        <w:jc w:val="both"/>
      </w:pPr>
      <w:r>
        <w:rPr>
          <w:rFonts w:ascii="仿宋_GB2312" w:hAnsi="仿宋_GB2312" w:eastAsia="仿宋_GB2312"/>
          <w:b/>
          <w:sz w:val="32"/>
        </w:rPr>
        <w:t>2024年度财政拨款“三公”经费支出0.26万元，</w:t>
      </w:r>
      <w:r>
        <w:rPr>
          <w:rFonts w:ascii="仿宋_GB2312" w:hAnsi="仿宋_GB2312" w:eastAsia="仿宋_GB2312"/>
          <w:b w:val="0"/>
          <w:sz w:val="32"/>
        </w:rPr>
        <w:t>比上年增加0.26万元，增长100.00%，主要原因是：本部门为新成立部门，无上年对比数据。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0.26万元，占100.00%，比上年增加0.26万元，增长100.00%，主要原因是：本部门为新成立部门，无上年对比数据。</w:t>
      </w:r>
    </w:p>
    <w:p w14:paraId="4AA564C6">
      <w:pPr>
        <w:spacing w:line="580" w:lineRule="exact"/>
        <w:ind w:firstLine="640"/>
        <w:jc w:val="both"/>
      </w:pPr>
      <w:r>
        <w:rPr>
          <w:rFonts w:ascii="仿宋_GB2312" w:hAnsi="仿宋_GB2312" w:eastAsia="仿宋_GB2312"/>
          <w:b/>
          <w:sz w:val="32"/>
        </w:rPr>
        <w:t>具体情况如下：</w:t>
      </w:r>
    </w:p>
    <w:p w14:paraId="5DAA7340">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087323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436AE2D0">
      <w:pPr>
        <w:spacing w:line="580" w:lineRule="exact"/>
        <w:ind w:firstLine="640"/>
        <w:jc w:val="both"/>
      </w:pPr>
      <w:r>
        <w:rPr>
          <w:rFonts w:ascii="仿宋_GB2312" w:hAnsi="仿宋_GB2312" w:eastAsia="仿宋_GB2312"/>
          <w:b w:val="0"/>
          <w:sz w:val="32"/>
        </w:rPr>
        <w:t>公务接待费0.26万元，开支内容包括因工作原因，接待领导考察学习产生的就餐费。部门全年安排的国内公务接待2批次，33人次。</w:t>
      </w:r>
    </w:p>
    <w:p w14:paraId="1F94B5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0.50万元，决算数0.26万元，预决算差异率-48.00%，主要原因是：严格控制公务接待活动，认真执行经费开支标准，减少财政拨款“三公”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0.50万元，决算数0.26万元，预决算差异率-48.00%，主要原因是：严格控制公务接待活动，认真执行经费开支标准，减少公务接待运行成本费用。</w:t>
      </w:r>
    </w:p>
    <w:p w14:paraId="22D36E8F">
      <w:pPr>
        <w:spacing w:line="640" w:lineRule="exact"/>
        <w:ind w:firstLine="640"/>
        <w:jc w:val="both"/>
        <w:outlineLvl w:val="2"/>
      </w:pPr>
      <w:r>
        <w:rPr>
          <w:rFonts w:ascii="黑体" w:hAnsi="黑体" w:eastAsia="黑体"/>
          <w:sz w:val="32"/>
        </w:rPr>
        <w:t>十、其他重要事项的情况说明</w:t>
      </w:r>
    </w:p>
    <w:p w14:paraId="52DF1C9B">
      <w:pPr>
        <w:spacing w:line="640" w:lineRule="exact"/>
        <w:ind w:firstLine="640"/>
        <w:jc w:val="both"/>
        <w:outlineLvl w:val="3"/>
      </w:pPr>
      <w:r>
        <w:rPr>
          <w:rFonts w:ascii="楷体_GB2312" w:hAnsi="楷体_GB2312" w:eastAsia="楷体_GB2312"/>
          <w:b/>
          <w:sz w:val="32"/>
        </w:rPr>
        <w:t>（一）机关运行经费及公用经费支出情况</w:t>
      </w:r>
    </w:p>
    <w:p w14:paraId="5E57631B">
      <w:pPr>
        <w:spacing w:line="580" w:lineRule="exact"/>
        <w:ind w:firstLine="640"/>
        <w:jc w:val="both"/>
      </w:pPr>
      <w:r>
        <w:rPr>
          <w:rFonts w:ascii="仿宋_GB2312" w:hAnsi="仿宋_GB2312" w:eastAsia="仿宋_GB2312"/>
          <w:b w:val="0"/>
          <w:sz w:val="32"/>
        </w:rPr>
        <w:t>2024年度巴音郭楞蒙古自治州数字化发展局（行政单位和参照公务员法管理事业单位）机关运行经费支出7.12万元，比上年增加7.12万元，增长100.00%，主要原因是：本部门为新成立部门，无上年对比数据。</w:t>
      </w:r>
    </w:p>
    <w:p w14:paraId="18F5FDCB">
      <w:pPr>
        <w:spacing w:line="640" w:lineRule="exact"/>
        <w:ind w:firstLine="640"/>
        <w:jc w:val="both"/>
        <w:outlineLvl w:val="3"/>
      </w:pPr>
      <w:r>
        <w:rPr>
          <w:rFonts w:ascii="楷体_GB2312" w:hAnsi="楷体_GB2312" w:eastAsia="楷体_GB2312"/>
          <w:b/>
          <w:sz w:val="32"/>
        </w:rPr>
        <w:t>（二）政府采购情况</w:t>
      </w:r>
    </w:p>
    <w:p w14:paraId="748BE064">
      <w:pPr>
        <w:spacing w:line="580" w:lineRule="exact"/>
        <w:ind w:firstLine="640"/>
        <w:jc w:val="both"/>
      </w:pPr>
      <w:r>
        <w:rPr>
          <w:rFonts w:ascii="仿宋_GB2312" w:hAnsi="仿宋_GB2312" w:eastAsia="仿宋_GB2312"/>
          <w:b w:val="0"/>
          <w:sz w:val="32"/>
        </w:rPr>
        <w:t>2024年度政府采购支出总额3.74万元，其中：政府采购货物支出3.74万元、政府采购工程支出0.00万元、政府采购服务支出0.00万元。</w:t>
      </w:r>
    </w:p>
    <w:p w14:paraId="30B6FF7C">
      <w:pPr>
        <w:spacing w:line="580" w:lineRule="exact"/>
        <w:ind w:firstLine="640"/>
        <w:jc w:val="both"/>
      </w:pPr>
      <w:r>
        <w:rPr>
          <w:rFonts w:ascii="仿宋_GB2312" w:hAnsi="仿宋_GB2312" w:eastAsia="仿宋_GB2312"/>
          <w:b w:val="0"/>
          <w:sz w:val="32"/>
        </w:rPr>
        <w:t>授予中小企业合同金额3.74万元，占政府采购支出总额的100.00%，其中：授予小微企业合同金额3.74万元，占政府采购支出总额的100.00%。</w:t>
      </w:r>
    </w:p>
    <w:p w14:paraId="10FFF25D">
      <w:pPr>
        <w:spacing w:line="640" w:lineRule="exact"/>
        <w:ind w:firstLine="640"/>
        <w:jc w:val="both"/>
        <w:outlineLvl w:val="3"/>
      </w:pPr>
      <w:r>
        <w:rPr>
          <w:rFonts w:ascii="楷体_GB2312" w:hAnsi="楷体_GB2312" w:eastAsia="楷体_GB2312"/>
          <w:b/>
          <w:sz w:val="32"/>
        </w:rPr>
        <w:t>（三）国有资产占用情况说明</w:t>
      </w:r>
    </w:p>
    <w:p w14:paraId="047CC67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2D967920">
      <w:pPr>
        <w:spacing w:line="640" w:lineRule="exact"/>
        <w:ind w:firstLine="640"/>
        <w:jc w:val="both"/>
        <w:outlineLvl w:val="2"/>
      </w:pPr>
      <w:r>
        <w:rPr>
          <w:rFonts w:ascii="黑体" w:hAnsi="黑体" w:eastAsia="黑体"/>
          <w:sz w:val="32"/>
        </w:rPr>
        <w:t>十一、预算绩效的情况说明</w:t>
      </w:r>
    </w:p>
    <w:p w14:paraId="2F579614">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58.96万元，实际执行总额58.96万元；预算绩效评价项目1个，全年预算数12.23万元，全年执行数12.18万元。预算绩效管理取得的成效：一是理念层面：根本性转变。绩效意识普遍增强，责任主体有效落实，明确了</w:t>
      </w:r>
      <w:r>
        <w:rPr>
          <w:rFonts w:hint="eastAsia" w:ascii="仿宋_GB2312" w:hAnsi="仿宋_GB2312" w:eastAsia="仿宋_GB2312"/>
          <w:b w:val="0"/>
          <w:sz w:val="32"/>
          <w:lang w:eastAsia="zh-CN"/>
        </w:rPr>
        <w:t>“</w:t>
      </w:r>
      <w:r>
        <w:rPr>
          <w:rFonts w:ascii="仿宋_GB2312" w:hAnsi="仿宋_GB2312" w:eastAsia="仿宋_GB2312"/>
          <w:b w:val="0"/>
          <w:sz w:val="32"/>
        </w:rPr>
        <w:t>谁支出、谁负责</w:t>
      </w:r>
      <w:r>
        <w:rPr>
          <w:rFonts w:hint="eastAsia" w:ascii="仿宋_GB2312" w:hAnsi="仿宋_GB2312" w:eastAsia="仿宋_GB2312"/>
          <w:b w:val="0"/>
          <w:sz w:val="32"/>
          <w:lang w:eastAsia="zh-CN"/>
        </w:rPr>
        <w:t>”</w:t>
      </w:r>
      <w:r>
        <w:rPr>
          <w:rFonts w:ascii="仿宋_GB2312" w:hAnsi="仿宋_GB2312" w:eastAsia="仿宋_GB2312"/>
          <w:b w:val="0"/>
          <w:sz w:val="32"/>
        </w:rPr>
        <w:t>，将预算绩效管理责任层层压实到具体单位和项目责任人，改变了过去财政一家</w:t>
      </w:r>
      <w:r>
        <w:rPr>
          <w:rFonts w:hint="eastAsia" w:ascii="仿宋_GB2312" w:hAnsi="仿宋_GB2312" w:eastAsia="仿宋_GB2312"/>
          <w:b w:val="0"/>
          <w:sz w:val="32"/>
          <w:lang w:eastAsia="zh-CN"/>
        </w:rPr>
        <w:t>“</w:t>
      </w:r>
      <w:r>
        <w:rPr>
          <w:rFonts w:ascii="仿宋_GB2312" w:hAnsi="仿宋_GB2312" w:eastAsia="仿宋_GB2312"/>
          <w:b w:val="0"/>
          <w:sz w:val="32"/>
        </w:rPr>
        <w:t>单打独斗</w:t>
      </w:r>
      <w:r>
        <w:rPr>
          <w:rFonts w:hint="eastAsia" w:ascii="仿宋_GB2312" w:hAnsi="仿宋_GB2312" w:eastAsia="仿宋_GB2312"/>
          <w:b w:val="0"/>
          <w:sz w:val="32"/>
          <w:lang w:eastAsia="zh-CN"/>
        </w:rPr>
        <w:t>”</w:t>
      </w:r>
      <w:r>
        <w:rPr>
          <w:rFonts w:ascii="仿宋_GB2312" w:hAnsi="仿宋_GB2312" w:eastAsia="仿宋_GB2312"/>
          <w:b w:val="0"/>
          <w:sz w:val="32"/>
        </w:rPr>
        <w:t>的局面；二是机制层面：全方位构建。建立了一套覆盖预算编制、执行、监督全过程的制度框架，实现了管理环节的闭环。1.事前评估绩效机制：在新出台重大政策、项目立项前，进行必要性、可行性、绩效目标等方面的评估，从源头上防止了</w:t>
      </w:r>
      <w:r>
        <w:rPr>
          <w:rFonts w:hint="eastAsia" w:ascii="仿宋_GB2312" w:hAnsi="仿宋_GB2312" w:eastAsia="仿宋_GB2312"/>
          <w:b w:val="0"/>
          <w:sz w:val="32"/>
          <w:lang w:eastAsia="zh-CN"/>
        </w:rPr>
        <w:t>“</w:t>
      </w:r>
      <w:r>
        <w:rPr>
          <w:rFonts w:ascii="仿宋_GB2312" w:hAnsi="仿宋_GB2312" w:eastAsia="仿宋_GB2312"/>
          <w:b w:val="0"/>
          <w:sz w:val="32"/>
        </w:rPr>
        <w:t>拍脑袋决策</w:t>
      </w:r>
      <w:r>
        <w:rPr>
          <w:rFonts w:hint="eastAsia" w:ascii="仿宋_GB2312" w:hAnsi="仿宋_GB2312" w:eastAsia="仿宋_GB2312"/>
          <w:b w:val="0"/>
          <w:sz w:val="32"/>
          <w:lang w:eastAsia="zh-CN"/>
        </w:rPr>
        <w:t>”</w:t>
      </w:r>
      <w:r>
        <w:rPr>
          <w:rFonts w:ascii="仿宋_GB2312" w:hAnsi="仿宋_GB2312" w:eastAsia="仿宋_GB2312"/>
          <w:b w:val="0"/>
          <w:sz w:val="32"/>
        </w:rPr>
        <w:t>和低效无效项目的上马。成效：拦截和优化了大量不合理支出申请。2.绩效目标管理机制：所有项目预算都必须设定清晰、可衡量、可考核的绩效目标。成效：使得预算编制有了明确的风向标，资金使用有了清晰的路线图3.绩效运行监控机制：在预算执行过程中，对绩效目标实现程度和预算执行进度进行</w:t>
      </w:r>
      <w:r>
        <w:rPr>
          <w:rFonts w:hint="eastAsia" w:ascii="仿宋_GB2312" w:hAnsi="仿宋_GB2312" w:eastAsia="仿宋_GB2312"/>
          <w:b w:val="0"/>
          <w:sz w:val="32"/>
          <w:lang w:eastAsia="zh-CN"/>
        </w:rPr>
        <w:t>“</w:t>
      </w:r>
      <w:r>
        <w:rPr>
          <w:rFonts w:ascii="仿宋_GB2312" w:hAnsi="仿宋_GB2312" w:eastAsia="仿宋_GB2312"/>
          <w:b w:val="0"/>
          <w:sz w:val="32"/>
        </w:rPr>
        <w:t>双监控</w:t>
      </w:r>
      <w:r>
        <w:rPr>
          <w:rFonts w:hint="eastAsia" w:ascii="仿宋_GB2312" w:hAnsi="仿宋_GB2312" w:eastAsia="仿宋_GB2312"/>
          <w:b w:val="0"/>
          <w:sz w:val="32"/>
          <w:lang w:eastAsia="zh-CN"/>
        </w:rPr>
        <w:t>”</w:t>
      </w:r>
      <w:r>
        <w:rPr>
          <w:rFonts w:ascii="仿宋_GB2312" w:hAnsi="仿宋_GB2312" w:eastAsia="仿宋_GB2312"/>
          <w:b w:val="0"/>
          <w:sz w:val="32"/>
        </w:rPr>
        <w:t>及时发现管理漏洞和绩效偏差，并予以纠正。成效：实现了动态管理，防止了资金沉淀和挪用，确保了资金使用不偏离目标。4.绩效评价常态化机制：项目完成后，开展单位自评、部门评价和财政重点评价，对资金使用效果进行</w:t>
      </w:r>
      <w:r>
        <w:rPr>
          <w:rFonts w:hint="eastAsia" w:ascii="仿宋_GB2312" w:hAnsi="仿宋_GB2312" w:eastAsia="仿宋_GB2312"/>
          <w:b w:val="0"/>
          <w:sz w:val="32"/>
          <w:lang w:eastAsia="zh-CN"/>
        </w:rPr>
        <w:t>“</w:t>
      </w:r>
      <w:r>
        <w:rPr>
          <w:rFonts w:ascii="仿宋_GB2312" w:hAnsi="仿宋_GB2312" w:eastAsia="仿宋_GB2312"/>
          <w:b w:val="0"/>
          <w:sz w:val="32"/>
        </w:rPr>
        <w:t>期末</w:t>
      </w:r>
      <w:r>
        <w:rPr>
          <w:rFonts w:hint="eastAsia" w:ascii="仿宋_GB2312" w:hAnsi="仿宋_GB2312" w:eastAsia="仿宋_GB2312"/>
          <w:b w:val="0"/>
          <w:sz w:val="32"/>
          <w:lang w:eastAsia="zh-CN"/>
        </w:rPr>
        <w:t>考核”</w:t>
      </w:r>
      <w:r>
        <w:rPr>
          <w:rFonts w:ascii="仿宋_GB2312" w:hAnsi="仿宋_GB2312" w:eastAsia="仿宋_GB2312"/>
          <w:b w:val="0"/>
          <w:sz w:val="32"/>
        </w:rPr>
        <w:t>。成效：评价范围不断扩大，评价质量持续提升，为政府和公众提供了决策和管理依据；三是绩效层面：实质性提升，绩效管理最终要体现在财政资金使用效益的提升上：1.节约了大量财政资金；2.提升了公共服务质量和水平；3.支持了重大战略和政策落地；四是治理层面：深层次影响。预算绩效管理超越了简单的工具范畴，成为提升国家治理体系和治理能力现代化的重要抓手。1.提高了政府透明度和公信力；2.</w:t>
      </w:r>
      <w:r>
        <w:rPr>
          <w:rFonts w:hint="eastAsia" w:ascii="仿宋_GB2312" w:hAnsi="仿宋_GB2312" w:eastAsia="仿宋_GB2312"/>
          <w:b w:val="0"/>
          <w:sz w:val="32"/>
          <w:lang w:eastAsia="zh-CN"/>
        </w:rPr>
        <w:t>优化营商环境</w:t>
      </w:r>
      <w:r>
        <w:rPr>
          <w:rFonts w:ascii="仿宋_GB2312" w:hAnsi="仿宋_GB2312" w:eastAsia="仿宋_GB2312"/>
          <w:b w:val="0"/>
          <w:sz w:val="32"/>
        </w:rPr>
        <w:t>；3.为科学决策提供了有力支撑。发现的问题及原因：存在的主要问题：一是绩效目标管理层面：目标设定</w:t>
      </w:r>
      <w:r>
        <w:rPr>
          <w:rFonts w:hint="eastAsia" w:ascii="仿宋_GB2312" w:hAnsi="仿宋_GB2312" w:eastAsia="仿宋_GB2312"/>
          <w:b w:val="0"/>
          <w:sz w:val="32"/>
          <w:lang w:eastAsia="zh-CN"/>
        </w:rPr>
        <w:t>“</w:t>
      </w:r>
      <w:r>
        <w:rPr>
          <w:rFonts w:ascii="仿宋_GB2312" w:hAnsi="仿宋_GB2312" w:eastAsia="仿宋_GB2312"/>
          <w:b w:val="0"/>
          <w:sz w:val="32"/>
        </w:rPr>
        <w:t>虚化、泛化</w:t>
      </w:r>
      <w:r>
        <w:rPr>
          <w:rFonts w:hint="eastAsia" w:ascii="仿宋_GB2312" w:hAnsi="仿宋_GB2312" w:eastAsia="仿宋_GB2312"/>
          <w:b w:val="0"/>
          <w:sz w:val="32"/>
          <w:lang w:eastAsia="zh-CN"/>
        </w:rPr>
        <w:t>”</w:t>
      </w:r>
      <w:r>
        <w:rPr>
          <w:rFonts w:ascii="仿宋_GB2312" w:hAnsi="仿宋_GB2312" w:eastAsia="仿宋_GB2312"/>
          <w:b w:val="0"/>
          <w:sz w:val="32"/>
        </w:rPr>
        <w:t>，绩效目标设定过于笼统、定性多、定量少，指标值与工作任务关联度不高，或者数据无法获取，导致评价时缺乏依据；二是绩效运行监控层面：监控”形式化、走过场，重支出进度，轻绩效实现，监控往往只关注钱花了没有、是否按时花，但对于花了之后的效果、是否偏离了预设目标，跟踪分析不足。上述问题的产生，并非单一因素所致，而是源于体制机制、技术能力等多个层面，1.体制原因，预算决策体制的路径依赖：传统的</w:t>
      </w:r>
      <w:r>
        <w:rPr>
          <w:rFonts w:hint="eastAsia" w:ascii="仿宋_GB2312" w:hAnsi="仿宋_GB2312" w:eastAsia="仿宋_GB2312"/>
          <w:b w:val="0"/>
          <w:sz w:val="32"/>
          <w:lang w:eastAsia="zh-CN"/>
        </w:rPr>
        <w:t>“</w:t>
      </w:r>
      <w:r>
        <w:rPr>
          <w:rFonts w:ascii="仿宋_GB2312" w:hAnsi="仿宋_GB2312" w:eastAsia="仿宋_GB2312"/>
          <w:b w:val="0"/>
          <w:sz w:val="32"/>
        </w:rPr>
        <w:t>基数+增长</w:t>
      </w:r>
      <w:r>
        <w:rPr>
          <w:rFonts w:hint="eastAsia" w:ascii="仿宋_GB2312" w:hAnsi="仿宋_GB2312" w:eastAsia="仿宋_GB2312"/>
          <w:b w:val="0"/>
          <w:sz w:val="32"/>
          <w:lang w:eastAsia="zh-CN"/>
        </w:rPr>
        <w:t>”</w:t>
      </w:r>
      <w:r>
        <w:rPr>
          <w:rFonts w:ascii="仿宋_GB2312" w:hAnsi="仿宋_GB2312" w:eastAsia="仿宋_GB2312"/>
          <w:b w:val="0"/>
          <w:sz w:val="32"/>
        </w:rPr>
        <w:t>的预算分配模式惯性巨大，预算分配往往与权力、历史因素，绩效因素短期内难以成为决定性变量。2.技术能力原因，绩效指标体系建设难，特别是对于公共服务、民生保障、基础科研、战略政策等领域，其产出和效果具有长期性、间接性、综合性，很难用短期、量化的指准确衡量。数据支撑能力薄弱，绩效管理依赖于大量、准确及时的数据，许多部门业务信息系统与财务系统不联通，数据孤岛现象严重，收集、核实绩效数据的成本高昂，专业人才队伍匮乏，极度缺乏既懂专业领域业务，又懂公共管理</w:t>
      </w:r>
      <w:r>
        <w:rPr>
          <w:rFonts w:hint="eastAsia" w:ascii="仿宋_GB2312" w:hAnsi="仿宋_GB2312" w:eastAsia="仿宋_GB2312"/>
          <w:b w:val="0"/>
          <w:sz w:val="32"/>
          <w:lang w:eastAsia="zh-CN"/>
        </w:rPr>
        <w:t>、</w:t>
      </w:r>
      <w:r>
        <w:rPr>
          <w:rFonts w:ascii="仿宋_GB2312" w:hAnsi="仿宋_GB2312" w:eastAsia="仿宋_GB2312"/>
          <w:b w:val="0"/>
          <w:sz w:val="32"/>
        </w:rPr>
        <w:t>精确财务和数据分析的复合型人才。下一步改进措施：一是提升技术支撑和专业能力，打造一体化信息平台，建设贯通各级财政、连接各部门的预算管理信息系统，实现与预算编制、国库支付、资产管理等系统的互联互通；二是加强数据和标准支撑，建立健全绩效信息的数据收集、核实和分析机制，打破数据壁垒；三是构建专业化人才队伍，加强对财政和预算部门工作人员、第三方机构从业人员的系统性、常态化培训。具体附部门整体支出绩效自评表，项目支出绩效自评表和部门评价报告。</w:t>
      </w:r>
    </w:p>
    <w:p w14:paraId="7F7CD8D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0513B7E">
        <w:tblPrEx>
          <w:tblCellMar>
            <w:top w:w="0" w:type="dxa"/>
            <w:left w:w="108" w:type="dxa"/>
            <w:bottom w:w="0" w:type="dxa"/>
            <w:right w:w="108" w:type="dxa"/>
          </w:tblCellMar>
        </w:tblPrEx>
        <w:tc>
          <w:tcPr>
            <w:tcW w:w="8840" w:type="dxa"/>
            <w:gridSpan w:val="8"/>
            <w:vAlign w:val="center"/>
          </w:tcPr>
          <w:p w14:paraId="2537BC1A">
            <w:pPr>
              <w:jc w:val="center"/>
            </w:pPr>
            <w:r>
              <w:rPr>
                <w:rFonts w:ascii="宋体" w:hAnsi="宋体" w:eastAsia="宋体"/>
                <w:sz w:val="24"/>
              </w:rPr>
              <w:t>部门整体支出绩效自评表</w:t>
            </w:r>
          </w:p>
        </w:tc>
      </w:tr>
      <w:tr w14:paraId="431FEFD7">
        <w:tblPrEx>
          <w:tblCellMar>
            <w:top w:w="0" w:type="dxa"/>
            <w:left w:w="108" w:type="dxa"/>
            <w:bottom w:w="0" w:type="dxa"/>
            <w:right w:w="108" w:type="dxa"/>
          </w:tblCellMar>
        </w:tblPrEx>
        <w:tc>
          <w:tcPr>
            <w:tcW w:w="8840" w:type="dxa"/>
            <w:gridSpan w:val="8"/>
            <w:vAlign w:val="center"/>
          </w:tcPr>
          <w:p w14:paraId="640D6C64">
            <w:pPr>
              <w:jc w:val="center"/>
            </w:pPr>
            <w:r>
              <w:rPr>
                <w:rFonts w:ascii="宋体" w:hAnsi="宋体" w:eastAsia="宋体"/>
                <w:sz w:val="24"/>
              </w:rPr>
              <w:t>（2024年度）</w:t>
            </w:r>
          </w:p>
        </w:tc>
      </w:tr>
      <w:tr w14:paraId="62E6F07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79ECB">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179FB">
            <w:pPr>
              <w:jc w:val="center"/>
            </w:pPr>
            <w:r>
              <w:rPr>
                <w:rFonts w:ascii="宋体" w:hAnsi="宋体" w:eastAsia="宋体"/>
                <w:sz w:val="16"/>
              </w:rPr>
              <w:t>巴音郭楞蒙古自治州数字化发展局</w:t>
            </w:r>
          </w:p>
        </w:tc>
      </w:tr>
      <w:tr w14:paraId="75CF87A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6494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5242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4F3C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2ECE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36DA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819B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0E6B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0B74B">
            <w:pPr>
              <w:jc w:val="center"/>
            </w:pPr>
            <w:r>
              <w:rPr>
                <w:rFonts w:ascii="宋体" w:hAnsi="宋体" w:eastAsia="宋体"/>
                <w:sz w:val="16"/>
              </w:rPr>
              <w:t>得分</w:t>
            </w:r>
          </w:p>
        </w:tc>
      </w:tr>
      <w:tr w14:paraId="00D827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24A0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13C1F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6B4B3">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C0470">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1EAFD">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26BC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6366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D7A5A">
            <w:pPr>
              <w:jc w:val="center"/>
            </w:pPr>
            <w:r>
              <w:rPr>
                <w:rFonts w:ascii="宋体" w:hAnsi="宋体" w:eastAsia="宋体"/>
                <w:sz w:val="16"/>
              </w:rPr>
              <w:t>10</w:t>
            </w:r>
          </w:p>
        </w:tc>
      </w:tr>
      <w:tr w14:paraId="58964C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B7B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1FA8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87D6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74D9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E592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139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1C0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DB706">
            <w:pPr>
              <w:jc w:val="center"/>
            </w:pPr>
            <w:r>
              <w:rPr>
                <w:rFonts w:ascii="宋体" w:hAnsi="宋体" w:eastAsia="宋体"/>
                <w:sz w:val="16"/>
              </w:rPr>
              <w:t>-</w:t>
            </w:r>
          </w:p>
        </w:tc>
      </w:tr>
      <w:tr w14:paraId="4CCC8D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CBF8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7FF8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D92E3">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95638">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6343A">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8FB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6230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FEF58">
            <w:pPr>
              <w:jc w:val="center"/>
            </w:pPr>
            <w:r>
              <w:rPr>
                <w:rFonts w:ascii="宋体" w:hAnsi="宋体" w:eastAsia="宋体"/>
                <w:sz w:val="16"/>
              </w:rPr>
              <w:t>-</w:t>
            </w:r>
          </w:p>
        </w:tc>
      </w:tr>
      <w:tr w14:paraId="2001D2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27F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0E21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0678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375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9FB6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EC9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93C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88AFD">
            <w:pPr>
              <w:jc w:val="center"/>
            </w:pPr>
            <w:r>
              <w:rPr>
                <w:rFonts w:ascii="宋体" w:hAnsi="宋体" w:eastAsia="宋体"/>
                <w:sz w:val="16"/>
              </w:rPr>
              <w:t>-</w:t>
            </w:r>
          </w:p>
        </w:tc>
      </w:tr>
      <w:tr w14:paraId="4799C7A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8FAA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433E5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A2672A">
            <w:pPr>
              <w:jc w:val="center"/>
            </w:pPr>
            <w:r>
              <w:rPr>
                <w:rFonts w:ascii="宋体" w:hAnsi="宋体" w:eastAsia="宋体"/>
                <w:sz w:val="16"/>
              </w:rPr>
              <w:t>实际完成情况</w:t>
            </w:r>
          </w:p>
        </w:tc>
      </w:tr>
      <w:tr w14:paraId="1FC890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9544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F5F584">
            <w:pPr>
              <w:jc w:val="both"/>
            </w:pPr>
            <w:r>
              <w:rPr>
                <w:rFonts w:ascii="宋体" w:hAnsi="宋体" w:eastAsia="宋体"/>
                <w:sz w:val="16"/>
              </w:rPr>
              <w:t>确保数字化发展局事务基本工作，准确把握数字政府改革的相关政策，数字化转型的创新思路，强化总体部署、统筹协调，计划制定完成数据安全管理制度、推动全州13个“高效办成一件事”服务内容、制定巴州电子政务外网公共区政务数据中心建设方案，开展数字资源普查工作1次，搭建巴州医药数字化管理服务平台、巴州金融综合服务平台，为巴州数字经济高质量发展打下坚实基础，全面推进数字政府建设，加快构建“数智化”数字政府，为经济社会高质量发展提供重要支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A450F5">
            <w:pPr>
              <w:jc w:val="both"/>
            </w:pPr>
            <w:r>
              <w:rPr>
                <w:rFonts w:ascii="宋体" w:hAnsi="宋体" w:eastAsia="宋体"/>
                <w:sz w:val="16"/>
              </w:rPr>
              <w:t>积极推动“一网通办”制定完成了数据安全管理制度，完成全州13个“高效办成一件事”服务内容，</w:t>
            </w:r>
            <w:r>
              <w:rPr>
                <w:rFonts w:hint="eastAsia" w:ascii="宋体" w:hAnsi="宋体"/>
                <w:sz w:val="16"/>
                <w:lang w:eastAsia="zh-CN"/>
              </w:rPr>
              <w:t>制定</w:t>
            </w:r>
            <w:r>
              <w:rPr>
                <w:rFonts w:ascii="宋体" w:hAnsi="宋体" w:eastAsia="宋体"/>
                <w:sz w:val="16"/>
              </w:rPr>
              <w:t>完善了巴州电子政务外网公共区政务数据中心建设方案，协调推进数字经济发展，促进数字产业化和产业数字化。开展了1次数字资源普查工作，成功搭建了巴州医药数字化管理服务平台、巴州金融综合服务平台，</w:t>
            </w:r>
            <w:r>
              <w:rPr>
                <w:rFonts w:hint="eastAsia" w:ascii="宋体" w:hAnsi="宋体"/>
                <w:sz w:val="16"/>
                <w:lang w:eastAsia="zh-CN"/>
              </w:rPr>
              <w:t>促进数字经济和实体经济深度融合</w:t>
            </w:r>
            <w:r>
              <w:rPr>
                <w:rFonts w:ascii="宋体" w:hAnsi="宋体" w:eastAsia="宋体"/>
                <w:sz w:val="16"/>
              </w:rPr>
              <w:t>。在政务服务、数据资源管理、数字经济发展等领域取得显著成果，有力促进巴州数字化转型与经济社会高质量发展，提供有力保障。</w:t>
            </w:r>
          </w:p>
        </w:tc>
      </w:tr>
      <w:tr w14:paraId="24733A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6725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E275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C904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6BF8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C0B97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2DD9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EB3B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C3469">
            <w:pPr>
              <w:jc w:val="center"/>
            </w:pPr>
            <w:r>
              <w:rPr>
                <w:rFonts w:ascii="宋体" w:hAnsi="宋体" w:eastAsia="宋体"/>
                <w:sz w:val="16"/>
              </w:rPr>
              <w:t>得分</w:t>
            </w:r>
          </w:p>
        </w:tc>
      </w:tr>
      <w:tr w14:paraId="733D68B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1C0F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7912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FBCAC">
            <w:pPr>
              <w:jc w:val="center"/>
            </w:pPr>
            <w:r>
              <w:rPr>
                <w:rFonts w:ascii="宋体" w:hAnsi="宋体" w:eastAsia="宋体"/>
                <w:sz w:val="16"/>
              </w:rPr>
              <w:t>推进“高效办成一件事”应用场景数量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76E76">
            <w:pPr>
              <w:jc w:val="center"/>
            </w:pPr>
            <w:r>
              <w:rPr>
                <w:rFonts w:ascii="宋体" w:hAnsi="宋体" w:eastAsia="宋体"/>
                <w:sz w:val="16"/>
              </w:rPr>
              <w:t>&gt;=13个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55539">
            <w:pPr>
              <w:jc w:val="center"/>
            </w:pPr>
            <w:r>
              <w:rPr>
                <w:rFonts w:ascii="宋体" w:hAnsi="宋体" w:eastAsia="宋体"/>
                <w:sz w:val="16"/>
              </w:rPr>
              <w:t>新疆维吾尔自治区人民政府关于印发《自治区进一步优化政务服务</w:t>
            </w:r>
            <w:r>
              <w:rPr>
                <w:rFonts w:hint="eastAsia" w:ascii="宋体" w:hAnsi="宋体"/>
                <w:sz w:val="16"/>
                <w:lang w:eastAsia="zh-CN"/>
              </w:rPr>
              <w:t>提升行政效能</w:t>
            </w:r>
            <w:r>
              <w:rPr>
                <w:rFonts w:ascii="宋体" w:hAnsi="宋体" w:eastAsia="宋体"/>
                <w:sz w:val="16"/>
              </w:rPr>
              <w:t>推动“高效办成一件事”实施方案》的通知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67F3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15195">
            <w:pPr>
              <w:jc w:val="center"/>
            </w:pPr>
            <w:r>
              <w:rPr>
                <w:rFonts w:ascii="宋体" w:hAnsi="宋体" w:eastAsia="宋体"/>
                <w:sz w:val="16"/>
              </w:rPr>
              <w:t>13个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D7DBB">
            <w:pPr>
              <w:jc w:val="center"/>
            </w:pPr>
            <w:r>
              <w:rPr>
                <w:rFonts w:ascii="宋体" w:hAnsi="宋体" w:eastAsia="宋体"/>
                <w:sz w:val="16"/>
              </w:rPr>
              <w:t>20</w:t>
            </w:r>
          </w:p>
        </w:tc>
      </w:tr>
      <w:tr w14:paraId="77FA34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2A95F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AAC2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A2A37">
            <w:pPr>
              <w:jc w:val="center"/>
            </w:pPr>
            <w:r>
              <w:rPr>
                <w:rFonts w:ascii="宋体" w:hAnsi="宋体" w:eastAsia="宋体"/>
                <w:sz w:val="16"/>
              </w:rPr>
              <w:t>制定巴州电子政务外网公共区政务数据中心建设方案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B7777">
            <w:pPr>
              <w:jc w:val="center"/>
            </w:pPr>
            <w:r>
              <w:rPr>
                <w:rFonts w:ascii="宋体" w:hAnsi="宋体" w:eastAsia="宋体"/>
                <w:sz w:val="16"/>
              </w:rPr>
              <w:t>&gt;=1项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ABC29">
            <w:pPr>
              <w:jc w:val="center"/>
            </w:pPr>
            <w:r>
              <w:rPr>
                <w:rFonts w:ascii="宋体" w:hAnsi="宋体" w:eastAsia="宋体"/>
                <w:sz w:val="16"/>
              </w:rPr>
              <w:t>2024年巴州数字化发展局工作计划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D317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1C533">
            <w:pPr>
              <w:jc w:val="center"/>
            </w:pPr>
            <w:r>
              <w:rPr>
                <w:rFonts w:ascii="宋体" w:hAnsi="宋体" w:eastAsia="宋体"/>
                <w:sz w:val="16"/>
              </w:rPr>
              <w: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72B78">
            <w:pPr>
              <w:jc w:val="center"/>
            </w:pPr>
            <w:r>
              <w:rPr>
                <w:rFonts w:ascii="宋体" w:hAnsi="宋体" w:eastAsia="宋体"/>
                <w:sz w:val="16"/>
              </w:rPr>
              <w:t>20</w:t>
            </w:r>
          </w:p>
        </w:tc>
      </w:tr>
      <w:tr w14:paraId="486CEA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EAEC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A156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4456C">
            <w:pPr>
              <w:jc w:val="center"/>
            </w:pPr>
            <w:r>
              <w:rPr>
                <w:rFonts w:ascii="宋体" w:hAnsi="宋体" w:eastAsia="宋体"/>
                <w:sz w:val="16"/>
              </w:rPr>
              <w:t>开展数字资源普查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E3B2A">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3182E">
            <w:pPr>
              <w:jc w:val="center"/>
            </w:pPr>
            <w:r>
              <w:rPr>
                <w:rFonts w:ascii="宋体" w:hAnsi="宋体" w:eastAsia="宋体"/>
                <w:sz w:val="16"/>
              </w:rPr>
              <w:t>关于开展数字资源普查补充填报的通知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7958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35AD0">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E2720">
            <w:pPr>
              <w:jc w:val="center"/>
            </w:pPr>
            <w:r>
              <w:rPr>
                <w:rFonts w:ascii="宋体" w:hAnsi="宋体" w:eastAsia="宋体"/>
                <w:sz w:val="16"/>
              </w:rPr>
              <w:t>20</w:t>
            </w:r>
          </w:p>
        </w:tc>
      </w:tr>
      <w:tr w14:paraId="28314B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886F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021F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FC080">
            <w:pPr>
              <w:jc w:val="center"/>
            </w:pPr>
            <w:r>
              <w:rPr>
                <w:rFonts w:ascii="宋体" w:hAnsi="宋体" w:eastAsia="宋体"/>
                <w:sz w:val="16"/>
              </w:rPr>
              <w:t>搭建巴州数字化服务平台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1E246">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0F896">
            <w:pPr>
              <w:jc w:val="center"/>
            </w:pPr>
            <w:r>
              <w:rPr>
                <w:rFonts w:ascii="宋体" w:hAnsi="宋体" w:eastAsia="宋体"/>
                <w:sz w:val="16"/>
              </w:rPr>
              <w:t>2024年巴州数字化发展局工作计划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B2DE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39E03">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F1931">
            <w:pPr>
              <w:jc w:val="center"/>
            </w:pPr>
            <w:r>
              <w:rPr>
                <w:rFonts w:ascii="宋体" w:hAnsi="宋体" w:eastAsia="宋体"/>
                <w:sz w:val="16"/>
              </w:rPr>
              <w:t>30</w:t>
            </w:r>
          </w:p>
        </w:tc>
      </w:tr>
    </w:tbl>
    <w:p w14:paraId="07FD53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C54CA97">
        <w:tblPrEx>
          <w:tblCellMar>
            <w:top w:w="0" w:type="dxa"/>
            <w:left w:w="108" w:type="dxa"/>
            <w:bottom w:w="0" w:type="dxa"/>
            <w:right w:w="108" w:type="dxa"/>
          </w:tblCellMar>
        </w:tblPrEx>
        <w:tc>
          <w:tcPr>
            <w:tcW w:w="8848" w:type="dxa"/>
            <w:gridSpan w:val="14"/>
            <w:vAlign w:val="center"/>
          </w:tcPr>
          <w:p w14:paraId="13271BAC">
            <w:pPr>
              <w:jc w:val="center"/>
            </w:pPr>
            <w:r>
              <w:rPr>
                <w:rFonts w:ascii="宋体" w:hAnsi="宋体" w:eastAsia="宋体"/>
                <w:sz w:val="24"/>
              </w:rPr>
              <w:t>项目支出绩效自评表</w:t>
            </w:r>
          </w:p>
        </w:tc>
      </w:tr>
      <w:tr w14:paraId="374844A3">
        <w:tblPrEx>
          <w:tblCellMar>
            <w:top w:w="0" w:type="dxa"/>
            <w:left w:w="108" w:type="dxa"/>
            <w:bottom w:w="0" w:type="dxa"/>
            <w:right w:w="108" w:type="dxa"/>
          </w:tblCellMar>
        </w:tblPrEx>
        <w:tc>
          <w:tcPr>
            <w:tcW w:w="8848" w:type="dxa"/>
            <w:gridSpan w:val="14"/>
            <w:vAlign w:val="center"/>
          </w:tcPr>
          <w:p w14:paraId="6994516A">
            <w:pPr>
              <w:jc w:val="center"/>
            </w:pPr>
            <w:r>
              <w:rPr>
                <w:rFonts w:ascii="宋体" w:hAnsi="宋体" w:eastAsia="宋体"/>
                <w:sz w:val="24"/>
              </w:rPr>
              <w:t>(2024年度)</w:t>
            </w:r>
          </w:p>
        </w:tc>
      </w:tr>
      <w:tr w14:paraId="4A47EC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3B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81838B">
            <w:pPr>
              <w:jc w:val="center"/>
            </w:pPr>
            <w:r>
              <w:rPr>
                <w:rFonts w:ascii="宋体" w:hAnsi="宋体" w:eastAsia="宋体"/>
                <w:sz w:val="16"/>
              </w:rPr>
              <w:t>2024年巴州数字化发展局政务保障项目</w:t>
            </w:r>
          </w:p>
        </w:tc>
      </w:tr>
      <w:tr w14:paraId="3A4463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6C21">
            <w:pPr>
              <w:jc w:val="center"/>
            </w:pPr>
            <w:bookmarkStart w:id="0" w:name="_GoBack" w:colFirst="1" w:colLast="12"/>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72E75">
            <w:pPr>
              <w:jc w:val="center"/>
            </w:pPr>
            <w:r>
              <w:rPr>
                <w:rFonts w:ascii="宋体" w:hAnsi="宋体" w:eastAsia="宋体"/>
                <w:sz w:val="16"/>
              </w:rPr>
              <w:t>巴音郭楞蒙古自治州数字化发展局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AE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39D48">
            <w:pPr>
              <w:jc w:val="center"/>
            </w:pPr>
            <w:r>
              <w:rPr>
                <w:rFonts w:ascii="宋体" w:hAnsi="宋体" w:eastAsia="宋体"/>
                <w:sz w:val="16"/>
              </w:rPr>
              <w:t>巴音郭楞蒙古自治州数字化发展局</w:t>
            </w:r>
          </w:p>
        </w:tc>
      </w:tr>
      <w:tr w14:paraId="1B4B34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F0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A7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1B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9C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47B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032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1F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38E6">
            <w:pPr>
              <w:jc w:val="center"/>
            </w:pPr>
            <w:r>
              <w:rPr>
                <w:rFonts w:ascii="宋体" w:hAnsi="宋体" w:eastAsia="宋体"/>
                <w:sz w:val="16"/>
              </w:rPr>
              <w:t>得分</w:t>
            </w:r>
          </w:p>
        </w:tc>
      </w:tr>
      <w:tr w14:paraId="362793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664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7E2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271A">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3F35">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DC505">
            <w:pPr>
              <w:jc w:val="center"/>
            </w:pPr>
            <w:r>
              <w:rPr>
                <w:rFonts w:ascii="宋体" w:hAnsi="宋体" w:eastAsia="宋体"/>
                <w:sz w:val="16"/>
              </w:rPr>
              <w:t>12.18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89F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2059">
            <w:pPr>
              <w:jc w:val="center"/>
            </w:pPr>
            <w:r>
              <w:rPr>
                <w:rFonts w:ascii="宋体" w:hAnsi="宋体" w:eastAsia="宋体"/>
                <w:sz w:val="16"/>
              </w:rPr>
              <w:t>99.59%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98DF">
            <w:pPr>
              <w:jc w:val="center"/>
            </w:pPr>
            <w:r>
              <w:rPr>
                <w:rFonts w:ascii="宋体" w:hAnsi="宋体" w:eastAsia="宋体"/>
                <w:sz w:val="16"/>
              </w:rPr>
              <w:t>9.90</w:t>
            </w:r>
          </w:p>
        </w:tc>
      </w:tr>
      <w:tr w14:paraId="32E5C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DB9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B35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D4744">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3327">
            <w:pPr>
              <w:jc w:val="center"/>
            </w:pPr>
            <w:r>
              <w:rPr>
                <w:rFonts w:ascii="宋体" w:hAnsi="宋体" w:eastAsia="宋体"/>
                <w:sz w:val="16"/>
              </w:rPr>
              <w:t>12.23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407A">
            <w:pPr>
              <w:jc w:val="center"/>
            </w:pPr>
            <w:r>
              <w:rPr>
                <w:rFonts w:ascii="宋体" w:hAnsi="宋体" w:eastAsia="宋体"/>
                <w:sz w:val="16"/>
              </w:rPr>
              <w:t>12.18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C6C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9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82E9">
            <w:pPr>
              <w:jc w:val="center"/>
            </w:pPr>
            <w:r>
              <w:rPr>
                <w:rFonts w:ascii="宋体" w:hAnsi="宋体" w:eastAsia="宋体"/>
                <w:sz w:val="16"/>
              </w:rPr>
              <w:t>-</w:t>
            </w:r>
          </w:p>
        </w:tc>
      </w:tr>
      <w:bookmarkEnd w:id="0"/>
      <w:tr w14:paraId="18703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48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6B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37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59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1B1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11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0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185F">
            <w:pPr>
              <w:jc w:val="center"/>
            </w:pPr>
            <w:r>
              <w:rPr>
                <w:rFonts w:ascii="宋体" w:hAnsi="宋体" w:eastAsia="宋体"/>
                <w:sz w:val="16"/>
              </w:rPr>
              <w:t>-</w:t>
            </w:r>
          </w:p>
        </w:tc>
      </w:tr>
      <w:tr w14:paraId="1BA93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C6E6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E83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02D5D">
            <w:pPr>
              <w:jc w:val="center"/>
            </w:pPr>
            <w:r>
              <w:rPr>
                <w:rFonts w:ascii="宋体" w:hAnsi="宋体" w:eastAsia="宋体"/>
                <w:sz w:val="16"/>
              </w:rPr>
              <w:t>总体目标完成情况</w:t>
            </w:r>
          </w:p>
        </w:tc>
      </w:tr>
      <w:tr w14:paraId="2B9A7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794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12D09">
            <w:pPr>
              <w:jc w:val="both"/>
            </w:pPr>
            <w:r>
              <w:rPr>
                <w:rFonts w:ascii="宋体" w:hAnsi="宋体" w:eastAsia="宋体"/>
                <w:sz w:val="16"/>
              </w:rPr>
              <w:t>保障本年度办公人员10人运转经费，购置办公设备4台，保障正常工作运转，落实国家大数据战略，组织、协调、指导推进自治州数字政府的改革、建设、管理，推进数字经济发展。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36F7B">
            <w:pPr>
              <w:jc w:val="both"/>
            </w:pPr>
            <w:r>
              <w:rPr>
                <w:rFonts w:ascii="宋体" w:hAnsi="宋体" w:eastAsia="宋体"/>
                <w:sz w:val="16"/>
              </w:rPr>
              <w:t>通过合理调配资源、严格审批流程等措施，实际完成保障了本年8名办公人员运转经费10.25万元，购置设备4台，支付1.93万元，在经费支持下，成功搭建了一体化在线政务服务平台，实现了政务服务事项的网上办理，有效提高了政府办事效率，增强了群众的满意度和获得感。</w:t>
            </w:r>
          </w:p>
        </w:tc>
      </w:tr>
      <w:tr w14:paraId="3C70D7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06D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9A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83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90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E1E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6E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9F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E5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AD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0A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13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69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0B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93C9">
            <w:pPr>
              <w:jc w:val="center"/>
            </w:pPr>
            <w:r>
              <w:rPr>
                <w:rFonts w:ascii="宋体" w:hAnsi="宋体" w:eastAsia="宋体"/>
                <w:sz w:val="16"/>
              </w:rPr>
              <w:t>偏差原因分析及改进措施</w:t>
            </w:r>
          </w:p>
        </w:tc>
      </w:tr>
      <w:tr w14:paraId="63E25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BD9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971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C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318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4A8E">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F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7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77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D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A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BFE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D3D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681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F981">
            <w:pPr>
              <w:jc w:val="center"/>
            </w:pPr>
            <w:r>
              <w:rPr>
                <w:rFonts w:ascii="宋体" w:hAnsi="宋体" w:eastAsia="宋体"/>
                <w:sz w:val="16"/>
              </w:rPr>
              <w:t>因两名人员调动资料不齐全，未能及时办理调动手续。要求2名相关办理调动人员及时补齐调动资料，完成调动手续。</w:t>
            </w:r>
          </w:p>
        </w:tc>
      </w:tr>
      <w:tr w14:paraId="47F94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8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88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2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686A">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938B">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0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C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8A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D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22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E28E">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0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C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D49E">
            <w:pPr>
              <w:jc w:val="center"/>
            </w:pPr>
          </w:p>
        </w:tc>
      </w:tr>
      <w:tr w14:paraId="5FBE5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3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261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0C7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D47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DB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A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4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45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B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1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7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8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7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5F03">
            <w:pPr>
              <w:jc w:val="center"/>
            </w:pPr>
          </w:p>
        </w:tc>
      </w:tr>
      <w:tr w14:paraId="60FF2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15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D3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6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9FE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7B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0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0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D6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E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E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D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1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8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948">
            <w:pPr>
              <w:jc w:val="center"/>
            </w:pPr>
          </w:p>
        </w:tc>
      </w:tr>
      <w:tr w14:paraId="6E1AE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B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32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7B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7D0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9F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1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8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C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3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1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2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A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D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D7ED">
            <w:pPr>
              <w:jc w:val="center"/>
            </w:pPr>
          </w:p>
        </w:tc>
      </w:tr>
      <w:tr w14:paraId="081BC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39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50E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9D9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6EFA">
            <w:pPr>
              <w:jc w:val="center"/>
            </w:pPr>
            <w:r>
              <w:rPr>
                <w:rFonts w:ascii="宋体" w:hAnsi="宋体" w:eastAsia="宋体"/>
                <w:sz w:val="16"/>
              </w:rPr>
              <w:t>运转经费支出及时率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6D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D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5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5A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0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4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E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5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35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62F3">
            <w:pPr>
              <w:jc w:val="center"/>
            </w:pPr>
          </w:p>
        </w:tc>
      </w:tr>
      <w:tr w14:paraId="35F9E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D4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32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FF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EC4D">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55C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4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E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70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06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F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BD07">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6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E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752F">
            <w:pPr>
              <w:jc w:val="center"/>
            </w:pPr>
          </w:p>
        </w:tc>
      </w:tr>
      <w:tr w14:paraId="16C28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17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C78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BE8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E184">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2FDB">
            <w:pPr>
              <w:jc w:val="center"/>
            </w:pPr>
            <w:r>
              <w:rPr>
                <w:rFonts w:ascii="宋体" w:hAnsi="宋体" w:eastAsia="宋体"/>
                <w:sz w:val="16"/>
              </w:rPr>
              <w:t>&lt;=7.11万元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1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4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4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9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E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5E83">
            <w:pPr>
              <w:jc w:val="center"/>
            </w:pPr>
            <w:r>
              <w:rPr>
                <w:rFonts w:ascii="宋体" w:hAnsi="宋体" w:eastAsia="宋体"/>
                <w:sz w:val="16"/>
              </w:rPr>
              <w:t>=10.26万元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6C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5D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8A5B">
            <w:pPr>
              <w:jc w:val="center"/>
            </w:pPr>
            <w:r>
              <w:rPr>
                <w:rFonts w:ascii="宋体" w:hAnsi="宋体" w:eastAsia="宋体"/>
                <w:sz w:val="16"/>
              </w:rPr>
              <w:t>因预算测算不合理，导致实际运转费支付10.26万元，超于预算经费3.15万元，下一步将结合单位实际情况提高预算编制的合理性。</w:t>
            </w:r>
          </w:p>
        </w:tc>
      </w:tr>
      <w:tr w14:paraId="038C1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93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0A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B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4388">
            <w:pPr>
              <w:jc w:val="center"/>
            </w:pPr>
            <w:r>
              <w:rPr>
                <w:rFonts w:ascii="宋体" w:hAnsi="宋体" w:eastAsia="宋体"/>
                <w:sz w:val="16"/>
              </w:rPr>
              <w:t>设备采购经费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C634">
            <w:pPr>
              <w:jc w:val="center"/>
            </w:pPr>
            <w:r>
              <w:rPr>
                <w:rFonts w:ascii="宋体" w:hAnsi="宋体" w:eastAsia="宋体"/>
                <w:sz w:val="16"/>
              </w:rPr>
              <w:t>&lt;=5.12万元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4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A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D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7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C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F07B">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FBB">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66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1B5E">
            <w:pPr>
              <w:jc w:val="center"/>
            </w:pPr>
            <w:r>
              <w:rPr>
                <w:rFonts w:ascii="宋体" w:hAnsi="宋体" w:eastAsia="宋体"/>
                <w:sz w:val="16"/>
              </w:rPr>
              <w:t>因预算测算不合理，导致实际设备采购经费支付1.92万元，下一步将结合单位实际情况提高预算编制的合理性。</w:t>
            </w:r>
          </w:p>
        </w:tc>
      </w:tr>
      <w:tr w14:paraId="2B0AC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E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FB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D5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8A7E">
            <w:pPr>
              <w:jc w:val="center"/>
            </w:pPr>
            <w:r>
              <w:rPr>
                <w:rFonts w:ascii="宋体" w:hAnsi="宋体" w:eastAsia="宋体"/>
                <w:sz w:val="16"/>
              </w:rPr>
              <w:t>提升服务和保障能力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832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3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6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C04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C2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8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91E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6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E52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5BCC">
            <w:pPr>
              <w:jc w:val="center"/>
            </w:pPr>
          </w:p>
        </w:tc>
      </w:tr>
      <w:tr w14:paraId="24B5CD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C7B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4A8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74B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05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B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90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9F8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5CB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F6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ACFE">
            <w:pPr>
              <w:jc w:val="center"/>
            </w:pPr>
            <w:r>
              <w:rPr>
                <w:rFonts w:ascii="宋体" w:hAnsi="宋体" w:eastAsia="宋体"/>
                <w:sz w:val="16"/>
              </w:rPr>
              <w:t>77.40分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3B47F1"/>
        </w:tc>
      </w:tr>
    </w:tbl>
    <w:p w14:paraId="367F92A8">
      <w:r>
        <w:br w:type="page"/>
      </w:r>
    </w:p>
    <w:p w14:paraId="57F02D77">
      <w:pPr>
        <w:spacing w:line="640" w:lineRule="exact"/>
        <w:ind w:firstLine="640"/>
        <w:jc w:val="both"/>
        <w:outlineLvl w:val="2"/>
      </w:pPr>
      <w:r>
        <w:rPr>
          <w:rFonts w:ascii="黑体" w:hAnsi="黑体" w:eastAsia="黑体"/>
          <w:sz w:val="32"/>
        </w:rPr>
        <w:t>十二、其他需说明的事项</w:t>
      </w:r>
    </w:p>
    <w:p w14:paraId="6435FB58">
      <w:pPr>
        <w:spacing w:line="580" w:lineRule="exact"/>
        <w:ind w:firstLine="640"/>
        <w:jc w:val="both"/>
      </w:pPr>
      <w:r>
        <w:rPr>
          <w:rFonts w:ascii="仿宋_GB2312" w:hAnsi="仿宋_GB2312" w:eastAsia="仿宋_GB2312"/>
          <w:b w:val="0"/>
          <w:sz w:val="32"/>
        </w:rPr>
        <w:t>本部门无其他需说明的事项。</w:t>
      </w:r>
    </w:p>
    <w:p w14:paraId="09DD5F9A">
      <w:r>
        <w:br w:type="page"/>
      </w:r>
    </w:p>
    <w:p w14:paraId="4F7DBB37">
      <w:pPr>
        <w:spacing w:line="240" w:lineRule="auto"/>
        <w:jc w:val="center"/>
        <w:outlineLvl w:val="1"/>
      </w:pPr>
      <w:r>
        <w:rPr>
          <w:rFonts w:ascii="黑体" w:hAnsi="黑体" w:eastAsia="黑体"/>
          <w:sz w:val="32"/>
        </w:rPr>
        <w:t>第三部分 专业名词解释</w:t>
      </w:r>
    </w:p>
    <w:p w14:paraId="5D8527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D9017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33BF4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55C8D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9842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B9F5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8523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4CDF1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2C921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E680A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8EE45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A23C4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CAC95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2E651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FDD90B">
      <w:r>
        <w:br w:type="page"/>
      </w:r>
    </w:p>
    <w:p w14:paraId="784C6A13">
      <w:pPr>
        <w:spacing w:line="240" w:lineRule="auto"/>
        <w:jc w:val="center"/>
        <w:outlineLvl w:val="1"/>
      </w:pPr>
      <w:r>
        <w:rPr>
          <w:rFonts w:ascii="黑体" w:hAnsi="黑体" w:eastAsia="黑体"/>
          <w:sz w:val="32"/>
        </w:rPr>
        <w:t>第四部分 部门决算报表（见附表）</w:t>
      </w:r>
    </w:p>
    <w:p w14:paraId="157213B2">
      <w:pPr>
        <w:spacing w:line="240" w:lineRule="auto"/>
        <w:ind w:firstLine="640"/>
        <w:jc w:val="both"/>
      </w:pPr>
      <w:r>
        <w:rPr>
          <w:rFonts w:ascii="仿宋_GB2312" w:hAnsi="仿宋_GB2312" w:eastAsia="仿宋_GB2312"/>
          <w:b w:val="0"/>
          <w:sz w:val="32"/>
        </w:rPr>
        <w:t>一、《收入支出决算总表》</w:t>
      </w:r>
    </w:p>
    <w:p w14:paraId="7E3AD1A1">
      <w:pPr>
        <w:spacing w:line="240" w:lineRule="auto"/>
        <w:ind w:firstLine="640"/>
        <w:jc w:val="both"/>
      </w:pPr>
      <w:r>
        <w:rPr>
          <w:rFonts w:ascii="仿宋_GB2312" w:hAnsi="仿宋_GB2312" w:eastAsia="仿宋_GB2312"/>
          <w:b w:val="0"/>
          <w:sz w:val="32"/>
        </w:rPr>
        <w:t>二、《收入决算表》</w:t>
      </w:r>
    </w:p>
    <w:p w14:paraId="0B214A82">
      <w:pPr>
        <w:spacing w:line="240" w:lineRule="auto"/>
        <w:ind w:firstLine="640"/>
        <w:jc w:val="both"/>
      </w:pPr>
      <w:r>
        <w:rPr>
          <w:rFonts w:ascii="仿宋_GB2312" w:hAnsi="仿宋_GB2312" w:eastAsia="仿宋_GB2312"/>
          <w:b w:val="0"/>
          <w:sz w:val="32"/>
        </w:rPr>
        <w:t>三、《支出决算表》</w:t>
      </w:r>
    </w:p>
    <w:p w14:paraId="794EDBBC">
      <w:pPr>
        <w:spacing w:line="240" w:lineRule="auto"/>
        <w:ind w:firstLine="640"/>
        <w:jc w:val="both"/>
      </w:pPr>
      <w:r>
        <w:rPr>
          <w:rFonts w:ascii="仿宋_GB2312" w:hAnsi="仿宋_GB2312" w:eastAsia="仿宋_GB2312"/>
          <w:b w:val="0"/>
          <w:sz w:val="32"/>
        </w:rPr>
        <w:t>四、《财政拨款收入支出决算总表》</w:t>
      </w:r>
    </w:p>
    <w:p w14:paraId="39E0813D">
      <w:pPr>
        <w:spacing w:line="240" w:lineRule="auto"/>
        <w:ind w:firstLine="640"/>
        <w:jc w:val="both"/>
      </w:pPr>
      <w:r>
        <w:rPr>
          <w:rFonts w:ascii="仿宋_GB2312" w:hAnsi="仿宋_GB2312" w:eastAsia="仿宋_GB2312"/>
          <w:b w:val="0"/>
          <w:sz w:val="32"/>
        </w:rPr>
        <w:t>五、《一般公共预算财政拨款支出决算表》</w:t>
      </w:r>
    </w:p>
    <w:p w14:paraId="2DBE714C">
      <w:pPr>
        <w:spacing w:line="240" w:lineRule="auto"/>
        <w:ind w:firstLine="640"/>
        <w:jc w:val="both"/>
      </w:pPr>
      <w:r>
        <w:rPr>
          <w:rFonts w:ascii="仿宋_GB2312" w:hAnsi="仿宋_GB2312" w:eastAsia="仿宋_GB2312"/>
          <w:b w:val="0"/>
          <w:sz w:val="32"/>
        </w:rPr>
        <w:t>六、《一般公共预算财政拨款基本支出决算表》</w:t>
      </w:r>
    </w:p>
    <w:p w14:paraId="08AEEF01">
      <w:pPr>
        <w:spacing w:line="240" w:lineRule="auto"/>
        <w:ind w:firstLine="640"/>
        <w:jc w:val="both"/>
      </w:pPr>
      <w:r>
        <w:rPr>
          <w:rFonts w:ascii="仿宋_GB2312" w:hAnsi="仿宋_GB2312" w:eastAsia="仿宋_GB2312"/>
          <w:b w:val="0"/>
          <w:sz w:val="32"/>
        </w:rPr>
        <w:t>七、《政府性基金预算财政拨款收入支出决算表》</w:t>
      </w:r>
    </w:p>
    <w:p w14:paraId="62207947">
      <w:pPr>
        <w:spacing w:line="240" w:lineRule="auto"/>
        <w:ind w:firstLine="640"/>
        <w:jc w:val="both"/>
      </w:pPr>
      <w:r>
        <w:rPr>
          <w:rFonts w:ascii="仿宋_GB2312" w:hAnsi="仿宋_GB2312" w:eastAsia="仿宋_GB2312"/>
          <w:b w:val="0"/>
          <w:sz w:val="32"/>
        </w:rPr>
        <w:t>八、《国有资本经营预算财政拨款收入支出决算表》</w:t>
      </w:r>
    </w:p>
    <w:p w14:paraId="5F00AFC2">
      <w:pPr>
        <w:spacing w:line="240" w:lineRule="auto"/>
        <w:ind w:firstLine="640"/>
        <w:jc w:val="both"/>
      </w:pPr>
      <w:r>
        <w:rPr>
          <w:rFonts w:ascii="仿宋_GB2312" w:hAnsi="仿宋_GB2312" w:eastAsia="仿宋_GB2312"/>
          <w:b w:val="0"/>
          <w:sz w:val="32"/>
        </w:rPr>
        <w:t>九、《财政拨款“三公”经费支出决算表》</w:t>
      </w:r>
    </w:p>
    <w:p w14:paraId="59FACEC1">
      <w:pPr>
        <w:spacing w:line="240" w:lineRule="auto"/>
        <w:ind w:firstLine="640"/>
        <w:jc w:val="both"/>
      </w:pPr>
    </w:p>
    <w:p w14:paraId="179E5C7A">
      <w:pPr>
        <w:spacing w:line="240" w:lineRule="auto"/>
        <w:ind w:firstLine="640"/>
        <w:jc w:val="both"/>
      </w:pPr>
    </w:p>
    <w:p w14:paraId="17C3E206">
      <w:pPr>
        <w:spacing w:line="240" w:lineRule="auto"/>
        <w:ind w:firstLine="640"/>
        <w:jc w:val="both"/>
      </w:pPr>
    </w:p>
    <w:p w14:paraId="42EBED5E">
      <w:pPr>
        <w:spacing w:line="240" w:lineRule="auto"/>
        <w:ind w:firstLine="640"/>
        <w:jc w:val="both"/>
      </w:pPr>
    </w:p>
    <w:p w14:paraId="4535541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930A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550C72"/>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6123</Words>
  <Characters>6710</Characters>
  <Lines>0</Lines>
  <Paragraphs>0</Paragraphs>
  <TotalTime>6</TotalTime>
  <ScaleCrop>false</ScaleCrop>
  <LinksUpToDate>false</LinksUpToDate>
  <CharactersWithSpaces>6718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