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中共巴音郭楞蒙古自治州委员会直属机关工作委员会2024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EDB87D6">
      <w:r>
        <w:br w:type="page"/>
      </w:r>
    </w:p>
    <w:p w14:paraId="10A532D1">
      <w:pPr>
        <w:spacing w:line="640" w:lineRule="exact"/>
        <w:jc w:val="center"/>
        <w:outlineLvl w:val="1"/>
      </w:pPr>
      <w:r>
        <w:rPr>
          <w:rFonts w:ascii="黑体" w:hAnsi="黑体" w:eastAsia="黑体"/>
          <w:sz w:val="32"/>
        </w:rPr>
        <w:t>第一部分 部门概况</w:t>
      </w:r>
    </w:p>
    <w:p w14:paraId="2581A874">
      <w:pPr>
        <w:spacing w:line="640" w:lineRule="exact"/>
        <w:ind w:firstLine="640"/>
        <w:jc w:val="both"/>
        <w:outlineLvl w:val="2"/>
      </w:pPr>
      <w:r>
        <w:rPr>
          <w:rFonts w:ascii="黑体" w:hAnsi="黑体" w:eastAsia="黑体"/>
          <w:sz w:val="32"/>
        </w:rPr>
        <w:t>一、主要职能</w:t>
      </w:r>
    </w:p>
    <w:p w14:paraId="13C333DF">
      <w:pPr>
        <w:spacing w:line="580" w:lineRule="exact"/>
        <w:ind w:firstLine="640"/>
        <w:jc w:val="both"/>
      </w:pPr>
      <w:r>
        <w:rPr>
          <w:rFonts w:ascii="仿宋_GB2312" w:hAnsi="仿宋_GB2312" w:eastAsia="仿宋_GB2312"/>
          <w:sz w:val="32"/>
        </w:rPr>
        <w:t>（一）统一组织、规划、部署自治州直属机关党的工作，提出加强和改进机关党的建设的意见和建议，研究制定工作规划并抓好组织实施。</w:t>
      </w:r>
    </w:p>
    <w:p w14:paraId="2777A625">
      <w:pPr>
        <w:spacing w:line="580" w:lineRule="exact"/>
        <w:ind w:firstLine="640"/>
        <w:jc w:val="both"/>
      </w:pPr>
      <w:r>
        <w:rPr>
          <w:rFonts w:ascii="仿宋_GB2312" w:hAnsi="仿宋_GB2312" w:eastAsia="仿宋_GB2312"/>
          <w:sz w:val="32"/>
        </w:rPr>
        <w:t>（二）指导督促自治州直属机关党组（党委），认真履行机关党建主体责任。指导自治州直属机关党的政治建设、思想建设、组织建设、作风建设、纪律建设，把制度建设贯穿其中，深入推进反腐败斗争。</w:t>
      </w:r>
    </w:p>
    <w:p w14:paraId="6D5D2B21">
      <w:pPr>
        <w:spacing w:line="580" w:lineRule="exact"/>
        <w:ind w:firstLine="640"/>
        <w:jc w:val="both"/>
      </w:pPr>
      <w:r>
        <w:rPr>
          <w:rFonts w:ascii="仿宋_GB2312" w:hAnsi="仿宋_GB2312" w:eastAsia="仿宋_GB2312"/>
          <w:sz w:val="32"/>
        </w:rPr>
        <w:t>（三）指导自治州直属机关各级党组织和广大党员学习马克思列宁主义、毛泽东思想、邓小平理论、“三个代表”重要思想、科学发展观、习近平新时代中国特色社会主义思想。</w:t>
      </w:r>
    </w:p>
    <w:p w14:paraId="4802ACBB">
      <w:pPr>
        <w:spacing w:line="580" w:lineRule="exact"/>
        <w:ind w:firstLine="640"/>
        <w:jc w:val="both"/>
      </w:pPr>
      <w:r>
        <w:rPr>
          <w:rFonts w:ascii="仿宋_GB2312" w:hAnsi="仿宋_GB2312" w:eastAsia="仿宋_GB2312"/>
          <w:sz w:val="32"/>
        </w:rPr>
        <w:t>（四）对自治州直属机关各级党组织、党员领导干部落实党建责任制、遵守政治纪律和政治规矩情况进行监督检查，并向自治州党委报告。</w:t>
      </w:r>
    </w:p>
    <w:p w14:paraId="5A7BD71D">
      <w:pPr>
        <w:spacing w:line="580" w:lineRule="exact"/>
        <w:ind w:firstLine="640"/>
        <w:jc w:val="both"/>
      </w:pPr>
      <w:r>
        <w:rPr>
          <w:rFonts w:ascii="仿宋_GB2312" w:hAnsi="仿宋_GB2312" w:eastAsia="仿宋_GB2312"/>
          <w:sz w:val="32"/>
        </w:rPr>
        <w:t>（五）指导自治州直属机关各级党组织实施对党员特别是党员领导干部的监督和管理，及时向自治州党委反映各部门领导班子、领导干部的情况。</w:t>
      </w:r>
    </w:p>
    <w:p w14:paraId="42C53192">
      <w:pPr>
        <w:spacing w:line="580" w:lineRule="exact"/>
        <w:ind w:firstLine="640"/>
        <w:jc w:val="both"/>
      </w:pPr>
      <w:r>
        <w:rPr>
          <w:rFonts w:ascii="仿宋_GB2312" w:hAnsi="仿宋_GB2312" w:eastAsia="仿宋_GB2312"/>
          <w:sz w:val="32"/>
        </w:rPr>
        <w:t>（六）配合自治州有关部门抓好自治州直属机关各部门领导班子思想政治建设，参与对党员领导干部民主生活会的督促检查和指导，了解掌握情况，按规定报送情况报告。</w:t>
      </w:r>
    </w:p>
    <w:p w14:paraId="6AC3EC46">
      <w:pPr>
        <w:spacing w:line="580" w:lineRule="exact"/>
        <w:ind w:firstLine="640"/>
        <w:jc w:val="both"/>
      </w:pPr>
      <w:r>
        <w:rPr>
          <w:rFonts w:ascii="仿宋_GB2312" w:hAnsi="仿宋_GB2312" w:eastAsia="仿宋_GB2312"/>
          <w:sz w:val="32"/>
        </w:rPr>
        <w:t>（七）督促指导自治州直属机关各部门机关党委（党总支、党支部）按期换届，审批关于召开党员大会或党员代表大会的请示，审批自治州直属机关各部门机关党委（党总支、党支部）和机关纪委领导班子的组成及书记、副书记的任免。</w:t>
      </w:r>
    </w:p>
    <w:p w14:paraId="43983179">
      <w:pPr>
        <w:spacing w:line="580" w:lineRule="exact"/>
        <w:ind w:firstLine="640"/>
        <w:jc w:val="both"/>
      </w:pPr>
      <w:r>
        <w:rPr>
          <w:rFonts w:ascii="仿宋_GB2312" w:hAnsi="仿宋_GB2312" w:eastAsia="仿宋_GB2312"/>
          <w:sz w:val="32"/>
        </w:rPr>
        <w:t>（八）指导各级党组织加强基层组织建设，做好党员发展教育和管理等工作，审批自治州直属机关各部门机关党总支、党支部吸收预备党员、预备党员转正。</w:t>
      </w:r>
    </w:p>
    <w:p w14:paraId="3410C887">
      <w:pPr>
        <w:spacing w:line="580" w:lineRule="exact"/>
        <w:ind w:firstLine="640"/>
        <w:jc w:val="both"/>
      </w:pPr>
      <w:r>
        <w:rPr>
          <w:rFonts w:ascii="仿宋_GB2312" w:hAnsi="仿宋_GB2312" w:eastAsia="仿宋_GB2312"/>
          <w:sz w:val="32"/>
        </w:rPr>
        <w:t>（九）了解掌握自治州直属机关工作人员的思想状</w:t>
      </w:r>
      <w:r>
        <w:rPr>
          <w:rFonts w:hint="eastAsia" w:ascii="仿宋_GB2312" w:hAnsi="仿宋_GB2312" w:eastAsia="仿宋_GB2312"/>
          <w:sz w:val="32"/>
          <w:lang w:eastAsia="zh-CN"/>
        </w:rPr>
        <w:t>况</w:t>
      </w:r>
      <w:r>
        <w:rPr>
          <w:rFonts w:ascii="仿宋_GB2312" w:hAnsi="仿宋_GB2312" w:eastAsia="仿宋_GB2312"/>
          <w:sz w:val="32"/>
        </w:rPr>
        <w:t>，指导自治州直属机关各级党组织加强思想政治工作。</w:t>
      </w:r>
    </w:p>
    <w:p w14:paraId="564CCEB3">
      <w:pPr>
        <w:spacing w:line="580" w:lineRule="exact"/>
        <w:ind w:firstLine="640"/>
        <w:jc w:val="both"/>
      </w:pPr>
      <w:r>
        <w:rPr>
          <w:rFonts w:ascii="仿宋_GB2312" w:hAnsi="仿宋_GB2312" w:eastAsia="仿宋_GB2312"/>
          <w:sz w:val="32"/>
        </w:rPr>
        <w:t>（十）领导自治州直属机关工会联合会的工作，指导自治州直属机关各级党组织做好党的群众工作。</w:t>
      </w:r>
    </w:p>
    <w:p w14:paraId="571BA30A">
      <w:pPr>
        <w:spacing w:line="580" w:lineRule="exact"/>
        <w:ind w:firstLine="640"/>
        <w:jc w:val="both"/>
      </w:pPr>
      <w:r>
        <w:rPr>
          <w:rFonts w:ascii="仿宋_GB2312" w:hAnsi="仿宋_GB2312" w:eastAsia="仿宋_GB2312"/>
          <w:sz w:val="32"/>
        </w:rPr>
        <w:t>（十一）协同有关部门指导、规划、协调、监督、检查自治州直属机关干部教育培训工作，培训轮训自治州直属机关科级党员领导干部、党务干部及党员发展对象。</w:t>
      </w:r>
    </w:p>
    <w:p w14:paraId="3F5388CD">
      <w:pPr>
        <w:spacing w:line="580" w:lineRule="exact"/>
        <w:ind w:firstLine="640"/>
        <w:jc w:val="both"/>
      </w:pPr>
      <w:r>
        <w:rPr>
          <w:rFonts w:ascii="仿宋_GB2312" w:hAnsi="仿宋_GB2312" w:eastAsia="仿宋_GB2312"/>
          <w:sz w:val="32"/>
        </w:rPr>
        <w:t>（十二）加强对自治州县市机关工委的业务指导。</w:t>
      </w:r>
    </w:p>
    <w:p w14:paraId="4408BAA5">
      <w:pPr>
        <w:spacing w:line="580" w:lineRule="exact"/>
        <w:ind w:firstLine="640"/>
        <w:jc w:val="both"/>
      </w:pPr>
      <w:r>
        <w:rPr>
          <w:rFonts w:ascii="仿宋_GB2312" w:hAnsi="仿宋_GB2312" w:eastAsia="仿宋_GB2312"/>
          <w:sz w:val="32"/>
        </w:rPr>
        <w:t>（十三）完成自治州党委交办的其他任务。</w:t>
      </w:r>
    </w:p>
    <w:p w14:paraId="0D8A228D">
      <w:pPr>
        <w:spacing w:line="640" w:lineRule="exact"/>
        <w:ind w:firstLine="640"/>
        <w:jc w:val="both"/>
        <w:outlineLvl w:val="2"/>
      </w:pPr>
      <w:r>
        <w:rPr>
          <w:rFonts w:ascii="黑体" w:hAnsi="黑体" w:eastAsia="黑体"/>
          <w:sz w:val="32"/>
        </w:rPr>
        <w:t>二、机构设置及人员情况</w:t>
      </w:r>
    </w:p>
    <w:p w14:paraId="7553C2AC">
      <w:pPr>
        <w:spacing w:line="580" w:lineRule="exact"/>
        <w:ind w:firstLine="640"/>
        <w:jc w:val="both"/>
      </w:pPr>
      <w:r>
        <w:rPr>
          <w:rFonts w:ascii="仿宋_GB2312" w:hAnsi="仿宋_GB2312" w:eastAsia="仿宋_GB2312"/>
          <w:sz w:val="32"/>
        </w:rPr>
        <w:t>中共巴音郭楞蒙古自治州委员会直属机关工作委员会2024年度，实有人数14人，其中：在职人员9人，增加1人；离休人员0人，增加0人；退休人员5人,增加0人。</w:t>
      </w:r>
    </w:p>
    <w:p w14:paraId="14998876">
      <w:pPr>
        <w:spacing w:line="580" w:lineRule="exact"/>
        <w:ind w:firstLine="640"/>
        <w:jc w:val="both"/>
      </w:pPr>
      <w:r>
        <w:rPr>
          <w:rFonts w:ascii="仿宋_GB2312" w:hAnsi="仿宋_GB2312" w:eastAsia="仿宋_GB2312"/>
          <w:sz w:val="32"/>
        </w:rPr>
        <w:t>中共巴音郭楞蒙古自治州委员会直属机关工作委员会无下属预算单位，下设3个科室，分别是：办公室、组织科、工委党校。</w:t>
      </w:r>
    </w:p>
    <w:p w14:paraId="0FCE7E8A">
      <w:r>
        <w:br w:type="page"/>
      </w:r>
    </w:p>
    <w:p w14:paraId="6D1D02BB">
      <w:pPr>
        <w:spacing w:line="240" w:lineRule="auto"/>
        <w:jc w:val="center"/>
        <w:outlineLvl w:val="1"/>
      </w:pPr>
      <w:r>
        <w:rPr>
          <w:rFonts w:ascii="黑体" w:hAnsi="黑体" w:eastAsia="黑体"/>
          <w:sz w:val="32"/>
        </w:rPr>
        <w:t>第二部分 部门决算情况说明</w:t>
      </w:r>
    </w:p>
    <w:p w14:paraId="296876F0">
      <w:pPr>
        <w:spacing w:line="640" w:lineRule="exact"/>
        <w:ind w:firstLine="640"/>
        <w:jc w:val="both"/>
        <w:outlineLvl w:val="2"/>
      </w:pPr>
      <w:r>
        <w:rPr>
          <w:rFonts w:ascii="黑体" w:hAnsi="黑体" w:eastAsia="黑体"/>
          <w:sz w:val="32"/>
        </w:rPr>
        <w:t>一、收入支出决算总体情况说明</w:t>
      </w:r>
    </w:p>
    <w:p w14:paraId="7D2AFD96">
      <w:pPr>
        <w:spacing w:line="580" w:lineRule="exact"/>
        <w:ind w:firstLine="640"/>
        <w:jc w:val="both"/>
      </w:pPr>
      <w:r>
        <w:rPr>
          <w:rFonts w:ascii="仿宋_GB2312" w:hAnsi="仿宋_GB2312" w:eastAsia="仿宋_GB2312"/>
          <w:b/>
          <w:sz w:val="32"/>
        </w:rPr>
        <w:t>2024年度收入总计245.43万元，</w:t>
      </w:r>
      <w:r>
        <w:rPr>
          <w:rFonts w:ascii="仿宋_GB2312" w:hAnsi="仿宋_GB2312" w:eastAsia="仿宋_GB2312"/>
          <w:b w:val="0"/>
          <w:sz w:val="32"/>
        </w:rPr>
        <w:t>其中：本年收入合计234.86万元，使用非财政拨款结余（含专用结余）0.00万元，年初结转和结余10.57万元。</w:t>
      </w:r>
    </w:p>
    <w:p w14:paraId="35D52676">
      <w:pPr>
        <w:spacing w:line="580" w:lineRule="exact"/>
        <w:ind w:firstLine="640"/>
        <w:jc w:val="both"/>
      </w:pPr>
      <w:r>
        <w:rPr>
          <w:rFonts w:ascii="仿宋_GB2312" w:hAnsi="仿宋_GB2312" w:eastAsia="仿宋_GB2312"/>
          <w:b/>
          <w:sz w:val="32"/>
        </w:rPr>
        <w:t>2024年度支出总计245.43万元，</w:t>
      </w:r>
      <w:r>
        <w:rPr>
          <w:rFonts w:ascii="仿宋_GB2312" w:hAnsi="仿宋_GB2312" w:eastAsia="仿宋_GB2312"/>
          <w:b w:val="0"/>
          <w:sz w:val="32"/>
        </w:rPr>
        <w:t>其中：本年支出合计234.82万元，结余分配0.00万元，年末结转和结余10.61万元。</w:t>
      </w:r>
    </w:p>
    <w:p w14:paraId="6EBA121A">
      <w:pPr>
        <w:spacing w:line="580" w:lineRule="exact"/>
        <w:ind w:firstLine="640"/>
        <w:jc w:val="both"/>
      </w:pPr>
      <w:r>
        <w:rPr>
          <w:rFonts w:ascii="仿宋_GB2312" w:hAnsi="仿宋_GB2312" w:eastAsia="仿宋_GB2312"/>
          <w:b w:val="0"/>
          <w:sz w:val="32"/>
        </w:rPr>
        <w:t>收入支出总体与上年相比，增加39.85万元，增长19.38%，主要原因是：本年增加州直机关开展铸牢中华民族共同体意识与活动项目经费、巴州优秀党务干部和党员干部交往交流交融。</w:t>
      </w:r>
    </w:p>
    <w:p w14:paraId="1B30FBA4">
      <w:pPr>
        <w:spacing w:line="640" w:lineRule="exact"/>
        <w:ind w:firstLine="640"/>
        <w:jc w:val="both"/>
        <w:outlineLvl w:val="2"/>
      </w:pPr>
      <w:r>
        <w:rPr>
          <w:rFonts w:ascii="黑体" w:hAnsi="黑体" w:eastAsia="黑体"/>
          <w:sz w:val="32"/>
        </w:rPr>
        <w:t>二、收入决算情况说明</w:t>
      </w:r>
    </w:p>
    <w:p w14:paraId="51E7457D">
      <w:pPr>
        <w:spacing w:line="580" w:lineRule="exact"/>
        <w:ind w:firstLine="640"/>
        <w:jc w:val="both"/>
      </w:pPr>
      <w:r>
        <w:rPr>
          <w:rFonts w:ascii="仿宋_GB2312" w:hAnsi="仿宋_GB2312" w:eastAsia="仿宋_GB2312"/>
          <w:b/>
          <w:sz w:val="32"/>
        </w:rPr>
        <w:t>本年收入234.86万元，</w:t>
      </w:r>
      <w:r>
        <w:rPr>
          <w:rFonts w:ascii="仿宋_GB2312" w:hAnsi="仿宋_GB2312" w:eastAsia="仿宋_GB2312"/>
          <w:b w:val="0"/>
          <w:sz w:val="32"/>
        </w:rPr>
        <w:t>其中：财政拨款收入204.82万元，占87.21%；上级补助收入0.00万元，占0.00%；事业收入0.00万元，占0.00%；经营收入0.00万元，占0.00%；附属单位上缴收入0.00万元，占0.00%；其他收入30.04万元，占12.79%。</w:t>
      </w:r>
    </w:p>
    <w:p w14:paraId="3B395A60">
      <w:pPr>
        <w:spacing w:line="640" w:lineRule="exact"/>
        <w:ind w:firstLine="640"/>
        <w:jc w:val="both"/>
        <w:outlineLvl w:val="2"/>
      </w:pPr>
      <w:r>
        <w:rPr>
          <w:rFonts w:ascii="黑体" w:hAnsi="黑体" w:eastAsia="黑体"/>
          <w:sz w:val="32"/>
        </w:rPr>
        <w:t>三、支出决算情况说明</w:t>
      </w:r>
    </w:p>
    <w:p w14:paraId="3BDCD2BE">
      <w:pPr>
        <w:spacing w:line="580" w:lineRule="exact"/>
        <w:ind w:firstLine="640"/>
        <w:jc w:val="both"/>
      </w:pPr>
      <w:r>
        <w:rPr>
          <w:rFonts w:ascii="仿宋_GB2312" w:hAnsi="仿宋_GB2312" w:eastAsia="仿宋_GB2312"/>
          <w:b/>
          <w:sz w:val="32"/>
        </w:rPr>
        <w:t>本年支出234.82万元，</w:t>
      </w:r>
      <w:r>
        <w:rPr>
          <w:rFonts w:ascii="仿宋_GB2312" w:hAnsi="仿宋_GB2312" w:eastAsia="仿宋_GB2312"/>
          <w:b w:val="0"/>
          <w:sz w:val="32"/>
        </w:rPr>
        <w:t>其中：基本支出176.82万元，占75.30%；项目支出58.00万元，占24.70%；上缴上级支出0.00万元，占0.00%；经营支出0.00万元，占0.00%；对附属单位补助支出0.00万元，占0.00%。</w:t>
      </w:r>
    </w:p>
    <w:p w14:paraId="5D1CD868">
      <w:pPr>
        <w:spacing w:line="640" w:lineRule="exact"/>
        <w:ind w:firstLine="640"/>
        <w:jc w:val="both"/>
        <w:outlineLvl w:val="2"/>
      </w:pPr>
      <w:r>
        <w:rPr>
          <w:rFonts w:ascii="黑体" w:hAnsi="黑体" w:eastAsia="黑体"/>
          <w:sz w:val="32"/>
        </w:rPr>
        <w:t>四、财政拨款收入支出决算总体情况说明</w:t>
      </w:r>
    </w:p>
    <w:p w14:paraId="6F7F5798">
      <w:pPr>
        <w:spacing w:line="580" w:lineRule="exact"/>
        <w:ind w:firstLine="640"/>
        <w:jc w:val="both"/>
      </w:pPr>
      <w:r>
        <w:rPr>
          <w:rFonts w:ascii="仿宋_GB2312" w:hAnsi="仿宋_GB2312" w:eastAsia="仿宋_GB2312"/>
          <w:b/>
          <w:sz w:val="32"/>
        </w:rPr>
        <w:t>2024年度财政拨款收入总计204.82万元，</w:t>
      </w:r>
      <w:r>
        <w:rPr>
          <w:rFonts w:ascii="仿宋_GB2312" w:hAnsi="仿宋_GB2312" w:eastAsia="仿宋_GB2312"/>
          <w:b w:val="0"/>
          <w:sz w:val="32"/>
        </w:rPr>
        <w:t>其中：年初财政拨款结转和结余0.00万元，本年财政拨款收入204.82万元。</w:t>
      </w:r>
      <w:r>
        <w:rPr>
          <w:rFonts w:ascii="仿宋_GB2312" w:hAnsi="仿宋_GB2312" w:eastAsia="仿宋_GB2312"/>
          <w:b/>
          <w:sz w:val="32"/>
        </w:rPr>
        <w:t>财政拨款支出总计204.82万元，</w:t>
      </w:r>
      <w:r>
        <w:rPr>
          <w:rFonts w:ascii="仿宋_GB2312" w:hAnsi="仿宋_GB2312" w:eastAsia="仿宋_GB2312"/>
          <w:b w:val="0"/>
          <w:sz w:val="32"/>
        </w:rPr>
        <w:t>其中：年末财政拨款结转和结余0.00万元，本年财政拨款支出204.82万元。</w:t>
      </w:r>
    </w:p>
    <w:p w14:paraId="0C6A313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增加9.81万元，增长5.03%，主要原因是：本年增加州直机关开展铸牢中华民族共同体意识与活动项目经费；本年在职人员工资调增，社保、公积金基数调增，人员经费增加。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年初预算数188.17万元，决算数204.82万元，预决算差异率8.85%，主要原因是：年中追加州直机关开展铸牢中华民族共同体意识与活动项目经费</w:t>
      </w:r>
      <w:bookmarkStart w:id="0" w:name="_GoBack"/>
      <w:bookmarkEnd w:id="0"/>
      <w:r>
        <w:rPr>
          <w:rFonts w:ascii="仿宋_GB2312" w:hAnsi="仿宋_GB2312" w:eastAsia="仿宋_GB2312"/>
          <w:b w:val="0"/>
          <w:sz w:val="32"/>
        </w:rPr>
        <w:t>，导致预决算存在差异。</w:t>
      </w:r>
    </w:p>
    <w:p w14:paraId="008C8990">
      <w:pPr>
        <w:spacing w:line="640" w:lineRule="exact"/>
        <w:ind w:firstLine="640"/>
        <w:jc w:val="both"/>
        <w:outlineLvl w:val="2"/>
      </w:pPr>
      <w:r>
        <w:rPr>
          <w:rFonts w:ascii="黑体" w:hAnsi="黑体" w:eastAsia="黑体"/>
          <w:sz w:val="32"/>
        </w:rPr>
        <w:t>五、一般公共预算财政拨款支出决算情况说明</w:t>
      </w:r>
    </w:p>
    <w:p w14:paraId="631AF1B5">
      <w:pPr>
        <w:spacing w:line="640" w:lineRule="exact"/>
        <w:ind w:firstLine="640"/>
        <w:jc w:val="both"/>
        <w:outlineLvl w:val="3"/>
      </w:pPr>
      <w:r>
        <w:rPr>
          <w:rFonts w:ascii="楷体_GB2312" w:hAnsi="楷体_GB2312" w:eastAsia="楷体_GB2312"/>
          <w:b/>
          <w:sz w:val="32"/>
        </w:rPr>
        <w:t>（一）一般公共预算财政拨款支出决算总体情况</w:t>
      </w:r>
    </w:p>
    <w:p w14:paraId="7763A8A5">
      <w:pPr>
        <w:spacing w:line="580" w:lineRule="exact"/>
        <w:ind w:firstLine="640"/>
        <w:jc w:val="both"/>
      </w:pPr>
      <w:r>
        <w:rPr>
          <w:rFonts w:ascii="仿宋_GB2312" w:hAnsi="仿宋_GB2312" w:eastAsia="仿宋_GB2312"/>
          <w:b/>
          <w:sz w:val="32"/>
        </w:rPr>
        <w:t>2024年度一般公共预算财政拨款支出204.82万元，</w:t>
      </w:r>
      <w:r>
        <w:rPr>
          <w:rFonts w:ascii="仿宋_GB2312" w:hAnsi="仿宋_GB2312" w:eastAsia="仿宋_GB2312"/>
          <w:b w:val="0"/>
          <w:sz w:val="32"/>
        </w:rPr>
        <w:t>占本年支出合计的87.22%。</w:t>
      </w:r>
      <w:r>
        <w:rPr>
          <w:rFonts w:ascii="仿宋_GB2312" w:hAnsi="仿宋_GB2312" w:eastAsia="仿宋_GB2312"/>
          <w:b/>
          <w:sz w:val="32"/>
        </w:rPr>
        <w:t>与上年相比，</w:t>
      </w:r>
      <w:r>
        <w:rPr>
          <w:rFonts w:ascii="仿宋_GB2312" w:hAnsi="仿宋_GB2312" w:eastAsia="仿宋_GB2312"/>
          <w:b w:val="0"/>
          <w:sz w:val="32"/>
        </w:rPr>
        <w:t>增加9.81万元，增长5.03%，主要原因是：本年增加州直机关开展铸牢中华民族共同体意识与活动项目经费；本年在职人员工资调增，社保、公积金基数调增，人员经费增加。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年初预算数188.17万元，决算数204.82万元，预决算差异率8.85%，主要原因是：年中追加州直机关开展铸牢中华民族共同体意识与活动项目经费，导致预决算存在差异。</w:t>
      </w:r>
    </w:p>
    <w:p w14:paraId="4C81EA78">
      <w:pPr>
        <w:spacing w:line="640" w:lineRule="exact"/>
        <w:ind w:firstLine="640"/>
        <w:jc w:val="both"/>
        <w:outlineLvl w:val="3"/>
      </w:pPr>
      <w:r>
        <w:rPr>
          <w:rFonts w:ascii="楷体_GB2312" w:hAnsi="楷体_GB2312" w:eastAsia="楷体_GB2312"/>
          <w:b/>
          <w:sz w:val="32"/>
        </w:rPr>
        <w:t>（二）一般公共预算财政拨款支出决算结构情况</w:t>
      </w:r>
    </w:p>
    <w:p w14:paraId="61FB770D">
      <w:pPr>
        <w:spacing w:line="580" w:lineRule="exact"/>
        <w:ind w:firstLine="640"/>
        <w:jc w:val="both"/>
      </w:pPr>
      <w:r>
        <w:rPr>
          <w:rFonts w:ascii="仿宋_GB2312" w:hAnsi="仿宋_GB2312" w:eastAsia="仿宋_GB2312"/>
          <w:b w:val="0"/>
          <w:sz w:val="32"/>
        </w:rPr>
        <w:t>1.一般公共服务支出(类)157.39万元,占76.84%。</w:t>
      </w:r>
    </w:p>
    <w:p w14:paraId="7ACC094B">
      <w:pPr>
        <w:spacing w:line="580" w:lineRule="exact"/>
        <w:ind w:firstLine="640"/>
        <w:jc w:val="both"/>
      </w:pPr>
      <w:r>
        <w:rPr>
          <w:rFonts w:ascii="仿宋_GB2312" w:hAnsi="仿宋_GB2312" w:eastAsia="仿宋_GB2312"/>
          <w:b w:val="0"/>
          <w:sz w:val="32"/>
        </w:rPr>
        <w:t>2.社会保障和就业支出(类)24.88万元,占12.15%。</w:t>
      </w:r>
    </w:p>
    <w:p w14:paraId="15161BED">
      <w:pPr>
        <w:spacing w:line="580" w:lineRule="exact"/>
        <w:ind w:firstLine="640"/>
        <w:jc w:val="both"/>
      </w:pPr>
      <w:r>
        <w:rPr>
          <w:rFonts w:ascii="仿宋_GB2312" w:hAnsi="仿宋_GB2312" w:eastAsia="仿宋_GB2312"/>
          <w:b w:val="0"/>
          <w:sz w:val="32"/>
        </w:rPr>
        <w:t>3.卫生健康支出(类)10.07万元,占4.92%。</w:t>
      </w:r>
    </w:p>
    <w:p w14:paraId="37620A91">
      <w:pPr>
        <w:spacing w:line="580" w:lineRule="exact"/>
        <w:ind w:firstLine="640"/>
        <w:jc w:val="both"/>
      </w:pPr>
      <w:r>
        <w:rPr>
          <w:rFonts w:ascii="仿宋_GB2312" w:hAnsi="仿宋_GB2312" w:eastAsia="仿宋_GB2312"/>
          <w:b w:val="0"/>
          <w:sz w:val="32"/>
        </w:rPr>
        <w:t>4.住房保障支出(类)12.47万元,占6.09%。</w:t>
      </w:r>
    </w:p>
    <w:p w14:paraId="05899720">
      <w:pPr>
        <w:spacing w:line="640" w:lineRule="exact"/>
        <w:ind w:firstLine="640"/>
        <w:jc w:val="both"/>
        <w:outlineLvl w:val="3"/>
      </w:pPr>
      <w:r>
        <w:rPr>
          <w:rFonts w:ascii="楷体_GB2312" w:hAnsi="楷体_GB2312" w:eastAsia="楷体_GB2312"/>
          <w:b/>
          <w:sz w:val="32"/>
        </w:rPr>
        <w:t>（三）一般公共预算财政拨款支出决算具体情况</w:t>
      </w:r>
    </w:p>
    <w:p w14:paraId="48F7CED8">
      <w:pPr>
        <w:spacing w:line="580" w:lineRule="exact"/>
        <w:ind w:firstLine="640"/>
        <w:jc w:val="both"/>
      </w:pPr>
      <w:r>
        <w:rPr>
          <w:rFonts w:ascii="仿宋_GB2312" w:hAnsi="仿宋_GB2312" w:eastAsia="仿宋_GB2312"/>
          <w:b w:val="0"/>
          <w:sz w:val="32"/>
        </w:rPr>
        <w:t>1.一般公共服务支出(类)其他共产党事务支出(款)行政运行(项):支出决算数为129.39万元，比上年决算增加10.06万元，增长8.43%,主要原因是：本年新增在职人员，人员经费增加。</w:t>
      </w:r>
    </w:p>
    <w:p w14:paraId="5F3BDA4E">
      <w:pPr>
        <w:spacing w:line="580" w:lineRule="exact"/>
        <w:ind w:firstLine="640"/>
        <w:jc w:val="both"/>
      </w:pPr>
      <w:r>
        <w:rPr>
          <w:rFonts w:ascii="仿宋_GB2312" w:hAnsi="仿宋_GB2312" w:eastAsia="仿宋_GB2312"/>
          <w:b w:val="0"/>
          <w:sz w:val="32"/>
        </w:rPr>
        <w:t>2.一般公共服务支出(类)其他共产党事务支出(款)一般行政管理事务(项):支出决算数为28万元，比上年决算减少9.04万元，下降24.41%,主要原因是：本年减少</w:t>
      </w:r>
      <w:r>
        <w:rPr>
          <w:rFonts w:hint="eastAsia" w:ascii="仿宋_GB2312" w:hAnsi="仿宋_GB2312" w:eastAsia="仿宋_GB2312"/>
          <w:b w:val="0"/>
          <w:sz w:val="32"/>
          <w:lang w:eastAsia="zh-CN"/>
        </w:rPr>
        <w:t>为民办实事</w:t>
      </w:r>
      <w:r>
        <w:rPr>
          <w:rFonts w:ascii="仿宋_GB2312" w:hAnsi="仿宋_GB2312" w:eastAsia="仿宋_GB2312"/>
          <w:b w:val="0"/>
          <w:sz w:val="32"/>
        </w:rPr>
        <w:t>干部补贴支出。</w:t>
      </w:r>
    </w:p>
    <w:p w14:paraId="0603B01A">
      <w:pPr>
        <w:spacing w:line="580" w:lineRule="exact"/>
        <w:ind w:firstLine="640"/>
        <w:jc w:val="both"/>
      </w:pPr>
      <w:r>
        <w:rPr>
          <w:rFonts w:ascii="仿宋_GB2312" w:hAnsi="仿宋_GB2312" w:eastAsia="仿宋_GB2312"/>
          <w:b w:val="0"/>
          <w:sz w:val="32"/>
        </w:rPr>
        <w:t>3.教育支出(类)进修及培训(款)培训支出(项):支出决算数为0.00万元，比上年决算减少1.04万元，下降100.00%,主要原因是：本年度相关业务培训支出减少，故培训支出较上年减少。</w:t>
      </w:r>
    </w:p>
    <w:p w14:paraId="7722044A">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4.社会保障和就业支出(类)行政事业单位养老支出(款)行政单位离退休(项):支出决算数为5.75万元，比上年决算增加1.30万元，增长29.21%,主要原因是：本年增加退休人员基础绩效奖，退休费支出增加。</w:t>
      </w:r>
    </w:p>
    <w:p w14:paraId="2FF8AFB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16.66万元，比上年决算增加2.40万元，增长16.83%,主要原因是：本年在职人员增加，在职人员工资基数调增，养老缴费基数上涨，相应支出增加。</w:t>
      </w:r>
    </w:p>
    <w:p w14:paraId="18FDA12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6.社会保障和就业支出(类)行政事业单位养老支出(款)机关事业单位职业年金缴费支出(项):支出决算数为2.47万元，比上年决算增加2.47万元，增长100.00%,主要原因是：本年度补缴王爱云2014年</w:t>
      </w:r>
      <w:r>
        <w:rPr>
          <w:rFonts w:hint="eastAsia" w:ascii="仿宋_GB2312" w:hAnsi="仿宋_GB2312" w:eastAsia="仿宋_GB2312"/>
          <w:b w:val="0"/>
          <w:sz w:val="32"/>
          <w:lang w:eastAsia="zh-CN"/>
        </w:rPr>
        <w:t>—</w:t>
      </w:r>
      <w:r>
        <w:rPr>
          <w:rFonts w:ascii="仿宋_GB2312" w:hAnsi="仿宋_GB2312" w:eastAsia="仿宋_GB2312"/>
          <w:b w:val="0"/>
          <w:sz w:val="32"/>
        </w:rPr>
        <w:t>2017年7月职业年金，故机关事业单位职业年金缴费支出增加。</w:t>
      </w:r>
    </w:p>
    <w:p w14:paraId="73DC15E1">
      <w:pPr>
        <w:spacing w:line="580" w:lineRule="exact"/>
        <w:ind w:firstLine="640"/>
        <w:jc w:val="both"/>
      </w:pPr>
      <w:r>
        <w:rPr>
          <w:rFonts w:ascii="仿宋_GB2312" w:hAnsi="仿宋_GB2312" w:eastAsia="仿宋_GB2312"/>
          <w:b w:val="0"/>
          <w:sz w:val="32"/>
        </w:rPr>
        <w:t>7.卫生健康支出(类)行政事业单位医疗(款)行政单位医疗(项):支出决算数为5.92万元，比上年决算增加0.85万元，增长16.77%,主要原因是：本年在职人员增加，在职人员工资基数调增，医疗缴费基数上涨，相应支出增加。</w:t>
      </w:r>
    </w:p>
    <w:p w14:paraId="51BFFB63">
      <w:pPr>
        <w:spacing w:line="580" w:lineRule="exact"/>
        <w:ind w:firstLine="640"/>
        <w:jc w:val="both"/>
      </w:pPr>
      <w:r>
        <w:rPr>
          <w:rFonts w:ascii="仿宋_GB2312" w:hAnsi="仿宋_GB2312" w:eastAsia="仿宋_GB2312"/>
          <w:b w:val="0"/>
          <w:sz w:val="32"/>
        </w:rPr>
        <w:t>8.卫生健康支出(类)行政事业单位医疗(款)事业单位医疗(项):支出决算数为1.37万元，比上年决算增加0.21万元，增长18.10%,主要原因是：本年在职人员增加，在职人员工资基数调增，医疗缴费基数上涨，相应支出增加。</w:t>
      </w:r>
    </w:p>
    <w:p w14:paraId="2D97F3F1">
      <w:pPr>
        <w:spacing w:line="580" w:lineRule="exact"/>
        <w:ind w:firstLine="640"/>
        <w:jc w:val="both"/>
      </w:pPr>
      <w:r>
        <w:rPr>
          <w:rFonts w:ascii="仿宋_GB2312" w:hAnsi="仿宋_GB2312" w:eastAsia="仿宋_GB2312"/>
          <w:b w:val="0"/>
          <w:sz w:val="32"/>
        </w:rPr>
        <w:t>9.卫生健康支出(类)行政事业单位医疗(款)公务员医疗补助(项):支出决算数为2.54万元，比上年决算增加0.37万元，增长17.05%,主要原因是：本年在职人员增加，在职人员工资基数调增，医疗缴费基数上涨，相应支出增加。</w:t>
      </w:r>
    </w:p>
    <w:p w14:paraId="17160F49">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0.25万元，比上年决算增加0.04万元，增长19.05%,主要原因是：本年在职人员增加，在职人员工资基数调增，医疗缴费基数上涨，相应支出增加。</w:t>
      </w:r>
    </w:p>
    <w:p w14:paraId="1B07B8E7">
      <w:pPr>
        <w:spacing w:line="580" w:lineRule="exact"/>
        <w:ind w:firstLine="640"/>
        <w:jc w:val="both"/>
      </w:pPr>
      <w:r>
        <w:rPr>
          <w:rFonts w:ascii="仿宋_GB2312" w:hAnsi="仿宋_GB2312" w:eastAsia="仿宋_GB2312"/>
          <w:b w:val="0"/>
          <w:sz w:val="32"/>
        </w:rPr>
        <w:t>11.住房保障支出(类)住房改革支出(款)住房公积金(项):支出决算数为12.47万元，比上年决算增加2.22万元，增长21.66%,主要原因是：本年在职人员增加，住房公积金缴费基数上涨，住房公积金支出较上年增加。</w:t>
      </w:r>
    </w:p>
    <w:p w14:paraId="2A4F037B">
      <w:pPr>
        <w:spacing w:line="640" w:lineRule="exact"/>
        <w:ind w:firstLine="640"/>
        <w:jc w:val="both"/>
        <w:outlineLvl w:val="2"/>
      </w:pPr>
      <w:r>
        <w:rPr>
          <w:rFonts w:ascii="黑体" w:hAnsi="黑体" w:eastAsia="黑体"/>
          <w:sz w:val="32"/>
        </w:rPr>
        <w:t>六、一般公共预算财政拨款基本支出决算情况说明</w:t>
      </w:r>
    </w:p>
    <w:p w14:paraId="43C7ABD9">
      <w:pPr>
        <w:spacing w:line="580" w:lineRule="exact"/>
        <w:ind w:firstLine="640"/>
        <w:jc w:val="both"/>
      </w:pPr>
      <w:r>
        <w:rPr>
          <w:rFonts w:ascii="仿宋_GB2312" w:hAnsi="仿宋_GB2312" w:eastAsia="仿宋_GB2312"/>
          <w:b w:val="0"/>
          <w:sz w:val="32"/>
        </w:rPr>
        <w:t>2024年度一般公共预算财政拨款基本支出176.82万元，其中：</w:t>
      </w:r>
      <w:r>
        <w:rPr>
          <w:rFonts w:ascii="仿宋_GB2312" w:hAnsi="仿宋_GB2312" w:eastAsia="仿宋_GB2312"/>
          <w:b/>
          <w:sz w:val="32"/>
        </w:rPr>
        <w:t>人员经费167.29万元，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2C50529C">
      <w:pPr>
        <w:spacing w:line="580" w:lineRule="exact"/>
        <w:ind w:firstLine="640"/>
        <w:jc w:val="both"/>
      </w:pPr>
      <w:r>
        <w:rPr>
          <w:rFonts w:ascii="仿宋_GB2312" w:hAnsi="仿宋_GB2312" w:eastAsia="仿宋_GB2312"/>
          <w:b/>
          <w:sz w:val="32"/>
        </w:rPr>
        <w:t>公用经费9.53万元，</w:t>
      </w:r>
      <w:r>
        <w:rPr>
          <w:rFonts w:ascii="仿宋_GB2312" w:hAnsi="仿宋_GB2312" w:eastAsia="仿宋_GB2312"/>
          <w:b w:val="0"/>
          <w:sz w:val="32"/>
        </w:rPr>
        <w:t>包括：办公费、邮电费、取暖费、物业管理费、差旅费、租赁费、劳务费、工会经费、福利费、公务用车运行维护费、其他交通费用。</w:t>
      </w:r>
    </w:p>
    <w:p w14:paraId="4C15B221">
      <w:pPr>
        <w:spacing w:line="640" w:lineRule="exact"/>
        <w:ind w:firstLine="640"/>
        <w:jc w:val="both"/>
        <w:outlineLvl w:val="2"/>
      </w:pPr>
      <w:r>
        <w:rPr>
          <w:rFonts w:ascii="黑体" w:hAnsi="黑体" w:eastAsia="黑体"/>
          <w:sz w:val="32"/>
        </w:rPr>
        <w:t>七、政府性基金预算财政拨款收入支出决算情况说明</w:t>
      </w:r>
    </w:p>
    <w:p w14:paraId="6334388E">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E0C3BEC">
      <w:pPr>
        <w:spacing w:line="640" w:lineRule="exact"/>
        <w:ind w:firstLine="640"/>
        <w:jc w:val="both"/>
        <w:outlineLvl w:val="2"/>
      </w:pPr>
      <w:r>
        <w:rPr>
          <w:rFonts w:ascii="黑体" w:hAnsi="黑体" w:eastAsia="黑体"/>
          <w:sz w:val="32"/>
        </w:rPr>
        <w:t>八、国有资本经营预算财政拨款收入支出决算情况说明</w:t>
      </w:r>
    </w:p>
    <w:p w14:paraId="73C177A2">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1C9657F">
      <w:pPr>
        <w:spacing w:line="640" w:lineRule="exact"/>
        <w:ind w:firstLine="640"/>
        <w:jc w:val="both"/>
        <w:outlineLvl w:val="2"/>
      </w:pPr>
      <w:r>
        <w:rPr>
          <w:rFonts w:ascii="黑体" w:hAnsi="黑体" w:eastAsia="黑体"/>
          <w:sz w:val="32"/>
        </w:rPr>
        <w:t>九、财政拨款“三公”经费支出决算情况说明</w:t>
      </w:r>
    </w:p>
    <w:p w14:paraId="5AF39E15">
      <w:pPr>
        <w:spacing w:line="580" w:lineRule="exact"/>
        <w:ind w:firstLine="640"/>
        <w:jc w:val="both"/>
      </w:pPr>
      <w:r>
        <w:rPr>
          <w:rFonts w:ascii="仿宋_GB2312" w:hAnsi="仿宋_GB2312" w:eastAsia="仿宋_GB2312"/>
          <w:b/>
          <w:sz w:val="32"/>
        </w:rPr>
        <w:t>2024年度财政拨款“三公”经费支出1.09万元，</w:t>
      </w:r>
      <w:r>
        <w:rPr>
          <w:rFonts w:ascii="仿宋_GB2312" w:hAnsi="仿宋_GB2312" w:eastAsia="仿宋_GB2312"/>
          <w:b w:val="0"/>
          <w:sz w:val="32"/>
        </w:rPr>
        <w:t>比上年增加0.00万元，增长0.00%，主要原因是：本部门财政拨款“三公”经费与上年一致无变化。其中：因公出国（境）费支出0.00万元，占0.00%，比上年增加0.00万元，增长0.00%，主要原因是：2023年与2024年均未安排因公出国（境）费支出。公务用车购置及运行维护费支出1.09万元，占100.00%，比上年增加0.00万元，增长0.00%，主要原因是：本部门公务用车运行维护费与上年一致无变化。公务接待费支出0.00万元，占0.00%，比上年增加0.00万元，增长0.00%，主要原因是：2023年与2024年均未安排公务接待费支出。</w:t>
      </w:r>
    </w:p>
    <w:p w14:paraId="6AE11203">
      <w:pPr>
        <w:spacing w:line="580" w:lineRule="exact"/>
        <w:ind w:firstLine="640"/>
        <w:jc w:val="both"/>
      </w:pPr>
      <w:r>
        <w:rPr>
          <w:rFonts w:ascii="仿宋_GB2312" w:hAnsi="仿宋_GB2312" w:eastAsia="仿宋_GB2312"/>
          <w:b/>
          <w:sz w:val="32"/>
        </w:rPr>
        <w:t>具体情况如下：</w:t>
      </w:r>
    </w:p>
    <w:p w14:paraId="263513A7">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72E9C7B">
      <w:pPr>
        <w:spacing w:line="580" w:lineRule="exact"/>
        <w:ind w:firstLine="640"/>
        <w:jc w:val="both"/>
      </w:pPr>
      <w:r>
        <w:rPr>
          <w:rFonts w:ascii="仿宋_GB2312" w:hAnsi="仿宋_GB2312" w:eastAsia="仿宋_GB2312"/>
          <w:b w:val="0"/>
          <w:sz w:val="32"/>
        </w:rPr>
        <w:t>公务用车购置及运行维护费1.09万元，其中：公务用车购置费0.00万元，公务用车运行维护费1.09万元。公务用车运行维护费开支内容包括车辆燃油费、车辆保险费。公务用车购置数0辆，公务用车保有量1辆。国有资产占用情况中固定资产车辆1辆，与公务用车保有量差异原因是：本部门固定资产车辆与公务用车保有量一致无差异。</w:t>
      </w:r>
    </w:p>
    <w:p w14:paraId="37D8C536">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7A5D7B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1.09万元，决算数1.09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1.09万元，决算数1.09万元，预决算差异率0.00%，主要原因是：严格按照预算执行，预决算无差异。公务接待费全年预算数0.00万元，决算数0.00万元，预决算差异率0.00%，主要原因是：本部门无公务接待费。</w:t>
      </w:r>
    </w:p>
    <w:p w14:paraId="57EBD7BC">
      <w:pPr>
        <w:spacing w:line="640" w:lineRule="exact"/>
        <w:ind w:firstLine="640"/>
        <w:jc w:val="both"/>
        <w:outlineLvl w:val="2"/>
      </w:pPr>
      <w:r>
        <w:rPr>
          <w:rFonts w:ascii="黑体" w:hAnsi="黑体" w:eastAsia="黑体"/>
          <w:sz w:val="32"/>
        </w:rPr>
        <w:t>十、其他重要事项的情况说明</w:t>
      </w:r>
    </w:p>
    <w:p w14:paraId="201E97A3">
      <w:pPr>
        <w:spacing w:line="640" w:lineRule="exact"/>
        <w:ind w:firstLine="640"/>
        <w:jc w:val="both"/>
        <w:outlineLvl w:val="3"/>
      </w:pPr>
      <w:r>
        <w:rPr>
          <w:rFonts w:ascii="楷体_GB2312" w:hAnsi="楷体_GB2312" w:eastAsia="楷体_GB2312"/>
          <w:b/>
          <w:sz w:val="32"/>
        </w:rPr>
        <w:t>（一）机关运行经费及公用经费支出情况</w:t>
      </w:r>
    </w:p>
    <w:p w14:paraId="30781DF1">
      <w:pPr>
        <w:spacing w:line="580" w:lineRule="exact"/>
        <w:ind w:firstLine="640"/>
        <w:jc w:val="both"/>
      </w:pPr>
      <w:r>
        <w:rPr>
          <w:rFonts w:ascii="仿宋_GB2312" w:hAnsi="仿宋_GB2312" w:eastAsia="仿宋_GB2312"/>
          <w:b w:val="0"/>
          <w:sz w:val="32"/>
        </w:rPr>
        <w:t>2024年度中共巴音郭楞蒙古自治州委员会直属机关工作委员会（行政单位和参照公务员法管理事业单位）机关运行经费支出9.53万元，比上年减少1.14万元，下降10.68%，主要原因是：本年度培训费较上年减少，故机关运行经费支出较上年减少。</w:t>
      </w:r>
    </w:p>
    <w:p w14:paraId="2CFE7972">
      <w:pPr>
        <w:spacing w:line="640" w:lineRule="exact"/>
        <w:ind w:firstLine="640"/>
        <w:jc w:val="both"/>
        <w:outlineLvl w:val="3"/>
      </w:pPr>
      <w:r>
        <w:rPr>
          <w:rFonts w:ascii="楷体_GB2312" w:hAnsi="楷体_GB2312" w:eastAsia="楷体_GB2312"/>
          <w:b/>
          <w:sz w:val="32"/>
        </w:rPr>
        <w:t>（二）政府采购情况</w:t>
      </w:r>
    </w:p>
    <w:p w14:paraId="2C20FD73">
      <w:pPr>
        <w:spacing w:line="580" w:lineRule="exact"/>
        <w:ind w:firstLine="640"/>
        <w:jc w:val="both"/>
      </w:pPr>
      <w:r>
        <w:rPr>
          <w:rFonts w:ascii="仿宋_GB2312" w:hAnsi="仿宋_GB2312" w:eastAsia="仿宋_GB2312"/>
          <w:b w:val="0"/>
          <w:sz w:val="32"/>
        </w:rPr>
        <w:t>2024年度政府采购支出总额2.90万元，其中：政府采购货物支出1.90万元、政府采购工程支出0.00万元、政府采购服务支出1.00万元。</w:t>
      </w:r>
    </w:p>
    <w:p w14:paraId="6182B251">
      <w:pPr>
        <w:spacing w:line="580" w:lineRule="exact"/>
        <w:ind w:firstLine="640"/>
        <w:jc w:val="both"/>
      </w:pPr>
      <w:r>
        <w:rPr>
          <w:rFonts w:ascii="仿宋_GB2312" w:hAnsi="仿宋_GB2312" w:eastAsia="仿宋_GB2312"/>
          <w:b w:val="0"/>
          <w:sz w:val="32"/>
        </w:rPr>
        <w:t>授予中小企业合同金额2.90万元，占政府采购支出总额的100.00%，其中：授予小微企业合同金额2.67万元，占政府采购支出总额的92.07%。</w:t>
      </w:r>
    </w:p>
    <w:p w14:paraId="313D8F5F">
      <w:pPr>
        <w:spacing w:line="640" w:lineRule="exact"/>
        <w:ind w:firstLine="640"/>
        <w:jc w:val="both"/>
        <w:outlineLvl w:val="3"/>
      </w:pPr>
      <w:r>
        <w:rPr>
          <w:rFonts w:ascii="楷体_GB2312" w:hAnsi="楷体_GB2312" w:eastAsia="楷体_GB2312"/>
          <w:b/>
          <w:sz w:val="32"/>
        </w:rPr>
        <w:t>（三）国有资产占用情况说明</w:t>
      </w:r>
    </w:p>
    <w:p w14:paraId="127CA01C">
      <w:pPr>
        <w:spacing w:line="580" w:lineRule="exact"/>
        <w:ind w:firstLine="640"/>
        <w:jc w:val="both"/>
      </w:pPr>
      <w:r>
        <w:rPr>
          <w:rFonts w:ascii="仿宋_GB2312" w:hAnsi="仿宋_GB2312" w:eastAsia="仿宋_GB2312"/>
          <w:b w:val="0"/>
          <w:sz w:val="32"/>
        </w:rPr>
        <w:t>截至2024年12月31日，房屋0.00平方米，价值0.00万元。车辆1辆，价值22.88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D665F78">
      <w:pPr>
        <w:spacing w:line="640" w:lineRule="exact"/>
        <w:ind w:firstLine="640"/>
        <w:jc w:val="both"/>
        <w:outlineLvl w:val="2"/>
      </w:pPr>
      <w:r>
        <w:rPr>
          <w:rFonts w:ascii="黑体" w:hAnsi="黑体" w:eastAsia="黑体"/>
          <w:sz w:val="32"/>
        </w:rPr>
        <w:t>十一、预算绩效的情况说明</w:t>
      </w:r>
    </w:p>
    <w:p w14:paraId="36F04128">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根据预算绩效管理要求，本部门2024年度预算绩效管理形成整体支出绩效自评表1个，全年预算总额245.43万元，实际执行总额234.82万元；预算绩效评价项目3个，全年预算数</w:t>
      </w:r>
      <w:r>
        <w:rPr>
          <w:rFonts w:hint="eastAsia" w:ascii="仿宋_GB2312" w:hAnsi="仿宋_GB2312" w:eastAsia="仿宋_GB2312"/>
          <w:b w:val="0"/>
          <w:sz w:val="32"/>
        </w:rPr>
        <w:t>28</w:t>
      </w:r>
      <w:r>
        <w:rPr>
          <w:rFonts w:ascii="仿宋_GB2312" w:hAnsi="仿宋_GB2312" w:eastAsia="仿宋_GB2312"/>
          <w:b w:val="0"/>
          <w:sz w:val="32"/>
        </w:rPr>
        <w:t>.00万元，全年执行数</w:t>
      </w:r>
      <w:r>
        <w:rPr>
          <w:rFonts w:hint="eastAsia" w:ascii="仿宋_GB2312" w:hAnsi="仿宋_GB2312" w:eastAsia="仿宋_GB2312"/>
          <w:b w:val="0"/>
          <w:sz w:val="32"/>
        </w:rPr>
        <w:t>28</w:t>
      </w:r>
      <w:r>
        <w:rPr>
          <w:rFonts w:ascii="仿宋_GB2312" w:hAnsi="仿宋_GB2312" w:eastAsia="仿宋_GB2312"/>
          <w:b w:val="0"/>
          <w:sz w:val="32"/>
        </w:rPr>
        <w:t>.00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1321D7D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3685D6B">
        <w:tblPrEx>
          <w:tblCellMar>
            <w:top w:w="0" w:type="dxa"/>
            <w:left w:w="108" w:type="dxa"/>
            <w:bottom w:w="0" w:type="dxa"/>
            <w:right w:w="108" w:type="dxa"/>
          </w:tblCellMar>
        </w:tblPrEx>
        <w:tc>
          <w:tcPr>
            <w:tcW w:w="8840" w:type="dxa"/>
            <w:gridSpan w:val="8"/>
            <w:vAlign w:val="center"/>
          </w:tcPr>
          <w:p w14:paraId="1DFC2621">
            <w:pPr>
              <w:jc w:val="center"/>
            </w:pPr>
            <w:r>
              <w:rPr>
                <w:rFonts w:ascii="宋体" w:hAnsi="宋体" w:eastAsia="宋体"/>
                <w:sz w:val="24"/>
              </w:rPr>
              <w:t>部门整体支出绩效自评表</w:t>
            </w:r>
          </w:p>
        </w:tc>
      </w:tr>
      <w:tr w14:paraId="3BB7F9FF">
        <w:tblPrEx>
          <w:tblCellMar>
            <w:top w:w="0" w:type="dxa"/>
            <w:left w:w="108" w:type="dxa"/>
            <w:bottom w:w="0" w:type="dxa"/>
            <w:right w:w="108" w:type="dxa"/>
          </w:tblCellMar>
        </w:tblPrEx>
        <w:tc>
          <w:tcPr>
            <w:tcW w:w="8840" w:type="dxa"/>
            <w:gridSpan w:val="8"/>
            <w:vAlign w:val="center"/>
          </w:tcPr>
          <w:p w14:paraId="701FD39A">
            <w:pPr>
              <w:jc w:val="center"/>
            </w:pPr>
            <w:r>
              <w:rPr>
                <w:rFonts w:ascii="宋体" w:hAnsi="宋体" w:eastAsia="宋体"/>
                <w:sz w:val="24"/>
              </w:rPr>
              <w:t>（2024年度）</w:t>
            </w:r>
          </w:p>
        </w:tc>
      </w:tr>
      <w:tr w14:paraId="5503AA6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BE1F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F2EA9">
            <w:pPr>
              <w:jc w:val="center"/>
            </w:pPr>
            <w:r>
              <w:rPr>
                <w:rFonts w:ascii="宋体" w:hAnsi="宋体" w:eastAsia="宋体"/>
                <w:sz w:val="16"/>
              </w:rPr>
              <w:t>中共巴音郭楞蒙古自治州委员会直属机关工作委员会</w:t>
            </w:r>
          </w:p>
        </w:tc>
      </w:tr>
      <w:tr w14:paraId="2547EEE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8894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6DB2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8F5F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E5DD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6DEA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43C2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5E291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7013E">
            <w:pPr>
              <w:jc w:val="center"/>
            </w:pPr>
            <w:r>
              <w:rPr>
                <w:rFonts w:ascii="宋体" w:hAnsi="宋体" w:eastAsia="宋体"/>
                <w:sz w:val="16"/>
              </w:rPr>
              <w:t>得分</w:t>
            </w:r>
          </w:p>
        </w:tc>
      </w:tr>
      <w:tr w14:paraId="600BB7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62ED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82AE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93CCD">
            <w:pPr>
              <w:jc w:val="center"/>
            </w:pPr>
            <w:r>
              <w:rPr>
                <w:rFonts w:ascii="宋体" w:hAnsi="宋体" w:eastAsia="宋体"/>
                <w:sz w:val="16"/>
              </w:rPr>
              <w:t>188.17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087E8">
            <w:pPr>
              <w:jc w:val="center"/>
            </w:pPr>
            <w:r>
              <w:rPr>
                <w:rFonts w:ascii="宋体" w:hAnsi="宋体" w:eastAsia="宋体"/>
                <w:sz w:val="16"/>
              </w:rPr>
              <w:t>245.43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90E3B">
            <w:pPr>
              <w:jc w:val="center"/>
            </w:pPr>
            <w:r>
              <w:rPr>
                <w:rFonts w:ascii="宋体" w:hAnsi="宋体" w:eastAsia="宋体"/>
                <w:sz w:val="16"/>
              </w:rPr>
              <w:t>234.82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8DB7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D1815">
            <w:pPr>
              <w:jc w:val="center"/>
            </w:pPr>
            <w:r>
              <w:rPr>
                <w:rFonts w:ascii="宋体" w:hAnsi="宋体" w:eastAsia="宋体"/>
                <w:sz w:val="16"/>
              </w:rPr>
              <w:t>95.68%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F9070">
            <w:pPr>
              <w:jc w:val="center"/>
            </w:pPr>
            <w:r>
              <w:rPr>
                <w:rFonts w:ascii="宋体" w:hAnsi="宋体" w:eastAsia="宋体"/>
                <w:sz w:val="16"/>
              </w:rPr>
              <w:t>9.57</w:t>
            </w:r>
          </w:p>
        </w:tc>
      </w:tr>
      <w:tr w14:paraId="31312A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FBD2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6654F">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B88F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AF5B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0EB7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B8A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592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AAD93">
            <w:pPr>
              <w:jc w:val="center"/>
            </w:pPr>
            <w:r>
              <w:rPr>
                <w:rFonts w:ascii="宋体" w:hAnsi="宋体" w:eastAsia="宋体"/>
                <w:sz w:val="16"/>
              </w:rPr>
              <w:t>-</w:t>
            </w:r>
          </w:p>
        </w:tc>
      </w:tr>
      <w:tr w14:paraId="5F572A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84A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DDFED">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52948">
            <w:pPr>
              <w:jc w:val="center"/>
            </w:pPr>
            <w:r>
              <w:rPr>
                <w:rFonts w:ascii="宋体" w:hAnsi="宋体" w:eastAsia="宋体"/>
                <w:sz w:val="16"/>
              </w:rPr>
              <w:t>188.17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2B919">
            <w:pPr>
              <w:jc w:val="center"/>
            </w:pPr>
            <w:r>
              <w:rPr>
                <w:rFonts w:ascii="宋体" w:hAnsi="宋体" w:eastAsia="宋体"/>
                <w:sz w:val="16"/>
              </w:rPr>
              <w:t>215.43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F22E9">
            <w:pPr>
              <w:jc w:val="center"/>
            </w:pPr>
            <w:r>
              <w:rPr>
                <w:rFonts w:ascii="宋体" w:hAnsi="宋体" w:eastAsia="宋体"/>
                <w:sz w:val="16"/>
              </w:rPr>
              <w:t>204.82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CDF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EFD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29CEC">
            <w:pPr>
              <w:jc w:val="center"/>
            </w:pPr>
            <w:r>
              <w:rPr>
                <w:rFonts w:ascii="宋体" w:hAnsi="宋体" w:eastAsia="宋体"/>
                <w:sz w:val="16"/>
              </w:rPr>
              <w:t>-</w:t>
            </w:r>
          </w:p>
        </w:tc>
      </w:tr>
      <w:tr w14:paraId="571F51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B48F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2B8E6">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4A94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CBF0F">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A6DCD">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F66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F1F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2B9A9">
            <w:pPr>
              <w:jc w:val="center"/>
            </w:pPr>
            <w:r>
              <w:rPr>
                <w:rFonts w:ascii="宋体" w:hAnsi="宋体" w:eastAsia="宋体"/>
                <w:sz w:val="16"/>
              </w:rPr>
              <w:t>-</w:t>
            </w:r>
          </w:p>
        </w:tc>
      </w:tr>
      <w:tr w14:paraId="757834E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E071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A8E91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A6D378">
            <w:pPr>
              <w:jc w:val="center"/>
            </w:pPr>
            <w:r>
              <w:rPr>
                <w:rFonts w:ascii="宋体" w:hAnsi="宋体" w:eastAsia="宋体"/>
                <w:sz w:val="16"/>
              </w:rPr>
              <w:t>实际完成情况</w:t>
            </w:r>
          </w:p>
        </w:tc>
      </w:tr>
      <w:tr w14:paraId="2FBE9D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F7639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EB6FAD">
            <w:pPr>
              <w:jc w:val="both"/>
            </w:pPr>
            <w:r>
              <w:rPr>
                <w:rFonts w:ascii="宋体" w:hAnsi="宋体" w:eastAsia="宋体"/>
                <w:sz w:val="16"/>
              </w:rPr>
              <w:t>1.坚决落实习近平总书记关于“牢固树立政治机关的意识”的重要指示，围绕建设“讲政治、守纪律、负责任、有效率”的模范机关，督促指导州直机关各部门单位党组织深化模范机关建设，抓在经常，融入日常。</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2.指导州直机关各级党组织加强基层组织建设，持续深化</w:t>
            </w:r>
            <w:r>
              <w:rPr>
                <w:rFonts w:hint="eastAsia" w:ascii="宋体" w:hAnsi="宋体"/>
                <w:sz w:val="16"/>
                <w:lang w:eastAsia="zh-CN"/>
              </w:rPr>
              <w:t>“</w:t>
            </w:r>
            <w:r>
              <w:rPr>
                <w:rFonts w:ascii="宋体" w:hAnsi="宋体" w:eastAsia="宋体"/>
                <w:sz w:val="16"/>
              </w:rPr>
              <w:t>五个好</w:t>
            </w:r>
            <w:r>
              <w:rPr>
                <w:rFonts w:hint="eastAsia" w:ascii="宋体" w:hAnsi="宋体"/>
                <w:sz w:val="16"/>
                <w:lang w:eastAsia="zh-CN"/>
              </w:rPr>
              <w:t>”</w:t>
            </w:r>
            <w:r>
              <w:rPr>
                <w:rFonts w:ascii="宋体" w:hAnsi="宋体" w:eastAsia="宋体"/>
                <w:sz w:val="16"/>
              </w:rPr>
              <w:t>标准化规范化党支部创建，通过培育示范点、典型经验交流学习等方式强化业务指导，评选表彰“五个好”标准化规范化示范党支部一批，示范带动机关党建梯次提升。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做好州直机关干部教育培训工作，实施党务干部能力素质提升工程，分层分级举办党务干部、新任党支部书记、发展对象等各类培训班6期，着力解决不会抓、不善抓等突出问题，把党务干部培养成为政治上的明白人、党建工作的内行人、干部职工的贴心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6EE97C">
            <w:pPr>
              <w:jc w:val="both"/>
            </w:pPr>
            <w:r>
              <w:rPr>
                <w:rFonts w:ascii="宋体" w:hAnsi="宋体" w:eastAsia="宋体"/>
                <w:sz w:val="16"/>
              </w:rPr>
              <w:t>坚持不懈用习近平新时代中国特色社会主义思想凝心铸魂，持续巩固拓展主题教育成果。举办党务干部和普通党员培训班2期、党建基础业务培训班1期、发展对象和新任党支部书记培训班3期等培训班，充分发挥理论学习中心组示范引领作用、党支部主体作用和工委党校主阵地作用。深化“五个好”标准化规范化党支部建设，坚持“抓两头带中间”，推荐15个党支部创建自治区、自治州“五个好”标准化规范化党支部示范点，以点带面推动“五个好”的支部进位升级。</w:t>
            </w:r>
          </w:p>
        </w:tc>
      </w:tr>
      <w:tr w14:paraId="5451BD8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ABCB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CCBB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7CD1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0EA00">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4041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75E8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1249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DA655">
            <w:pPr>
              <w:jc w:val="center"/>
            </w:pPr>
            <w:r>
              <w:rPr>
                <w:rFonts w:ascii="宋体" w:hAnsi="宋体" w:eastAsia="宋体"/>
                <w:sz w:val="16"/>
              </w:rPr>
              <w:t>得分</w:t>
            </w:r>
          </w:p>
        </w:tc>
      </w:tr>
      <w:tr w14:paraId="2B7E17E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8EB3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D35A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BD535">
            <w:pPr>
              <w:jc w:val="center"/>
            </w:pPr>
            <w:r>
              <w:rPr>
                <w:rFonts w:ascii="宋体" w:hAnsi="宋体" w:eastAsia="宋体"/>
                <w:sz w:val="16"/>
              </w:rPr>
              <w:t>“五个好”标准化、规范化党支部示范点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82304C">
            <w:pPr>
              <w:jc w:val="center"/>
            </w:pPr>
            <w:r>
              <w:rPr>
                <w:rFonts w:ascii="宋体" w:hAnsi="宋体" w:eastAsia="宋体"/>
                <w:sz w:val="16"/>
              </w:rPr>
              <w:t>&gt;=15个/年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0544C">
            <w:pPr>
              <w:jc w:val="center"/>
            </w:pPr>
            <w:r>
              <w:rPr>
                <w:rFonts w:ascii="宋体" w:hAnsi="宋体" w:eastAsia="宋体"/>
                <w:sz w:val="16"/>
              </w:rPr>
              <w:t>2024年度党建工作要点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AE86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8EFB8">
            <w:pPr>
              <w:jc w:val="center"/>
            </w:pPr>
            <w:r>
              <w:rPr>
                <w:rFonts w:ascii="宋体" w:hAnsi="宋体" w:eastAsia="宋体"/>
                <w:sz w:val="16"/>
              </w:rPr>
              <w:t>15个/年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C6B34">
            <w:pPr>
              <w:jc w:val="center"/>
            </w:pPr>
            <w:r>
              <w:rPr>
                <w:rFonts w:ascii="宋体" w:hAnsi="宋体" w:eastAsia="宋体"/>
                <w:sz w:val="16"/>
              </w:rPr>
              <w:t>20</w:t>
            </w:r>
          </w:p>
        </w:tc>
      </w:tr>
      <w:tr w14:paraId="3E4AA7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F3449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816D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D6230">
            <w:pPr>
              <w:jc w:val="center"/>
            </w:pPr>
            <w:r>
              <w:rPr>
                <w:rFonts w:ascii="宋体" w:hAnsi="宋体" w:eastAsia="宋体"/>
                <w:sz w:val="16"/>
              </w:rPr>
              <w:t>举办党建基础业务工作培训班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125898">
            <w:pPr>
              <w:jc w:val="center"/>
            </w:pPr>
            <w:r>
              <w:rPr>
                <w:rFonts w:ascii="宋体" w:hAnsi="宋体" w:eastAsia="宋体"/>
                <w:sz w:val="16"/>
              </w:rPr>
              <w:t>=1期/年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1D07E">
            <w:pPr>
              <w:jc w:val="center"/>
            </w:pPr>
            <w:r>
              <w:rPr>
                <w:rFonts w:ascii="宋体" w:hAnsi="宋体" w:eastAsia="宋体"/>
                <w:sz w:val="16"/>
              </w:rPr>
              <w:t>2024年教育培训方案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6FE4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4B12E">
            <w:pPr>
              <w:jc w:val="center"/>
            </w:pPr>
            <w:r>
              <w:rPr>
                <w:rFonts w:ascii="宋体" w:hAnsi="宋体" w:eastAsia="宋体"/>
                <w:sz w:val="16"/>
              </w:rPr>
              <w:t>1期/年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E5FD9">
            <w:pPr>
              <w:jc w:val="center"/>
            </w:pPr>
            <w:r>
              <w:rPr>
                <w:rFonts w:ascii="宋体" w:hAnsi="宋体" w:eastAsia="宋体"/>
                <w:sz w:val="16"/>
              </w:rPr>
              <w:t>15</w:t>
            </w:r>
          </w:p>
        </w:tc>
      </w:tr>
      <w:tr w14:paraId="5C70F4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DEE4F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9768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4F94D">
            <w:pPr>
              <w:jc w:val="center"/>
            </w:pPr>
            <w:r>
              <w:rPr>
                <w:rFonts w:ascii="宋体" w:hAnsi="宋体" w:eastAsia="宋体"/>
                <w:sz w:val="16"/>
              </w:rPr>
              <w:t>举办发展对象和新任党支部书记培训班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6990F">
            <w:pPr>
              <w:jc w:val="center"/>
            </w:pPr>
            <w:r>
              <w:rPr>
                <w:rFonts w:ascii="宋体" w:hAnsi="宋体" w:eastAsia="宋体"/>
                <w:sz w:val="16"/>
              </w:rPr>
              <w:t>=3期/年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65F60">
            <w:pPr>
              <w:jc w:val="center"/>
            </w:pPr>
            <w:r>
              <w:rPr>
                <w:rFonts w:ascii="宋体" w:hAnsi="宋体" w:eastAsia="宋体"/>
                <w:sz w:val="16"/>
              </w:rPr>
              <w:t>2024年教育培训方案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3ADD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8D120">
            <w:pPr>
              <w:jc w:val="center"/>
            </w:pPr>
            <w:r>
              <w:rPr>
                <w:rFonts w:ascii="宋体" w:hAnsi="宋体" w:eastAsia="宋体"/>
                <w:sz w:val="16"/>
              </w:rPr>
              <w:t>3期/年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84556">
            <w:pPr>
              <w:jc w:val="center"/>
            </w:pPr>
            <w:r>
              <w:rPr>
                <w:rFonts w:ascii="宋体" w:hAnsi="宋体" w:eastAsia="宋体"/>
                <w:sz w:val="16"/>
              </w:rPr>
              <w:t>30</w:t>
            </w:r>
          </w:p>
        </w:tc>
      </w:tr>
      <w:tr w14:paraId="395D3C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7EDD9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AFEB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E00F8">
            <w:pPr>
              <w:jc w:val="center"/>
            </w:pPr>
            <w:r>
              <w:rPr>
                <w:rFonts w:ascii="宋体" w:hAnsi="宋体" w:eastAsia="宋体"/>
                <w:sz w:val="16"/>
              </w:rPr>
              <w:t>举办党务干部和普通党员进党校培训班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CAF7C">
            <w:pPr>
              <w:jc w:val="center"/>
            </w:pPr>
            <w:r>
              <w:rPr>
                <w:rFonts w:ascii="宋体" w:hAnsi="宋体" w:eastAsia="宋体"/>
                <w:sz w:val="16"/>
              </w:rPr>
              <w:t>=2期/年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969C6">
            <w:pPr>
              <w:jc w:val="center"/>
            </w:pPr>
            <w:r>
              <w:rPr>
                <w:rFonts w:ascii="宋体" w:hAnsi="宋体" w:eastAsia="宋体"/>
                <w:sz w:val="16"/>
              </w:rPr>
              <w:t>2024年教育培训方案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461E6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425C9">
            <w:pPr>
              <w:jc w:val="center"/>
            </w:pPr>
            <w:r>
              <w:rPr>
                <w:rFonts w:ascii="宋体" w:hAnsi="宋体" w:eastAsia="宋体"/>
                <w:sz w:val="16"/>
              </w:rPr>
              <w:t>2期/年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3B7AB">
            <w:pPr>
              <w:jc w:val="center"/>
            </w:pPr>
            <w:r>
              <w:rPr>
                <w:rFonts w:ascii="宋体" w:hAnsi="宋体" w:eastAsia="宋体"/>
                <w:sz w:val="16"/>
              </w:rPr>
              <w:t>25</w:t>
            </w:r>
          </w:p>
        </w:tc>
      </w:tr>
    </w:tbl>
    <w:p w14:paraId="08C1EBF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7D1BEA89">
        <w:tblPrEx>
          <w:tblCellMar>
            <w:top w:w="0" w:type="dxa"/>
            <w:left w:w="108" w:type="dxa"/>
            <w:bottom w:w="0" w:type="dxa"/>
            <w:right w:w="108" w:type="dxa"/>
          </w:tblCellMar>
        </w:tblPrEx>
        <w:tc>
          <w:tcPr>
            <w:tcW w:w="8848" w:type="dxa"/>
            <w:gridSpan w:val="14"/>
            <w:vAlign w:val="center"/>
          </w:tcPr>
          <w:p w14:paraId="17E33423">
            <w:pPr>
              <w:jc w:val="center"/>
            </w:pPr>
            <w:r>
              <w:rPr>
                <w:rFonts w:ascii="宋体" w:hAnsi="宋体" w:eastAsia="宋体"/>
                <w:sz w:val="24"/>
              </w:rPr>
              <w:t>项目支出绩效自评表</w:t>
            </w:r>
          </w:p>
        </w:tc>
      </w:tr>
      <w:tr w14:paraId="2BE4B150">
        <w:tblPrEx>
          <w:tblCellMar>
            <w:top w:w="0" w:type="dxa"/>
            <w:left w:w="108" w:type="dxa"/>
            <w:bottom w:w="0" w:type="dxa"/>
            <w:right w:w="108" w:type="dxa"/>
          </w:tblCellMar>
        </w:tblPrEx>
        <w:tc>
          <w:tcPr>
            <w:tcW w:w="8848" w:type="dxa"/>
            <w:gridSpan w:val="14"/>
            <w:vAlign w:val="center"/>
          </w:tcPr>
          <w:p w14:paraId="6604421D">
            <w:pPr>
              <w:jc w:val="center"/>
            </w:pPr>
            <w:r>
              <w:rPr>
                <w:rFonts w:ascii="宋体" w:hAnsi="宋体" w:eastAsia="宋体"/>
                <w:sz w:val="24"/>
              </w:rPr>
              <w:t>(2024年度)</w:t>
            </w:r>
          </w:p>
        </w:tc>
      </w:tr>
      <w:tr w14:paraId="4ED68A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49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0DA4C6">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09DDF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B4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0523F">
            <w:pPr>
              <w:jc w:val="center"/>
            </w:pPr>
            <w:r>
              <w:rPr>
                <w:rFonts w:ascii="宋体" w:hAnsi="宋体" w:eastAsia="宋体"/>
                <w:sz w:val="16"/>
              </w:rPr>
              <w:t>中共巴音郭楞蒙古自治州委员会直属机关工作委员会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20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8216C6">
            <w:pPr>
              <w:jc w:val="center"/>
            </w:pPr>
            <w:r>
              <w:rPr>
                <w:rFonts w:ascii="宋体" w:hAnsi="宋体" w:eastAsia="宋体"/>
                <w:sz w:val="16"/>
              </w:rPr>
              <w:t>中共巴音郭楞蒙古自治州委员会直属机关工作委员会</w:t>
            </w:r>
          </w:p>
        </w:tc>
      </w:tr>
      <w:tr w14:paraId="3A9E4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C6CD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23C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D0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4F8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4F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6376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3D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9374">
            <w:pPr>
              <w:jc w:val="center"/>
            </w:pPr>
            <w:r>
              <w:rPr>
                <w:rFonts w:ascii="宋体" w:hAnsi="宋体" w:eastAsia="宋体"/>
                <w:sz w:val="16"/>
              </w:rPr>
              <w:t>得分</w:t>
            </w:r>
          </w:p>
        </w:tc>
      </w:tr>
      <w:tr w14:paraId="5E6998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53B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801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DB1F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8BB8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4E3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6C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DF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A7A1">
            <w:pPr>
              <w:jc w:val="center"/>
            </w:pPr>
            <w:r>
              <w:rPr>
                <w:rFonts w:ascii="宋体" w:hAnsi="宋体" w:eastAsia="宋体"/>
                <w:sz w:val="16"/>
              </w:rPr>
              <w:t>10.00</w:t>
            </w:r>
          </w:p>
        </w:tc>
      </w:tr>
      <w:tr w14:paraId="4EF7D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18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74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DA09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A776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3718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13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E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8760">
            <w:pPr>
              <w:jc w:val="center"/>
            </w:pPr>
            <w:r>
              <w:rPr>
                <w:rFonts w:ascii="宋体" w:hAnsi="宋体" w:eastAsia="宋体"/>
                <w:sz w:val="16"/>
              </w:rPr>
              <w:t>-</w:t>
            </w:r>
          </w:p>
        </w:tc>
      </w:tr>
      <w:tr w14:paraId="236FC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6F9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DE9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305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97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0C8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86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B1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CE69">
            <w:pPr>
              <w:jc w:val="center"/>
            </w:pPr>
            <w:r>
              <w:rPr>
                <w:rFonts w:ascii="宋体" w:hAnsi="宋体" w:eastAsia="宋体"/>
                <w:sz w:val="16"/>
              </w:rPr>
              <w:t>-</w:t>
            </w:r>
          </w:p>
        </w:tc>
      </w:tr>
      <w:tr w14:paraId="7DCE33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9B8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499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990531">
            <w:pPr>
              <w:jc w:val="center"/>
            </w:pPr>
            <w:r>
              <w:rPr>
                <w:rFonts w:ascii="宋体" w:hAnsi="宋体" w:eastAsia="宋体"/>
                <w:sz w:val="16"/>
              </w:rPr>
              <w:t>总体目标完成情况</w:t>
            </w:r>
          </w:p>
        </w:tc>
      </w:tr>
      <w:tr w14:paraId="4F33F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C87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8E4A6">
            <w:pPr>
              <w:jc w:val="both"/>
            </w:pPr>
            <w:r>
              <w:rPr>
                <w:rFonts w:ascii="宋体" w:hAnsi="宋体" w:eastAsia="宋体"/>
                <w:sz w:val="16"/>
              </w:rPr>
              <w:t>通过及时购置4种办公设备，开展各种慰问活动及维修凉亭等项目，可缓解困难群众的家庭生活、增强工作队在居民群众中的组织吸引力和凝聚力。通过为民办实事7件，可帮助社区新时代文明实践站和中心课堂更好</w:t>
            </w:r>
            <w:r>
              <w:rPr>
                <w:rFonts w:hint="eastAsia" w:ascii="宋体" w:hAnsi="宋体"/>
                <w:sz w:val="16"/>
                <w:lang w:eastAsia="zh-CN"/>
              </w:rPr>
              <w:t>地</w:t>
            </w:r>
            <w:r>
              <w:rPr>
                <w:rFonts w:ascii="宋体" w:hAnsi="宋体" w:eastAsia="宋体"/>
                <w:sz w:val="16"/>
              </w:rPr>
              <w:t>开展各类活动、“</w:t>
            </w:r>
            <w:r>
              <w:rPr>
                <w:rFonts w:hint="eastAsia" w:ascii="宋体" w:hAnsi="宋体"/>
                <w:sz w:val="16"/>
                <w:lang w:eastAsia="zh-CN"/>
              </w:rPr>
              <w:t>铸牢中华民族共同体意识</w:t>
            </w:r>
            <w:r>
              <w:rPr>
                <w:rFonts w:ascii="宋体" w:hAnsi="宋体" w:eastAsia="宋体"/>
                <w:sz w:val="16"/>
              </w:rPr>
              <w:t>”、加强国语学习等。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DD85A9">
            <w:pPr>
              <w:jc w:val="both"/>
            </w:pPr>
            <w:r>
              <w:rPr>
                <w:rFonts w:ascii="宋体" w:hAnsi="宋体" w:eastAsia="宋体"/>
                <w:sz w:val="16"/>
              </w:rPr>
              <w:t>州党委直属机关工委驻永安社区工作队</w:t>
            </w:r>
            <w:r>
              <w:rPr>
                <w:rFonts w:hint="eastAsia" w:ascii="宋体" w:hAnsi="宋体"/>
                <w:sz w:val="16"/>
                <w:lang w:eastAsia="zh-CN"/>
              </w:rPr>
              <w:t>以</w:t>
            </w:r>
            <w:r>
              <w:rPr>
                <w:rFonts w:ascii="宋体" w:hAnsi="宋体" w:eastAsia="宋体"/>
                <w:sz w:val="16"/>
              </w:rPr>
              <w:t>服务群众、凝聚人心为根本，以构建团结和谐幸福的永安社区为目标，通过购置4种办公设备，开展慰问活动及维修凉亭等项目，缓解困难群众的家庭生活、增强工作队在居民群众中的组织吸引力和凝聚力。为民办实事7件，可帮助社区新时代文明实践站和中心课堂更好</w:t>
            </w:r>
            <w:r>
              <w:rPr>
                <w:rFonts w:hint="eastAsia" w:ascii="宋体" w:hAnsi="宋体"/>
                <w:sz w:val="16"/>
                <w:lang w:eastAsia="zh-CN"/>
              </w:rPr>
              <w:t>地</w:t>
            </w:r>
            <w:r>
              <w:rPr>
                <w:rFonts w:ascii="宋体" w:hAnsi="宋体" w:eastAsia="宋体"/>
                <w:sz w:val="16"/>
              </w:rPr>
              <w:t>开展各类活动、“</w:t>
            </w:r>
            <w:r>
              <w:rPr>
                <w:rFonts w:hint="eastAsia" w:ascii="宋体" w:hAnsi="宋体"/>
                <w:sz w:val="16"/>
                <w:lang w:eastAsia="zh-CN"/>
              </w:rPr>
              <w:t>铸牢中华民族共同体意识</w:t>
            </w:r>
            <w:r>
              <w:rPr>
                <w:rFonts w:ascii="宋体" w:hAnsi="宋体" w:eastAsia="宋体"/>
                <w:sz w:val="16"/>
              </w:rPr>
              <w:t>”、加强国语学习等。有效提升社区服务管理质量和</w:t>
            </w:r>
            <w:r>
              <w:rPr>
                <w:rFonts w:hint="eastAsia" w:ascii="宋体" w:hAnsi="宋体"/>
                <w:sz w:val="16"/>
                <w:lang w:eastAsia="zh-CN"/>
              </w:rPr>
              <w:t>社会治理效能</w:t>
            </w:r>
            <w:r>
              <w:rPr>
                <w:rFonts w:ascii="宋体" w:hAnsi="宋体" w:eastAsia="宋体"/>
                <w:sz w:val="16"/>
              </w:rPr>
              <w:t>，提升社区居民生活幸福感。</w:t>
            </w:r>
          </w:p>
        </w:tc>
      </w:tr>
      <w:tr w14:paraId="1EC8EC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FEF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83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62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C6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65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5E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1F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996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52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53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B1E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8F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AB1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D3AC">
            <w:pPr>
              <w:jc w:val="center"/>
            </w:pPr>
            <w:r>
              <w:rPr>
                <w:rFonts w:ascii="宋体" w:hAnsi="宋体" w:eastAsia="宋体"/>
                <w:sz w:val="16"/>
              </w:rPr>
              <w:t>偏差原因分析及改进措施</w:t>
            </w:r>
          </w:p>
        </w:tc>
      </w:tr>
      <w:tr w14:paraId="240AE1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349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090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058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39A6">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594E">
            <w:pPr>
              <w:jc w:val="center"/>
            </w:pPr>
            <w:r>
              <w:rPr>
                <w:rFonts w:ascii="宋体" w:hAnsi="宋体" w:eastAsia="宋体"/>
                <w:sz w:val="16"/>
              </w:rPr>
              <w:t>=7件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8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0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C6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0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0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C9A5">
            <w:pPr>
              <w:jc w:val="center"/>
            </w:pPr>
            <w:r>
              <w:rPr>
                <w:rFonts w:ascii="宋体" w:hAnsi="宋体" w:eastAsia="宋体"/>
                <w:sz w:val="16"/>
              </w:rPr>
              <w:t>=7件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A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5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EA6D">
            <w:pPr>
              <w:jc w:val="center"/>
            </w:pPr>
          </w:p>
        </w:tc>
      </w:tr>
      <w:tr w14:paraId="3C132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C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63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BA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CE16">
            <w:pPr>
              <w:jc w:val="center"/>
            </w:pPr>
            <w:r>
              <w:rPr>
                <w:rFonts w:ascii="宋体" w:hAnsi="宋体" w:eastAsia="宋体"/>
                <w:sz w:val="16"/>
              </w:rPr>
              <w:t>设备购置种类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94C0">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6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8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45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8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2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19BE">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6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E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EF56">
            <w:pPr>
              <w:jc w:val="center"/>
            </w:pPr>
          </w:p>
        </w:tc>
      </w:tr>
      <w:tr w14:paraId="2AB26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40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F64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D37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682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A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D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2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4C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C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0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4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7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65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3965">
            <w:pPr>
              <w:jc w:val="center"/>
            </w:pPr>
          </w:p>
        </w:tc>
      </w:tr>
      <w:tr w14:paraId="0891E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C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7C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C0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02B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1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C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C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51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9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3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9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2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21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F3E2">
            <w:pPr>
              <w:jc w:val="center"/>
            </w:pPr>
          </w:p>
        </w:tc>
      </w:tr>
      <w:tr w14:paraId="680D4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5A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C3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23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988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D5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4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4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BA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6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0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6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C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8C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F490">
            <w:pPr>
              <w:jc w:val="center"/>
            </w:pPr>
          </w:p>
        </w:tc>
      </w:tr>
      <w:tr w14:paraId="19EF8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4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856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E83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5637">
            <w:pPr>
              <w:jc w:val="center"/>
            </w:pPr>
            <w:r>
              <w:rPr>
                <w:rFonts w:ascii="宋体" w:hAnsi="宋体" w:eastAsia="宋体"/>
                <w:sz w:val="16"/>
              </w:rPr>
              <w:t>设备购置完成时间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E1E6">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5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5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56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1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A8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02D4">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8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B0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37AC">
            <w:pPr>
              <w:jc w:val="center"/>
            </w:pPr>
          </w:p>
        </w:tc>
      </w:tr>
      <w:tr w14:paraId="02CE5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8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8F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EE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9391">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F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1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3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A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6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5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C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C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2C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4AF0">
            <w:pPr>
              <w:jc w:val="center"/>
            </w:pPr>
          </w:p>
        </w:tc>
      </w:tr>
      <w:tr w14:paraId="38AC5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56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841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319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6DA5">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626B">
            <w:pPr>
              <w:jc w:val="center"/>
            </w:pPr>
            <w:r>
              <w:rPr>
                <w:rFonts w:ascii="宋体" w:hAnsi="宋体" w:eastAsia="宋体"/>
                <w:sz w:val="16"/>
              </w:rPr>
              <w:t>&lt;=10.21万元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C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8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D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3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8D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2FCD">
            <w:pPr>
              <w:jc w:val="center"/>
            </w:pPr>
            <w:r>
              <w:rPr>
                <w:rFonts w:ascii="宋体" w:hAnsi="宋体" w:eastAsia="宋体"/>
                <w:sz w:val="16"/>
              </w:rPr>
              <w:t>=10.21万元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1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E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8820">
            <w:pPr>
              <w:jc w:val="center"/>
            </w:pPr>
          </w:p>
        </w:tc>
      </w:tr>
      <w:tr w14:paraId="4BD07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4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6D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95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BB9C">
            <w:pPr>
              <w:jc w:val="center"/>
            </w:pPr>
            <w:r>
              <w:rPr>
                <w:rFonts w:ascii="宋体" w:hAnsi="宋体" w:eastAsia="宋体"/>
                <w:sz w:val="16"/>
              </w:rPr>
              <w:t>设备购置经费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851D">
            <w:pPr>
              <w:jc w:val="center"/>
            </w:pPr>
            <w:r>
              <w:rPr>
                <w:rFonts w:ascii="宋体" w:hAnsi="宋体" w:eastAsia="宋体"/>
                <w:sz w:val="16"/>
              </w:rPr>
              <w:t>&lt;=6.79万元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E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B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7A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4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0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BF41">
            <w:pPr>
              <w:jc w:val="center"/>
            </w:pPr>
            <w:r>
              <w:rPr>
                <w:rFonts w:ascii="宋体" w:hAnsi="宋体" w:eastAsia="宋体"/>
                <w:sz w:val="16"/>
              </w:rPr>
              <w:t>=6.79万元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0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F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356A">
            <w:pPr>
              <w:jc w:val="center"/>
            </w:pPr>
          </w:p>
        </w:tc>
      </w:tr>
      <w:tr w14:paraId="5DE2C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08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51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3C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29DF">
            <w:pPr>
              <w:jc w:val="center"/>
            </w:pPr>
            <w:r>
              <w:rPr>
                <w:rFonts w:ascii="宋体" w:hAnsi="宋体" w:eastAsia="宋体"/>
                <w:sz w:val="16"/>
              </w:rPr>
              <w:t>有效提升社区居民幸福感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9D4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1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F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0C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33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E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CAB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B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66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34D7">
            <w:pPr>
              <w:jc w:val="center"/>
            </w:pPr>
          </w:p>
        </w:tc>
      </w:tr>
      <w:tr w14:paraId="7039B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9B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03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9C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D1EF">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3A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8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8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4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95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45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4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5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C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F9CE">
            <w:pPr>
              <w:jc w:val="center"/>
            </w:pPr>
          </w:p>
        </w:tc>
      </w:tr>
      <w:tr w14:paraId="163697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AD80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EE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91FD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F5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A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A74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A37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BCD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AF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5F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59496"/>
        </w:tc>
      </w:tr>
    </w:tbl>
    <w:p w14:paraId="19A885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A647548">
        <w:tblPrEx>
          <w:tblCellMar>
            <w:top w:w="0" w:type="dxa"/>
            <w:left w:w="108" w:type="dxa"/>
            <w:bottom w:w="0" w:type="dxa"/>
            <w:right w:w="108" w:type="dxa"/>
          </w:tblCellMar>
        </w:tblPrEx>
        <w:tc>
          <w:tcPr>
            <w:tcW w:w="8848" w:type="dxa"/>
            <w:gridSpan w:val="14"/>
            <w:vAlign w:val="center"/>
          </w:tcPr>
          <w:p w14:paraId="0360719D">
            <w:pPr>
              <w:jc w:val="center"/>
            </w:pPr>
            <w:r>
              <w:rPr>
                <w:rFonts w:ascii="宋体" w:hAnsi="宋体" w:eastAsia="宋体"/>
                <w:sz w:val="24"/>
              </w:rPr>
              <w:t>项目支出绩效自评表</w:t>
            </w:r>
          </w:p>
        </w:tc>
      </w:tr>
      <w:tr w14:paraId="5F5C5121">
        <w:tblPrEx>
          <w:tblCellMar>
            <w:top w:w="0" w:type="dxa"/>
            <w:left w:w="108" w:type="dxa"/>
            <w:bottom w:w="0" w:type="dxa"/>
            <w:right w:w="108" w:type="dxa"/>
          </w:tblCellMar>
        </w:tblPrEx>
        <w:tc>
          <w:tcPr>
            <w:tcW w:w="8848" w:type="dxa"/>
            <w:gridSpan w:val="14"/>
            <w:vAlign w:val="center"/>
          </w:tcPr>
          <w:p w14:paraId="0BD9313E">
            <w:pPr>
              <w:jc w:val="center"/>
            </w:pPr>
            <w:r>
              <w:rPr>
                <w:rFonts w:ascii="宋体" w:hAnsi="宋体" w:eastAsia="宋体"/>
                <w:sz w:val="24"/>
              </w:rPr>
              <w:t>(2024年度)</w:t>
            </w:r>
          </w:p>
        </w:tc>
      </w:tr>
      <w:tr w14:paraId="2BC4D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8A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8E3C08">
            <w:pPr>
              <w:jc w:val="center"/>
            </w:pPr>
            <w:r>
              <w:rPr>
                <w:rFonts w:ascii="宋体" w:hAnsi="宋体" w:eastAsia="宋体"/>
                <w:sz w:val="16"/>
              </w:rPr>
              <w:t>模范机关创建项目</w:t>
            </w:r>
          </w:p>
        </w:tc>
      </w:tr>
      <w:tr w14:paraId="77E091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2E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0B5EC">
            <w:pPr>
              <w:jc w:val="center"/>
            </w:pPr>
            <w:r>
              <w:rPr>
                <w:rFonts w:ascii="宋体" w:hAnsi="宋体" w:eastAsia="宋体"/>
                <w:sz w:val="16"/>
              </w:rPr>
              <w:t>中共巴音郭楞蒙古自治州委员会直属机关工作委员会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98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3C5A40">
            <w:pPr>
              <w:jc w:val="center"/>
            </w:pPr>
            <w:r>
              <w:rPr>
                <w:rFonts w:ascii="宋体" w:hAnsi="宋体" w:eastAsia="宋体"/>
                <w:sz w:val="16"/>
              </w:rPr>
              <w:t>中共巴音郭楞蒙古自治州委员会直属机关工作委员会</w:t>
            </w:r>
          </w:p>
        </w:tc>
      </w:tr>
      <w:tr w14:paraId="3CE0B8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DDB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D61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BD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6A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A7A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9080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06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96FD">
            <w:pPr>
              <w:jc w:val="center"/>
            </w:pPr>
            <w:r>
              <w:rPr>
                <w:rFonts w:ascii="宋体" w:hAnsi="宋体" w:eastAsia="宋体"/>
                <w:sz w:val="16"/>
              </w:rPr>
              <w:t>得分</w:t>
            </w:r>
          </w:p>
        </w:tc>
      </w:tr>
      <w:tr w14:paraId="33D51E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8C7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1F2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A2A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48B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047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A98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4BC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6EB0">
            <w:pPr>
              <w:jc w:val="center"/>
            </w:pPr>
            <w:r>
              <w:rPr>
                <w:rFonts w:ascii="宋体" w:hAnsi="宋体" w:eastAsia="宋体"/>
                <w:sz w:val="16"/>
              </w:rPr>
              <w:t>10.00</w:t>
            </w:r>
          </w:p>
        </w:tc>
      </w:tr>
      <w:tr w14:paraId="4E69E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F08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2FC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991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D9B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B9A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5C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C0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5B0C">
            <w:pPr>
              <w:jc w:val="center"/>
            </w:pPr>
            <w:r>
              <w:rPr>
                <w:rFonts w:ascii="宋体" w:hAnsi="宋体" w:eastAsia="宋体"/>
                <w:sz w:val="16"/>
              </w:rPr>
              <w:t>-</w:t>
            </w:r>
          </w:p>
        </w:tc>
      </w:tr>
      <w:tr w14:paraId="0F130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B2D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DED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85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DB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80A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D6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7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56B9">
            <w:pPr>
              <w:jc w:val="center"/>
            </w:pPr>
            <w:r>
              <w:rPr>
                <w:rFonts w:ascii="宋体" w:hAnsi="宋体" w:eastAsia="宋体"/>
                <w:sz w:val="16"/>
              </w:rPr>
              <w:t>-</w:t>
            </w:r>
          </w:p>
        </w:tc>
      </w:tr>
      <w:tr w14:paraId="2ADB1D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518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8411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BA4F8F">
            <w:pPr>
              <w:jc w:val="center"/>
            </w:pPr>
            <w:r>
              <w:rPr>
                <w:rFonts w:ascii="宋体" w:hAnsi="宋体" w:eastAsia="宋体"/>
                <w:sz w:val="16"/>
              </w:rPr>
              <w:t>总体目标完成情况</w:t>
            </w:r>
          </w:p>
        </w:tc>
      </w:tr>
      <w:tr w14:paraId="6DB3B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163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2FAC7">
            <w:pPr>
              <w:jc w:val="both"/>
            </w:pPr>
            <w:r>
              <w:rPr>
                <w:rFonts w:ascii="宋体" w:hAnsi="宋体" w:eastAsia="宋体"/>
                <w:sz w:val="16"/>
              </w:rPr>
              <w:t>指导州直机关各部门单位党组织开展模范机关创建工作和及时完成换届工作，提高州直机关各单位的党建水平。通过安排人员外出学习，提升做好机关党建工作水平，及时购置办公物资，保障办公人员9人，提高办公人员的工作效率。印刷制作各类资料2批次等；保障模范机关创建活动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4ADE64">
            <w:pPr>
              <w:jc w:val="both"/>
            </w:pPr>
            <w:r>
              <w:rPr>
                <w:rFonts w:ascii="宋体" w:hAnsi="宋体" w:eastAsia="宋体"/>
                <w:sz w:val="16"/>
              </w:rPr>
              <w:t>印刷制作各类资料2批次</w:t>
            </w:r>
            <w:r>
              <w:rPr>
                <w:rFonts w:hint="eastAsia" w:ascii="宋体" w:hAnsi="宋体"/>
                <w:sz w:val="16"/>
                <w:lang w:eastAsia="zh-CN"/>
              </w:rPr>
              <w:t>；</w:t>
            </w:r>
            <w:r>
              <w:rPr>
                <w:rFonts w:ascii="宋体" w:hAnsi="宋体" w:eastAsia="宋体"/>
                <w:sz w:val="16"/>
              </w:rPr>
              <w:t>购置办公物资，保障办公人员9人，提高办公人员的工作效率</w:t>
            </w:r>
            <w:r>
              <w:rPr>
                <w:rFonts w:hint="eastAsia" w:ascii="宋体" w:hAnsi="宋体"/>
                <w:sz w:val="16"/>
                <w:lang w:eastAsia="zh-CN"/>
              </w:rPr>
              <w:t>；</w:t>
            </w:r>
            <w:r>
              <w:rPr>
                <w:rFonts w:ascii="宋体" w:hAnsi="宋体" w:eastAsia="宋体"/>
                <w:sz w:val="16"/>
              </w:rPr>
              <w:t>安排人员外出学习，提升做好机关党建工作水平,指导州直机关各部门单位党组织开展模范机关创建工作和及时完成换届工作，提高州直机关各单位的党建水平。保障模范机关创建活动顺利开展。</w:t>
            </w:r>
          </w:p>
        </w:tc>
      </w:tr>
      <w:tr w14:paraId="1EF93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2C2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3D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CE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ED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28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46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73A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0DB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658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FE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E6C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EE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E0D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4403">
            <w:pPr>
              <w:jc w:val="center"/>
            </w:pPr>
            <w:r>
              <w:rPr>
                <w:rFonts w:ascii="宋体" w:hAnsi="宋体" w:eastAsia="宋体"/>
                <w:sz w:val="16"/>
              </w:rPr>
              <w:t>偏差原因分析及改进措施</w:t>
            </w:r>
          </w:p>
        </w:tc>
      </w:tr>
      <w:tr w14:paraId="6ED2FF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DBA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71C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A89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314B">
            <w:pPr>
              <w:jc w:val="center"/>
            </w:pPr>
            <w:r>
              <w:rPr>
                <w:rFonts w:ascii="宋体" w:hAnsi="宋体" w:eastAsia="宋体"/>
                <w:sz w:val="16"/>
              </w:rPr>
              <w:t>印刷制作批次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A88">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B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AF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98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A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9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BC83">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F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AD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D81A">
            <w:pPr>
              <w:jc w:val="center"/>
            </w:pPr>
          </w:p>
        </w:tc>
      </w:tr>
      <w:tr w14:paraId="758D1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99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BD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F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DF87">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7250">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2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B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D5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9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7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F524">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8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CB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AEC7">
            <w:pPr>
              <w:jc w:val="center"/>
            </w:pPr>
          </w:p>
        </w:tc>
      </w:tr>
      <w:tr w14:paraId="23DE0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5A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3D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5E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AA00">
            <w:pPr>
              <w:jc w:val="center"/>
            </w:pPr>
            <w:r>
              <w:rPr>
                <w:rFonts w:ascii="宋体" w:hAnsi="宋体" w:eastAsia="宋体"/>
                <w:sz w:val="16"/>
              </w:rPr>
              <w:t>委托会计代理记账机构数量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E06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9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1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7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E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0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6BC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7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AE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591E">
            <w:pPr>
              <w:jc w:val="center"/>
            </w:pPr>
          </w:p>
        </w:tc>
      </w:tr>
      <w:tr w14:paraId="5DF89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C5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F43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01B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BD43">
            <w:pPr>
              <w:jc w:val="center"/>
            </w:pPr>
            <w:r>
              <w:rPr>
                <w:rFonts w:ascii="宋体" w:hAnsi="宋体" w:eastAsia="宋体"/>
                <w:sz w:val="16"/>
              </w:rPr>
              <w:t>印刷制作验收合格率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F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2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1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F5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4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B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B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2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05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F4B4">
            <w:pPr>
              <w:jc w:val="center"/>
            </w:pPr>
          </w:p>
        </w:tc>
      </w:tr>
      <w:tr w14:paraId="36D2C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3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E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6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2086">
            <w:pPr>
              <w:jc w:val="center"/>
            </w:pPr>
            <w:r>
              <w:rPr>
                <w:rFonts w:ascii="宋体" w:hAnsi="宋体" w:eastAsia="宋体"/>
                <w:sz w:val="16"/>
              </w:rPr>
              <w:t>委托会计代理记账机构工作合格率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4F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C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D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0B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9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8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D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1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B3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CB32">
            <w:pPr>
              <w:jc w:val="center"/>
            </w:pPr>
          </w:p>
        </w:tc>
      </w:tr>
      <w:tr w14:paraId="60499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97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AB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09B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D949">
            <w:pPr>
              <w:jc w:val="center"/>
            </w:pPr>
            <w:r>
              <w:rPr>
                <w:rFonts w:ascii="宋体" w:hAnsi="宋体" w:eastAsia="宋体"/>
                <w:sz w:val="16"/>
              </w:rPr>
              <w:t>印刷制作按时完成率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E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2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7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F9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4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8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C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4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86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F641">
            <w:pPr>
              <w:jc w:val="center"/>
            </w:pPr>
          </w:p>
        </w:tc>
      </w:tr>
      <w:tr w14:paraId="518D3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4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20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3D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571F">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2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5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E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7B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2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F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2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1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AD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7A5B">
            <w:pPr>
              <w:jc w:val="center"/>
            </w:pPr>
          </w:p>
        </w:tc>
      </w:tr>
      <w:tr w14:paraId="1691E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A5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B3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59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F482">
            <w:pPr>
              <w:jc w:val="center"/>
            </w:pPr>
            <w:r>
              <w:rPr>
                <w:rFonts w:ascii="宋体" w:hAnsi="宋体" w:eastAsia="宋体"/>
                <w:sz w:val="16"/>
              </w:rPr>
              <w:t>委托会计代理记账机构工作按时完成率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7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6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5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9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7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F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5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2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A5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E595">
            <w:pPr>
              <w:jc w:val="center"/>
            </w:pPr>
          </w:p>
        </w:tc>
      </w:tr>
      <w:tr w14:paraId="2C3B4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FC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8F5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1F6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091A">
            <w:pPr>
              <w:jc w:val="center"/>
            </w:pPr>
            <w:r>
              <w:rPr>
                <w:rFonts w:ascii="宋体" w:hAnsi="宋体" w:eastAsia="宋体"/>
                <w:sz w:val="16"/>
              </w:rPr>
              <w:t>印刷制作成本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CCFE">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F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A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B1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3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57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9130">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B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44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BBF7">
            <w:pPr>
              <w:jc w:val="center"/>
            </w:pPr>
          </w:p>
        </w:tc>
      </w:tr>
      <w:tr w14:paraId="63BE6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F9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D2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D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62EC">
            <w:pPr>
              <w:jc w:val="center"/>
            </w:pPr>
            <w:r>
              <w:rPr>
                <w:rFonts w:ascii="宋体" w:hAnsi="宋体" w:eastAsia="宋体"/>
                <w:sz w:val="16"/>
              </w:rPr>
              <w:t>人均运转经费成本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41B7">
            <w:pPr>
              <w:jc w:val="center"/>
            </w:pPr>
            <w:r>
              <w:rPr>
                <w:rFonts w:ascii="宋体" w:hAnsi="宋体" w:eastAsia="宋体"/>
                <w:sz w:val="16"/>
              </w:rPr>
              <w:t>&lt;=0.44万元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2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A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AB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7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68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FFE5">
            <w:pPr>
              <w:jc w:val="center"/>
            </w:pPr>
            <w:r>
              <w:rPr>
                <w:rFonts w:ascii="宋体" w:hAnsi="宋体" w:eastAsia="宋体"/>
                <w:sz w:val="16"/>
              </w:rPr>
              <w:t>=0.44万元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3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9E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A88E">
            <w:pPr>
              <w:jc w:val="center"/>
            </w:pPr>
          </w:p>
        </w:tc>
      </w:tr>
      <w:tr w14:paraId="6AA65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BD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A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CD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079E">
            <w:pPr>
              <w:jc w:val="center"/>
            </w:pPr>
            <w:r>
              <w:rPr>
                <w:rFonts w:ascii="宋体" w:hAnsi="宋体" w:eastAsia="宋体"/>
                <w:sz w:val="16"/>
              </w:rPr>
              <w:t>委托会计代理记账机构服务费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4D72">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D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7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FC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B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E4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C648">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1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5B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24BB">
            <w:pPr>
              <w:jc w:val="center"/>
            </w:pPr>
          </w:p>
        </w:tc>
      </w:tr>
      <w:tr w14:paraId="52E2F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C6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556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DE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9038">
            <w:pPr>
              <w:jc w:val="center"/>
            </w:pPr>
            <w:r>
              <w:rPr>
                <w:rFonts w:ascii="宋体" w:hAnsi="宋体" w:eastAsia="宋体"/>
                <w:sz w:val="16"/>
              </w:rPr>
              <w:t>提高州直机关党建工作水平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B7E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A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D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4B1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1C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F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CF0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9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7A7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84E5">
            <w:pPr>
              <w:jc w:val="center"/>
            </w:pPr>
          </w:p>
        </w:tc>
      </w:tr>
      <w:tr w14:paraId="09BDFF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0486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485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93E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7C2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8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B2D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3EA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8C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C4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111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92AE4"/>
        </w:tc>
      </w:tr>
    </w:tbl>
    <w:p w14:paraId="61DB9C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6723FD2">
        <w:tblPrEx>
          <w:tblCellMar>
            <w:top w:w="0" w:type="dxa"/>
            <w:left w:w="108" w:type="dxa"/>
            <w:bottom w:w="0" w:type="dxa"/>
            <w:right w:w="108" w:type="dxa"/>
          </w:tblCellMar>
        </w:tblPrEx>
        <w:tc>
          <w:tcPr>
            <w:tcW w:w="8848" w:type="dxa"/>
            <w:gridSpan w:val="14"/>
            <w:vAlign w:val="center"/>
          </w:tcPr>
          <w:p w14:paraId="2DA6264C">
            <w:pPr>
              <w:jc w:val="center"/>
            </w:pPr>
            <w:r>
              <w:rPr>
                <w:rFonts w:ascii="宋体" w:hAnsi="宋体" w:eastAsia="宋体"/>
                <w:sz w:val="24"/>
              </w:rPr>
              <w:t>项目支出绩效自评表</w:t>
            </w:r>
          </w:p>
        </w:tc>
      </w:tr>
      <w:tr w14:paraId="360193C0">
        <w:tblPrEx>
          <w:tblCellMar>
            <w:top w:w="0" w:type="dxa"/>
            <w:left w:w="108" w:type="dxa"/>
            <w:bottom w:w="0" w:type="dxa"/>
            <w:right w:w="108" w:type="dxa"/>
          </w:tblCellMar>
        </w:tblPrEx>
        <w:tc>
          <w:tcPr>
            <w:tcW w:w="8848" w:type="dxa"/>
            <w:gridSpan w:val="14"/>
            <w:vAlign w:val="center"/>
          </w:tcPr>
          <w:p w14:paraId="75FD43ED">
            <w:pPr>
              <w:jc w:val="center"/>
            </w:pPr>
            <w:r>
              <w:rPr>
                <w:rFonts w:ascii="宋体" w:hAnsi="宋体" w:eastAsia="宋体"/>
                <w:sz w:val="24"/>
              </w:rPr>
              <w:t>(2024年度)</w:t>
            </w:r>
          </w:p>
        </w:tc>
      </w:tr>
      <w:tr w14:paraId="4169C1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16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DAA82C">
            <w:pPr>
              <w:jc w:val="center"/>
            </w:pPr>
            <w:r>
              <w:rPr>
                <w:rFonts w:ascii="宋体" w:hAnsi="宋体" w:eastAsia="宋体"/>
                <w:sz w:val="16"/>
              </w:rPr>
              <w:t>州直机关开展铸牢中华民族共同体意识教育活动</w:t>
            </w:r>
          </w:p>
        </w:tc>
      </w:tr>
      <w:tr w14:paraId="4C39AE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1D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B2BC8">
            <w:pPr>
              <w:jc w:val="center"/>
            </w:pPr>
            <w:r>
              <w:rPr>
                <w:rFonts w:ascii="宋体" w:hAnsi="宋体" w:eastAsia="宋体"/>
                <w:sz w:val="16"/>
              </w:rPr>
              <w:t>中共巴音郭楞蒙古自治州委员会直属机关工作委员会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AA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1DFB5">
            <w:pPr>
              <w:jc w:val="center"/>
            </w:pPr>
            <w:r>
              <w:rPr>
                <w:rFonts w:ascii="宋体" w:hAnsi="宋体" w:eastAsia="宋体"/>
                <w:sz w:val="16"/>
              </w:rPr>
              <w:t>中共巴音郭楞蒙古自治州委员会直属机关工作委员会</w:t>
            </w:r>
          </w:p>
        </w:tc>
      </w:tr>
      <w:tr w14:paraId="230A8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6FF1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31F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7F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1D3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FAA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35C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187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76DA">
            <w:pPr>
              <w:jc w:val="center"/>
            </w:pPr>
            <w:r>
              <w:rPr>
                <w:rFonts w:ascii="宋体" w:hAnsi="宋体" w:eastAsia="宋体"/>
                <w:sz w:val="16"/>
              </w:rPr>
              <w:t>得分</w:t>
            </w:r>
          </w:p>
        </w:tc>
      </w:tr>
      <w:tr w14:paraId="22ED5B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7E1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DD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13A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C4E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EDC1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2B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2C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800C">
            <w:pPr>
              <w:jc w:val="center"/>
            </w:pPr>
            <w:r>
              <w:rPr>
                <w:rFonts w:ascii="宋体" w:hAnsi="宋体" w:eastAsia="宋体"/>
                <w:sz w:val="16"/>
              </w:rPr>
              <w:t>10.00</w:t>
            </w:r>
          </w:p>
        </w:tc>
      </w:tr>
      <w:tr w14:paraId="7A0D5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11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FF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0BD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DE8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1E68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9A9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E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0C79">
            <w:pPr>
              <w:jc w:val="center"/>
            </w:pPr>
            <w:r>
              <w:rPr>
                <w:rFonts w:ascii="宋体" w:hAnsi="宋体" w:eastAsia="宋体"/>
                <w:sz w:val="16"/>
              </w:rPr>
              <w:t>-</w:t>
            </w:r>
          </w:p>
        </w:tc>
      </w:tr>
      <w:tr w14:paraId="1D7A8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DC2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A7C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76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E8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00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4B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4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0615">
            <w:pPr>
              <w:jc w:val="center"/>
            </w:pPr>
            <w:r>
              <w:rPr>
                <w:rFonts w:ascii="宋体" w:hAnsi="宋体" w:eastAsia="宋体"/>
                <w:sz w:val="16"/>
              </w:rPr>
              <w:t>-</w:t>
            </w:r>
          </w:p>
        </w:tc>
      </w:tr>
      <w:tr w14:paraId="781C83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711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27FC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C166D9">
            <w:pPr>
              <w:jc w:val="center"/>
            </w:pPr>
            <w:r>
              <w:rPr>
                <w:rFonts w:ascii="宋体" w:hAnsi="宋体" w:eastAsia="宋体"/>
                <w:sz w:val="16"/>
              </w:rPr>
              <w:t>总体目标完成情况</w:t>
            </w:r>
          </w:p>
        </w:tc>
      </w:tr>
      <w:tr w14:paraId="0B5F5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338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FDA4E">
            <w:pPr>
              <w:jc w:val="both"/>
            </w:pPr>
            <w:r>
              <w:rPr>
                <w:rFonts w:ascii="宋体" w:hAnsi="宋体" w:eastAsia="宋体"/>
                <w:sz w:val="16"/>
              </w:rPr>
              <w:t>自治州成立70周年，为引领州直机关各基层党组织和广大党员干部向主线聚焦、向主线发力，在有形有感有效推进铸牢中华民族共同体意识进机关上走在前、作表率。为庆祝巴音郭楞蒙古自治州成立70周年，计划制作一首歌曲。教育引导各族人民牢固树立休戚与共、荣辱与共、生死与共、命运与共的共同体理念，构筑中华民族共有精神家园，推动各民族坚定对伟大祖国、中华民族、中国共产党、中国特色社会主义的高度认同，凝心聚力，共同奋力书写好中国式现代化巴州篇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DAF021">
            <w:pPr>
              <w:jc w:val="both"/>
            </w:pPr>
            <w:r>
              <w:rPr>
                <w:rFonts w:ascii="宋体" w:hAnsi="宋体" w:eastAsia="宋体"/>
                <w:sz w:val="16"/>
              </w:rPr>
              <w:t>为庆祝巴音郭楞蒙古自治州成立70周年，制作一首歌曲《我的爱》。围绕铸牢中华民族共同体意识这条主线，突出文化润疆这个重点，举旗帜、聚民心、育新人、兴文化、展形象，加快形成有形有感有效活动迸发的文化润疆格局。</w:t>
            </w:r>
          </w:p>
        </w:tc>
      </w:tr>
      <w:tr w14:paraId="3B3266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742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86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ED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46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918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3F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100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57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53C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F7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CE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E3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79F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D319">
            <w:pPr>
              <w:jc w:val="center"/>
            </w:pPr>
            <w:r>
              <w:rPr>
                <w:rFonts w:ascii="宋体" w:hAnsi="宋体" w:eastAsia="宋体"/>
                <w:sz w:val="16"/>
              </w:rPr>
              <w:t>偏差原因分析及改进措施</w:t>
            </w:r>
          </w:p>
        </w:tc>
      </w:tr>
      <w:tr w14:paraId="69E94A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6FA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780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CB3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8C56">
            <w:pPr>
              <w:jc w:val="center"/>
            </w:pPr>
            <w:r>
              <w:rPr>
                <w:rFonts w:ascii="宋体" w:hAnsi="宋体" w:eastAsia="宋体"/>
                <w:sz w:val="16"/>
              </w:rPr>
              <w:t>制作歌曲数量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9B29">
            <w:pPr>
              <w:jc w:val="center"/>
            </w:pPr>
            <w:r>
              <w:rPr>
                <w:rFonts w:ascii="宋体" w:hAnsi="宋体" w:eastAsia="宋体"/>
                <w:sz w:val="16"/>
              </w:rPr>
              <w:t>=1首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7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E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D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1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AFE4">
            <w:pPr>
              <w:jc w:val="center"/>
            </w:pPr>
            <w:r>
              <w:rPr>
                <w:rFonts w:ascii="宋体" w:hAnsi="宋体" w:eastAsia="宋体"/>
                <w:sz w:val="16"/>
              </w:rPr>
              <w:t>=1首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7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72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8BA1">
            <w:pPr>
              <w:jc w:val="center"/>
            </w:pPr>
          </w:p>
        </w:tc>
      </w:tr>
      <w:tr w14:paraId="30F12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F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E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F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C5DB">
            <w:pPr>
              <w:jc w:val="center"/>
            </w:pPr>
            <w:r>
              <w:rPr>
                <w:rFonts w:ascii="宋体" w:hAnsi="宋体" w:eastAsia="宋体"/>
                <w:sz w:val="16"/>
              </w:rPr>
              <w:t>委托制作公司数量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CB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2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0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A6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C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8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05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5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1D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6ADE">
            <w:pPr>
              <w:jc w:val="center"/>
            </w:pPr>
          </w:p>
        </w:tc>
      </w:tr>
      <w:tr w14:paraId="0D8D9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B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EA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AE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8FB2">
            <w:pPr>
              <w:jc w:val="center"/>
            </w:pPr>
            <w:r>
              <w:rPr>
                <w:rFonts w:ascii="宋体" w:hAnsi="宋体" w:eastAsia="宋体"/>
                <w:sz w:val="16"/>
              </w:rPr>
              <w:t>歌曲制作验收合格率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F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3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88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2A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6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0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9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F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A6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643C">
            <w:pPr>
              <w:jc w:val="center"/>
            </w:pPr>
          </w:p>
        </w:tc>
      </w:tr>
      <w:tr w14:paraId="14501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1B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06A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114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30B0">
            <w:pPr>
              <w:jc w:val="center"/>
            </w:pPr>
            <w:r>
              <w:rPr>
                <w:rFonts w:ascii="宋体" w:hAnsi="宋体" w:eastAsia="宋体"/>
                <w:sz w:val="16"/>
              </w:rPr>
              <w:t>歌曲制作完成及时率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D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E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0C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24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0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0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4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F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6E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1904">
            <w:pPr>
              <w:jc w:val="center"/>
            </w:pPr>
          </w:p>
        </w:tc>
      </w:tr>
      <w:tr w14:paraId="74064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BA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D2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C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F5FB">
            <w:pPr>
              <w:jc w:val="center"/>
            </w:pPr>
            <w:r>
              <w:rPr>
                <w:rFonts w:ascii="宋体" w:hAnsi="宋体" w:eastAsia="宋体"/>
                <w:sz w:val="16"/>
              </w:rPr>
              <w:t>歌曲经费支付及时率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B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A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D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A9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E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1C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9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9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2D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FFF0">
            <w:pPr>
              <w:jc w:val="center"/>
            </w:pPr>
          </w:p>
        </w:tc>
      </w:tr>
      <w:tr w14:paraId="23C76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4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30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F7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443A">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90F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4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3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B4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3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E8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6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D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83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33E3">
            <w:pPr>
              <w:jc w:val="center"/>
            </w:pPr>
          </w:p>
        </w:tc>
      </w:tr>
      <w:tr w14:paraId="2E457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FF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57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86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19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79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5E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8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A58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F0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9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824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8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FA2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A333">
            <w:pPr>
              <w:jc w:val="center"/>
            </w:pPr>
          </w:p>
        </w:tc>
      </w:tr>
      <w:tr w14:paraId="5FD262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4884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A2A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4A5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BF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0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315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C5ED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229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07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AE9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B2B4D"/>
        </w:tc>
      </w:tr>
    </w:tbl>
    <w:p w14:paraId="1AE0D7EB">
      <w:r>
        <w:br w:type="page"/>
      </w:r>
    </w:p>
    <w:p w14:paraId="068428C0">
      <w:pPr>
        <w:spacing w:line="640" w:lineRule="exact"/>
        <w:ind w:firstLine="640"/>
        <w:jc w:val="both"/>
        <w:outlineLvl w:val="2"/>
      </w:pPr>
      <w:r>
        <w:rPr>
          <w:rFonts w:ascii="黑体" w:hAnsi="黑体" w:eastAsia="黑体"/>
          <w:sz w:val="32"/>
        </w:rPr>
        <w:t>十二、其他需说明的事项</w:t>
      </w:r>
    </w:p>
    <w:p w14:paraId="18477489">
      <w:pPr>
        <w:spacing w:line="580" w:lineRule="exact"/>
        <w:ind w:firstLine="640"/>
        <w:jc w:val="both"/>
      </w:pPr>
      <w:r>
        <w:rPr>
          <w:rFonts w:ascii="仿宋_GB2312" w:hAnsi="仿宋_GB2312" w:eastAsia="仿宋_GB2312"/>
          <w:b w:val="0"/>
          <w:sz w:val="32"/>
        </w:rPr>
        <w:t>本部门无其他需说明的事项。</w:t>
      </w:r>
    </w:p>
    <w:p w14:paraId="32177E2E">
      <w:r>
        <w:br w:type="page"/>
      </w:r>
    </w:p>
    <w:p w14:paraId="56C1E93A">
      <w:pPr>
        <w:spacing w:line="240" w:lineRule="auto"/>
        <w:jc w:val="center"/>
        <w:outlineLvl w:val="1"/>
      </w:pPr>
      <w:r>
        <w:rPr>
          <w:rFonts w:ascii="黑体" w:hAnsi="黑体" w:eastAsia="黑体"/>
          <w:sz w:val="32"/>
        </w:rPr>
        <w:t>第三部分 专业名词解释</w:t>
      </w:r>
    </w:p>
    <w:p w14:paraId="14E45C8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0B58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3D41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BA1464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003D3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C5598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11A21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7EBDD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05221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CEE78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22F09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83465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1AD5F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1E2B5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1BB40B">
      <w:r>
        <w:br w:type="page"/>
      </w:r>
    </w:p>
    <w:p w14:paraId="28EA1C0A">
      <w:pPr>
        <w:spacing w:line="240" w:lineRule="auto"/>
        <w:jc w:val="center"/>
        <w:outlineLvl w:val="1"/>
      </w:pPr>
      <w:r>
        <w:rPr>
          <w:rFonts w:ascii="黑体" w:hAnsi="黑体" w:eastAsia="黑体"/>
          <w:sz w:val="32"/>
        </w:rPr>
        <w:t>第四部分 部门决算报表（见附表）</w:t>
      </w:r>
    </w:p>
    <w:p w14:paraId="48BD52A0">
      <w:pPr>
        <w:spacing w:line="240" w:lineRule="auto"/>
        <w:ind w:firstLine="640"/>
        <w:jc w:val="both"/>
      </w:pPr>
      <w:r>
        <w:rPr>
          <w:rFonts w:ascii="仿宋_GB2312" w:hAnsi="仿宋_GB2312" w:eastAsia="仿宋_GB2312"/>
          <w:b w:val="0"/>
          <w:sz w:val="32"/>
        </w:rPr>
        <w:t>一、《收入支出决算总表》</w:t>
      </w:r>
    </w:p>
    <w:p w14:paraId="4ECE77A3">
      <w:pPr>
        <w:spacing w:line="240" w:lineRule="auto"/>
        <w:ind w:firstLine="640"/>
        <w:jc w:val="both"/>
      </w:pPr>
      <w:r>
        <w:rPr>
          <w:rFonts w:ascii="仿宋_GB2312" w:hAnsi="仿宋_GB2312" w:eastAsia="仿宋_GB2312"/>
          <w:b w:val="0"/>
          <w:sz w:val="32"/>
        </w:rPr>
        <w:t>二、《收入决算表》</w:t>
      </w:r>
    </w:p>
    <w:p w14:paraId="32480AF1">
      <w:pPr>
        <w:spacing w:line="240" w:lineRule="auto"/>
        <w:ind w:firstLine="640"/>
        <w:jc w:val="both"/>
      </w:pPr>
      <w:r>
        <w:rPr>
          <w:rFonts w:ascii="仿宋_GB2312" w:hAnsi="仿宋_GB2312" w:eastAsia="仿宋_GB2312"/>
          <w:b w:val="0"/>
          <w:sz w:val="32"/>
        </w:rPr>
        <w:t>三、《支出决算表》</w:t>
      </w:r>
    </w:p>
    <w:p w14:paraId="1D044B46">
      <w:pPr>
        <w:spacing w:line="240" w:lineRule="auto"/>
        <w:ind w:firstLine="640"/>
        <w:jc w:val="both"/>
      </w:pPr>
      <w:r>
        <w:rPr>
          <w:rFonts w:ascii="仿宋_GB2312" w:hAnsi="仿宋_GB2312" w:eastAsia="仿宋_GB2312"/>
          <w:b w:val="0"/>
          <w:sz w:val="32"/>
        </w:rPr>
        <w:t>四、《财政拨款收入支出决算总表》</w:t>
      </w:r>
    </w:p>
    <w:p w14:paraId="11F961B7">
      <w:pPr>
        <w:spacing w:line="240" w:lineRule="auto"/>
        <w:ind w:firstLine="640"/>
        <w:jc w:val="both"/>
      </w:pPr>
      <w:r>
        <w:rPr>
          <w:rFonts w:ascii="仿宋_GB2312" w:hAnsi="仿宋_GB2312" w:eastAsia="仿宋_GB2312"/>
          <w:b w:val="0"/>
          <w:sz w:val="32"/>
        </w:rPr>
        <w:t>五、《一般公共预算财政拨款支出决算表》</w:t>
      </w:r>
    </w:p>
    <w:p w14:paraId="64A567A7">
      <w:pPr>
        <w:spacing w:line="240" w:lineRule="auto"/>
        <w:ind w:firstLine="640"/>
        <w:jc w:val="both"/>
      </w:pPr>
      <w:r>
        <w:rPr>
          <w:rFonts w:ascii="仿宋_GB2312" w:hAnsi="仿宋_GB2312" w:eastAsia="仿宋_GB2312"/>
          <w:b w:val="0"/>
          <w:sz w:val="32"/>
        </w:rPr>
        <w:t>六、《一般公共预算财政拨款基本支出决算表》</w:t>
      </w:r>
    </w:p>
    <w:p w14:paraId="6406A14F">
      <w:pPr>
        <w:spacing w:line="240" w:lineRule="auto"/>
        <w:ind w:firstLine="640"/>
        <w:jc w:val="both"/>
      </w:pPr>
      <w:r>
        <w:rPr>
          <w:rFonts w:ascii="仿宋_GB2312" w:hAnsi="仿宋_GB2312" w:eastAsia="仿宋_GB2312"/>
          <w:b w:val="0"/>
          <w:sz w:val="32"/>
        </w:rPr>
        <w:t>七、《政府性基金预算财政拨款收入支出决算表》</w:t>
      </w:r>
    </w:p>
    <w:p w14:paraId="3A0C7C4E">
      <w:pPr>
        <w:spacing w:line="240" w:lineRule="auto"/>
        <w:ind w:firstLine="640"/>
        <w:jc w:val="both"/>
      </w:pPr>
      <w:r>
        <w:rPr>
          <w:rFonts w:ascii="仿宋_GB2312" w:hAnsi="仿宋_GB2312" w:eastAsia="仿宋_GB2312"/>
          <w:b w:val="0"/>
          <w:sz w:val="32"/>
        </w:rPr>
        <w:t>八、《国有资本经营预算财政拨款收入支出决算表》</w:t>
      </w:r>
    </w:p>
    <w:p w14:paraId="2E10AE7C">
      <w:pPr>
        <w:spacing w:line="240" w:lineRule="auto"/>
        <w:ind w:firstLine="640"/>
        <w:jc w:val="both"/>
      </w:pPr>
      <w:r>
        <w:rPr>
          <w:rFonts w:ascii="仿宋_GB2312" w:hAnsi="仿宋_GB2312" w:eastAsia="仿宋_GB2312"/>
          <w:b w:val="0"/>
          <w:sz w:val="32"/>
        </w:rPr>
        <w:t>九、《财政拨款“三公”经费支出决算表》</w:t>
      </w:r>
    </w:p>
    <w:p w14:paraId="560B2916">
      <w:pPr>
        <w:spacing w:line="240" w:lineRule="auto"/>
        <w:ind w:firstLine="640"/>
        <w:jc w:val="both"/>
      </w:pPr>
    </w:p>
    <w:p w14:paraId="1B530157">
      <w:pPr>
        <w:spacing w:line="240" w:lineRule="auto"/>
        <w:ind w:firstLine="640"/>
        <w:jc w:val="both"/>
      </w:pPr>
    </w:p>
    <w:p w14:paraId="4462FC31">
      <w:pPr>
        <w:spacing w:line="240" w:lineRule="auto"/>
        <w:ind w:firstLine="640"/>
        <w:jc w:val="both"/>
      </w:pPr>
    </w:p>
    <w:p w14:paraId="30ACE925">
      <w:pPr>
        <w:spacing w:line="240" w:lineRule="auto"/>
        <w:ind w:firstLine="640"/>
        <w:jc w:val="both"/>
      </w:pPr>
    </w:p>
    <w:p w14:paraId="6DE77A2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AA11F5"/>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F06079"/>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5839</Words>
  <Characters>6522</Characters>
  <Lines>0</Lines>
  <Paragraphs>0</Paragraphs>
  <TotalTime>14</TotalTime>
  <ScaleCrop>false</ScaleCrop>
  <LinksUpToDate>false</LinksUpToDate>
  <CharactersWithSpaces>6530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