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巴音郭楞蒙古自治州金融服务中心2024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6D6F36">
      <w:r>
        <w:br w:type="page"/>
      </w:r>
    </w:p>
    <w:p w14:paraId="66B39E2A">
      <w:pPr>
        <w:spacing w:line="640" w:lineRule="exact"/>
        <w:jc w:val="center"/>
        <w:outlineLvl w:val="1"/>
      </w:pPr>
      <w:r>
        <w:rPr>
          <w:rFonts w:ascii="黑体" w:hAnsi="黑体" w:eastAsia="黑体"/>
          <w:sz w:val="32"/>
        </w:rPr>
        <w:t>第一部分 部门概况</w:t>
      </w:r>
    </w:p>
    <w:p w14:paraId="49C9A96E">
      <w:pPr>
        <w:spacing w:line="640" w:lineRule="exact"/>
        <w:ind w:firstLine="640"/>
        <w:jc w:val="both"/>
        <w:outlineLvl w:val="2"/>
      </w:pPr>
      <w:r>
        <w:rPr>
          <w:rFonts w:ascii="黑体" w:hAnsi="黑体" w:eastAsia="黑体"/>
          <w:sz w:val="32"/>
        </w:rPr>
        <w:t>一、主要职能</w:t>
      </w:r>
    </w:p>
    <w:p w14:paraId="5663A34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和国家有关银行、证券、期货、保险、信托等金融工作的方针政策和法律法规，以及自治州党委、政府有关地方金融工作的政策和各项决定、决议等，督导、检查落实执行党委、政府有关金融工作的重要工作部署。引导鼓励和支持各类金融机构的改革创新、拓展业务，加大对地方经济和各项事业发展的支持。</w:t>
      </w:r>
    </w:p>
    <w:p w14:paraId="152B8AB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负责巴州的小额贷款公司和担保公司的监督管理、设立、资格初审、备案、变更、退出等工作。</w:t>
      </w:r>
    </w:p>
    <w:p w14:paraId="37A9C5B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全面落实自治区处置非法集资专项整治工作，完成巴州非法集资监测预警平台接入自治区平台，并</w:t>
      </w:r>
      <w:r>
        <w:rPr>
          <w:rFonts w:hint="eastAsia" w:ascii="仿宋_GB2312" w:hAnsi="仿宋_GB2312" w:eastAsia="仿宋_GB2312"/>
          <w:sz w:val="32"/>
          <w:lang w:eastAsia="zh-CN"/>
        </w:rPr>
        <w:t>接入</w:t>
      </w:r>
      <w:r>
        <w:rPr>
          <w:rFonts w:ascii="仿宋_GB2312" w:hAnsi="仿宋_GB2312" w:eastAsia="仿宋_GB2312"/>
          <w:sz w:val="32"/>
        </w:rPr>
        <w:t>八县一市进行运用。</w:t>
      </w:r>
    </w:p>
    <w:p w14:paraId="553029B7">
      <w:pPr>
        <w:spacing w:line="640" w:lineRule="exact"/>
        <w:ind w:firstLine="640"/>
        <w:jc w:val="both"/>
        <w:outlineLvl w:val="2"/>
      </w:pPr>
      <w:r>
        <w:rPr>
          <w:rFonts w:ascii="黑体" w:hAnsi="黑体" w:eastAsia="黑体"/>
          <w:sz w:val="32"/>
        </w:rPr>
        <w:t>二、机构设置及人员情况</w:t>
      </w:r>
    </w:p>
    <w:p w14:paraId="4F7CFC0F">
      <w:pPr>
        <w:spacing w:line="580" w:lineRule="exact"/>
        <w:ind w:firstLine="640"/>
        <w:jc w:val="both"/>
      </w:pPr>
      <w:r>
        <w:rPr>
          <w:rFonts w:ascii="仿宋_GB2312" w:hAnsi="仿宋_GB2312" w:eastAsia="仿宋_GB2312"/>
          <w:sz w:val="32"/>
        </w:rPr>
        <w:t>巴音郭楞蒙古自治州金融服务中心2024年度，实有人数15人，其中：在职人员5人，减少1人；离休人员0人，增加0人；退休人员10人,增加0人。</w:t>
      </w:r>
    </w:p>
    <w:p w14:paraId="3073CB76">
      <w:pPr>
        <w:spacing w:line="580" w:lineRule="exact"/>
        <w:ind w:firstLine="640"/>
        <w:jc w:val="both"/>
      </w:pPr>
      <w:r>
        <w:rPr>
          <w:rFonts w:ascii="仿宋_GB2312" w:hAnsi="仿宋_GB2312" w:eastAsia="仿宋_GB2312"/>
          <w:sz w:val="32"/>
        </w:rPr>
        <w:t>巴音郭楞蒙古自治州金融服务中心无下属预算单位，下设3个科室，分别是：综合科、项目工程科、计财科。</w:t>
      </w:r>
    </w:p>
    <w:p w14:paraId="3D5C098D">
      <w:r>
        <w:br w:type="page"/>
      </w:r>
    </w:p>
    <w:p w14:paraId="1452CBCE">
      <w:pPr>
        <w:spacing w:line="240" w:lineRule="auto"/>
        <w:jc w:val="center"/>
        <w:outlineLvl w:val="1"/>
      </w:pPr>
      <w:r>
        <w:rPr>
          <w:rFonts w:ascii="黑体" w:hAnsi="黑体" w:eastAsia="黑体"/>
          <w:sz w:val="32"/>
        </w:rPr>
        <w:t>第二部分 部门决算情况说明</w:t>
      </w:r>
    </w:p>
    <w:p w14:paraId="7453806D">
      <w:pPr>
        <w:spacing w:line="640" w:lineRule="exact"/>
        <w:ind w:firstLine="640"/>
        <w:jc w:val="both"/>
        <w:outlineLvl w:val="2"/>
      </w:pPr>
      <w:r>
        <w:rPr>
          <w:rFonts w:ascii="黑体" w:hAnsi="黑体" w:eastAsia="黑体"/>
          <w:sz w:val="32"/>
        </w:rPr>
        <w:t>一、收入支出决算总体情况说明</w:t>
      </w:r>
    </w:p>
    <w:p w14:paraId="5A2CBF2E">
      <w:pPr>
        <w:spacing w:line="580" w:lineRule="exact"/>
        <w:ind w:firstLine="640"/>
        <w:jc w:val="both"/>
      </w:pPr>
      <w:r>
        <w:rPr>
          <w:rFonts w:ascii="仿宋_GB2312" w:hAnsi="仿宋_GB2312" w:eastAsia="仿宋_GB2312"/>
          <w:b/>
          <w:sz w:val="32"/>
        </w:rPr>
        <w:t>2024年度收入总计264.04万元，</w:t>
      </w:r>
      <w:r>
        <w:rPr>
          <w:rFonts w:ascii="仿宋_GB2312" w:hAnsi="仿宋_GB2312" w:eastAsia="仿宋_GB2312"/>
          <w:b w:val="0"/>
          <w:sz w:val="32"/>
        </w:rPr>
        <w:t>其中：本年收入合计264.02万元，使用非财政拨款结余（含专用结余）0.00万元，年初结转和结余0.02万元。</w:t>
      </w:r>
    </w:p>
    <w:p w14:paraId="0D828B13">
      <w:pPr>
        <w:spacing w:line="580" w:lineRule="exact"/>
        <w:ind w:firstLine="640"/>
        <w:jc w:val="both"/>
      </w:pPr>
      <w:r>
        <w:rPr>
          <w:rFonts w:ascii="仿宋_GB2312" w:hAnsi="仿宋_GB2312" w:eastAsia="仿宋_GB2312"/>
          <w:b/>
          <w:sz w:val="32"/>
        </w:rPr>
        <w:t>2024年度支出总计264.04万元，</w:t>
      </w:r>
      <w:r>
        <w:rPr>
          <w:rFonts w:ascii="仿宋_GB2312" w:hAnsi="仿宋_GB2312" w:eastAsia="仿宋_GB2312"/>
          <w:b w:val="0"/>
          <w:sz w:val="32"/>
        </w:rPr>
        <w:t>其中：本年支出合计264.02万元，结余分配0.00万元，年末结转和结余0.02万元。</w:t>
      </w:r>
    </w:p>
    <w:p w14:paraId="1BB1846E">
      <w:pPr>
        <w:spacing w:line="580" w:lineRule="exact"/>
        <w:ind w:firstLine="640"/>
        <w:jc w:val="both"/>
      </w:pPr>
      <w:r>
        <w:rPr>
          <w:rFonts w:ascii="仿宋_GB2312" w:hAnsi="仿宋_GB2312" w:eastAsia="仿宋_GB2312"/>
          <w:b w:val="0"/>
          <w:sz w:val="32"/>
        </w:rPr>
        <w:t>收入支出总体与上年相比，增加59.76万元，增长29.25%，主要原因是：本年增加中央财政支持普惠金融发展示范区奖补项目。</w:t>
      </w:r>
    </w:p>
    <w:p w14:paraId="4CD77083">
      <w:pPr>
        <w:spacing w:line="640" w:lineRule="exact"/>
        <w:ind w:firstLine="640"/>
        <w:jc w:val="both"/>
        <w:outlineLvl w:val="2"/>
      </w:pPr>
      <w:r>
        <w:rPr>
          <w:rFonts w:ascii="黑体" w:hAnsi="黑体" w:eastAsia="黑体"/>
          <w:sz w:val="32"/>
        </w:rPr>
        <w:t>二、收入决算情况说明</w:t>
      </w:r>
    </w:p>
    <w:p w14:paraId="015DDDCB">
      <w:pPr>
        <w:spacing w:line="580" w:lineRule="exact"/>
        <w:ind w:firstLine="640"/>
        <w:jc w:val="both"/>
      </w:pPr>
      <w:r>
        <w:rPr>
          <w:rFonts w:ascii="仿宋_GB2312" w:hAnsi="仿宋_GB2312" w:eastAsia="仿宋_GB2312"/>
          <w:b/>
          <w:sz w:val="32"/>
        </w:rPr>
        <w:t>本年收入264.02万元，</w:t>
      </w:r>
      <w:r>
        <w:rPr>
          <w:rFonts w:ascii="仿宋_GB2312" w:hAnsi="仿宋_GB2312" w:eastAsia="仿宋_GB2312"/>
          <w:b w:val="0"/>
          <w:sz w:val="32"/>
        </w:rPr>
        <w:t>其中：财政拨款收入264.02万元，占100.00%；上级补助收入0.00万元，占0.00%；事业收入0.00万元，占0.00%；经营收入0.00万元，占0.00%；附属单位上缴收入0.00万元，占0.00%；其他收入0.00万元，占0.00%。</w:t>
      </w:r>
    </w:p>
    <w:p w14:paraId="27301D21">
      <w:pPr>
        <w:spacing w:line="640" w:lineRule="exact"/>
        <w:ind w:firstLine="640"/>
        <w:jc w:val="both"/>
        <w:outlineLvl w:val="2"/>
      </w:pPr>
      <w:r>
        <w:rPr>
          <w:rFonts w:ascii="黑体" w:hAnsi="黑体" w:eastAsia="黑体"/>
          <w:sz w:val="32"/>
        </w:rPr>
        <w:t>三、支出决算情况说明</w:t>
      </w:r>
    </w:p>
    <w:p w14:paraId="62BF994E">
      <w:pPr>
        <w:spacing w:line="580" w:lineRule="exact"/>
        <w:ind w:firstLine="640"/>
        <w:jc w:val="both"/>
      </w:pPr>
      <w:r>
        <w:rPr>
          <w:rFonts w:ascii="仿宋_GB2312" w:hAnsi="仿宋_GB2312" w:eastAsia="仿宋_GB2312"/>
          <w:b/>
          <w:sz w:val="32"/>
        </w:rPr>
        <w:t>本年支出264.02万元，</w:t>
      </w:r>
      <w:r>
        <w:rPr>
          <w:rFonts w:ascii="仿宋_GB2312" w:hAnsi="仿宋_GB2312" w:eastAsia="仿宋_GB2312"/>
          <w:b w:val="0"/>
          <w:sz w:val="32"/>
        </w:rPr>
        <w:t>其中：基本支出128.54万元，占48.69%；项目支出135.48万元，占51.31%；上缴上级支出0.00万元，占0.00%；经营支出0.00万元，占0.00%；对附属单位补助支出0.00万元，占0.00%。</w:t>
      </w:r>
    </w:p>
    <w:p w14:paraId="5BCAF3A6">
      <w:pPr>
        <w:spacing w:line="640" w:lineRule="exact"/>
        <w:ind w:firstLine="640"/>
        <w:jc w:val="both"/>
        <w:outlineLvl w:val="2"/>
      </w:pPr>
      <w:r>
        <w:rPr>
          <w:rFonts w:ascii="黑体" w:hAnsi="黑体" w:eastAsia="黑体"/>
          <w:sz w:val="32"/>
        </w:rPr>
        <w:t>四、财政拨款收入支出决算总体情况说明</w:t>
      </w:r>
    </w:p>
    <w:p w14:paraId="5A972B9C">
      <w:pPr>
        <w:spacing w:line="580" w:lineRule="exact"/>
        <w:ind w:firstLine="640"/>
        <w:jc w:val="both"/>
      </w:pPr>
      <w:r>
        <w:rPr>
          <w:rFonts w:ascii="仿宋_GB2312" w:hAnsi="仿宋_GB2312" w:eastAsia="仿宋_GB2312"/>
          <w:b/>
          <w:sz w:val="32"/>
        </w:rPr>
        <w:t>2024年度财政拨款收入总计264.02万元，</w:t>
      </w:r>
      <w:r>
        <w:rPr>
          <w:rFonts w:ascii="仿宋_GB2312" w:hAnsi="仿宋_GB2312" w:eastAsia="仿宋_GB2312"/>
          <w:b w:val="0"/>
          <w:sz w:val="32"/>
        </w:rPr>
        <w:t>其中：年初财政拨款结转和结余0.00万元，本年财政拨款收入264.02万元。</w:t>
      </w:r>
      <w:r>
        <w:rPr>
          <w:rFonts w:ascii="仿宋_GB2312" w:hAnsi="仿宋_GB2312" w:eastAsia="仿宋_GB2312"/>
          <w:b/>
          <w:sz w:val="32"/>
        </w:rPr>
        <w:t>财政拨款支出总计264.02万元，</w:t>
      </w:r>
      <w:r>
        <w:rPr>
          <w:rFonts w:ascii="仿宋_GB2312" w:hAnsi="仿宋_GB2312" w:eastAsia="仿宋_GB2312"/>
          <w:b w:val="0"/>
          <w:sz w:val="32"/>
        </w:rPr>
        <w:t>其中：年末财政拨款结转和结余0.00万元，本年财政拨款支出264.02万元。</w:t>
      </w:r>
    </w:p>
    <w:p w14:paraId="03E2F14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增加59.75万元，增长29.25%，主要原因是：本年增加中央财政支持普惠金融发展示范区奖补项目。</w:t>
      </w:r>
      <w:r>
        <w:rPr>
          <w:rFonts w:ascii="仿宋_GB2312" w:hAnsi="仿宋_GB2312" w:eastAsia="仿宋_GB2312"/>
          <w:b/>
          <w:sz w:val="32"/>
        </w:rPr>
        <w:t>与年初预算相比，</w:t>
      </w:r>
      <w:r>
        <w:rPr>
          <w:rFonts w:ascii="仿宋_GB2312" w:hAnsi="仿宋_GB2312" w:eastAsia="仿宋_GB2312"/>
          <w:b w:val="0"/>
          <w:sz w:val="32"/>
        </w:rPr>
        <w:t>年初预算数226.66万元，决算数264.02万元，预决算差异率16.48%，主要原因是：年中追加中央财政支持普惠金融发展示范区奖补项目。</w:t>
      </w:r>
    </w:p>
    <w:p w14:paraId="4964F6BB">
      <w:pPr>
        <w:spacing w:line="640" w:lineRule="exact"/>
        <w:ind w:firstLine="640"/>
        <w:jc w:val="both"/>
        <w:outlineLvl w:val="2"/>
      </w:pPr>
      <w:r>
        <w:rPr>
          <w:rFonts w:ascii="黑体" w:hAnsi="黑体" w:eastAsia="黑体"/>
          <w:sz w:val="32"/>
        </w:rPr>
        <w:t>五、一般公共预算财政拨款支出决算情况说明</w:t>
      </w:r>
    </w:p>
    <w:p w14:paraId="3B314920">
      <w:pPr>
        <w:spacing w:line="640" w:lineRule="exact"/>
        <w:ind w:firstLine="640"/>
        <w:jc w:val="both"/>
        <w:outlineLvl w:val="3"/>
      </w:pPr>
      <w:r>
        <w:rPr>
          <w:rFonts w:ascii="楷体_GB2312" w:hAnsi="楷体_GB2312" w:eastAsia="楷体_GB2312"/>
          <w:b/>
          <w:sz w:val="32"/>
        </w:rPr>
        <w:t>（一）一般公共预算财政拨款支出决算总体情况</w:t>
      </w:r>
    </w:p>
    <w:p w14:paraId="1A1D2EF4">
      <w:pPr>
        <w:spacing w:line="580" w:lineRule="exact"/>
        <w:ind w:firstLine="640"/>
        <w:jc w:val="both"/>
      </w:pPr>
      <w:r>
        <w:rPr>
          <w:rFonts w:ascii="仿宋_GB2312" w:hAnsi="仿宋_GB2312" w:eastAsia="仿宋_GB2312"/>
          <w:b/>
          <w:sz w:val="32"/>
        </w:rPr>
        <w:t>2024年度一般公共预算财政拨款支出264.02万元，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增加59.75万元，增长29.25%，主要原因是：本年增加中央财政支持普惠金融发展示范区奖补项目。</w:t>
      </w:r>
      <w:r>
        <w:rPr>
          <w:rFonts w:ascii="仿宋_GB2312" w:hAnsi="仿宋_GB2312" w:eastAsia="仿宋_GB2312"/>
          <w:b/>
          <w:sz w:val="32"/>
        </w:rPr>
        <w:t>与年初预算相比,</w:t>
      </w:r>
      <w:r>
        <w:rPr>
          <w:rFonts w:ascii="仿宋_GB2312" w:hAnsi="仿宋_GB2312" w:eastAsia="仿宋_GB2312"/>
          <w:b w:val="0"/>
          <w:sz w:val="32"/>
        </w:rPr>
        <w:t>年初预算数226.66万元，决算数264.02万元，预决算差异率16.48%，主要原因是：年中追加中央财政支持普惠金融发展示范区奖补项目。</w:t>
      </w:r>
    </w:p>
    <w:p w14:paraId="4C51D76D">
      <w:pPr>
        <w:spacing w:line="640" w:lineRule="exact"/>
        <w:ind w:firstLine="640"/>
        <w:jc w:val="both"/>
        <w:outlineLvl w:val="3"/>
      </w:pPr>
      <w:r>
        <w:rPr>
          <w:rFonts w:ascii="楷体_GB2312" w:hAnsi="楷体_GB2312" w:eastAsia="楷体_GB2312"/>
          <w:b/>
          <w:sz w:val="32"/>
        </w:rPr>
        <w:t>（二）一般公共预算财政拨款支出决算结构情况</w:t>
      </w:r>
    </w:p>
    <w:p w14:paraId="1EEE5645">
      <w:pPr>
        <w:spacing w:line="580" w:lineRule="exact"/>
        <w:ind w:firstLine="640"/>
        <w:jc w:val="both"/>
      </w:pPr>
      <w:r>
        <w:rPr>
          <w:rFonts w:ascii="仿宋_GB2312" w:hAnsi="仿宋_GB2312" w:eastAsia="仿宋_GB2312"/>
          <w:b w:val="0"/>
          <w:sz w:val="32"/>
        </w:rPr>
        <w:t>1.一般公共服务支出(类)99.78万元,占37.79%。</w:t>
      </w:r>
    </w:p>
    <w:p w14:paraId="281B9E35">
      <w:pPr>
        <w:spacing w:line="580" w:lineRule="exact"/>
        <w:ind w:firstLine="640"/>
        <w:jc w:val="both"/>
      </w:pPr>
      <w:r>
        <w:rPr>
          <w:rFonts w:ascii="仿宋_GB2312" w:hAnsi="仿宋_GB2312" w:eastAsia="仿宋_GB2312"/>
          <w:b w:val="0"/>
          <w:sz w:val="32"/>
        </w:rPr>
        <w:t>2.教育支出(类)0.44万元,占0.17%。</w:t>
      </w:r>
    </w:p>
    <w:p w14:paraId="2A98E864">
      <w:pPr>
        <w:spacing w:line="580" w:lineRule="exact"/>
        <w:ind w:firstLine="640"/>
        <w:jc w:val="both"/>
      </w:pPr>
      <w:r>
        <w:rPr>
          <w:rFonts w:ascii="仿宋_GB2312" w:hAnsi="仿宋_GB2312" w:eastAsia="仿宋_GB2312"/>
          <w:b w:val="0"/>
          <w:sz w:val="32"/>
        </w:rPr>
        <w:t>3.社会保障和就业支出(类)23.32万元,占8.83%。</w:t>
      </w:r>
    </w:p>
    <w:p w14:paraId="251E9BD9">
      <w:pPr>
        <w:spacing w:line="580" w:lineRule="exact"/>
        <w:ind w:firstLine="640"/>
        <w:jc w:val="both"/>
      </w:pPr>
      <w:r>
        <w:rPr>
          <w:rFonts w:ascii="仿宋_GB2312" w:hAnsi="仿宋_GB2312" w:eastAsia="仿宋_GB2312"/>
          <w:b w:val="0"/>
          <w:sz w:val="32"/>
        </w:rPr>
        <w:t>4.卫生健康支出(类)7.62万元,占2.89%。</w:t>
      </w:r>
    </w:p>
    <w:p w14:paraId="3EE773E1">
      <w:pPr>
        <w:spacing w:line="580" w:lineRule="exact"/>
        <w:ind w:firstLine="640"/>
        <w:jc w:val="both"/>
      </w:pPr>
      <w:r>
        <w:rPr>
          <w:rFonts w:ascii="仿宋_GB2312" w:hAnsi="仿宋_GB2312" w:eastAsia="仿宋_GB2312"/>
          <w:b w:val="0"/>
          <w:sz w:val="32"/>
        </w:rPr>
        <w:t>5.农林水支出(类)125万元,占47.34%。</w:t>
      </w:r>
    </w:p>
    <w:p w14:paraId="3A7C1491">
      <w:pPr>
        <w:spacing w:line="580" w:lineRule="exact"/>
        <w:ind w:firstLine="640"/>
        <w:jc w:val="both"/>
      </w:pPr>
      <w:r>
        <w:rPr>
          <w:rFonts w:ascii="仿宋_GB2312" w:hAnsi="仿宋_GB2312" w:eastAsia="仿宋_GB2312"/>
          <w:b w:val="0"/>
          <w:sz w:val="32"/>
        </w:rPr>
        <w:t>6.住房保障支出(类)7.86万元,占2.98%。</w:t>
      </w:r>
    </w:p>
    <w:p w14:paraId="0C0D2401">
      <w:pPr>
        <w:spacing w:line="640" w:lineRule="exact"/>
        <w:ind w:firstLine="640"/>
        <w:jc w:val="both"/>
        <w:outlineLvl w:val="3"/>
      </w:pPr>
      <w:r>
        <w:rPr>
          <w:rFonts w:ascii="楷体_GB2312" w:hAnsi="楷体_GB2312" w:eastAsia="楷体_GB2312"/>
          <w:b/>
          <w:sz w:val="32"/>
        </w:rPr>
        <w:t>（三）一般公共预算财政拨款支出决算具体情况</w:t>
      </w:r>
    </w:p>
    <w:p w14:paraId="32B43078">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1.一般公共服务支出(类)政府办公厅（室）及相关机构事务(款)行政运行(项):支出决算数为89.3万元，比上年决算减少27.29万元，下降23.41%,主要原因是：本年在职人员减少，相应人员经费较上年减少。</w:t>
      </w:r>
    </w:p>
    <w:p w14:paraId="333B9320">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2.一般公共服务支出(类)政府办公厅（室）及相关机构事务(款)一般行政管理事务(项):支出决算数为10.48万元，比上年决算减少27.78万元，下降72.61%,主要原因是：本年减少金融风险防控及处置非法集资工作项目。</w:t>
      </w:r>
    </w:p>
    <w:p w14:paraId="22EDD3C8">
      <w:pPr>
        <w:spacing w:line="580" w:lineRule="exact"/>
        <w:ind w:firstLine="640"/>
        <w:jc w:val="both"/>
      </w:pPr>
      <w:r>
        <w:rPr>
          <w:rFonts w:ascii="仿宋_GB2312" w:hAnsi="仿宋_GB2312" w:eastAsia="仿宋_GB2312"/>
          <w:b w:val="0"/>
          <w:sz w:val="32"/>
        </w:rPr>
        <w:t>3.教育支出(类)进修及培训(款)培训支出(项):支出决算数为0.44万元，比上年决算增加0.44万元，增长100.00%,主要原因是：本年增加外出参加自治区举办金融、小额贷款相关业务培训安排。</w:t>
      </w:r>
    </w:p>
    <w:p w14:paraId="323D3C5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4.社会保障和就业支出(类)行政事业单位养老支出(款)行政单位离退休(项):支出决算数为11.37万元，比上年决算增加2.68万元，增长30.84%,主要原因是：本年度增加退休人员年度绩效考核增加，退休费支出增加。</w:t>
      </w:r>
    </w:p>
    <w:p w14:paraId="052614E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11.94万元，比上年决算减少1.55万元，下降11.49%,主要原因是：本年在职人员减少，单位基本养老保险缴费较上年减少。</w:t>
      </w:r>
    </w:p>
    <w:p w14:paraId="2FF7024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7.44万元，下降100.00%,主要原因是：本年无新增退休人员，职业年金缴费较上年减少。</w:t>
      </w:r>
    </w:p>
    <w:p w14:paraId="493950F9">
      <w:pPr>
        <w:spacing w:line="580" w:lineRule="exact"/>
        <w:ind w:firstLine="640"/>
        <w:jc w:val="both"/>
      </w:pPr>
      <w:r>
        <w:rPr>
          <w:rFonts w:ascii="仿宋_GB2312" w:hAnsi="仿宋_GB2312" w:eastAsia="仿宋_GB2312"/>
          <w:b w:val="0"/>
          <w:sz w:val="32"/>
        </w:rPr>
        <w:t>7.卫生健康支出(类)行政事业单位医疗(款)行政单位医疗(项):支出决算数为5.23万元，比上年决算减少0.67万元，下降11.36%,主要原因是：本年在职人员减少，行政单位医疗支出较上年减少。</w:t>
      </w:r>
    </w:p>
    <w:p w14:paraId="4F66D3CC">
      <w:pPr>
        <w:spacing w:line="580" w:lineRule="exact"/>
        <w:ind w:firstLine="640"/>
        <w:jc w:val="both"/>
      </w:pPr>
      <w:r>
        <w:rPr>
          <w:rFonts w:ascii="仿宋_GB2312" w:hAnsi="仿宋_GB2312" w:eastAsia="仿宋_GB2312"/>
          <w:b w:val="0"/>
          <w:sz w:val="32"/>
        </w:rPr>
        <w:t>8.卫生健康支出(类)行政事业单位医疗(款)公务员医疗补助(项):支出决算数为2.24万元，比上年决算减少0.36万元，下降13.85%,主要原因是：本年在职人员减少，公务员医疗支出较上年减少。</w:t>
      </w:r>
    </w:p>
    <w:p w14:paraId="6B41AA41">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9.卫生健康支出(类)行政事业单位医疗(款)其他行政事业单位医疗支出(项):支出决算数为0.15万元，比上年决算减少0.29万元，下降65.91%,主要原因是：本年在职人员减少，大病医疗保险支出较上年减少。</w:t>
      </w:r>
    </w:p>
    <w:p w14:paraId="7B32A412">
      <w:pPr>
        <w:spacing w:line="580" w:lineRule="exact"/>
        <w:ind w:firstLine="640"/>
        <w:jc w:val="both"/>
      </w:pPr>
      <w:r>
        <w:rPr>
          <w:rFonts w:ascii="仿宋_GB2312" w:hAnsi="仿宋_GB2312" w:eastAsia="仿宋_GB2312"/>
          <w:b w:val="0"/>
          <w:sz w:val="32"/>
        </w:rPr>
        <w:t>10.农林水支出(类)普惠金融发展支出(款)其他普惠金融发展支出(项):支出决算数为125万元，比上年决算增加125.00万元，增长100.00%,主要原因是：本年增加中央财政支持普惠金融发展示范区奖补项目。</w:t>
      </w:r>
    </w:p>
    <w:p w14:paraId="2F2B43C3">
      <w:pPr>
        <w:spacing w:line="580" w:lineRule="exact"/>
        <w:ind w:firstLine="640"/>
        <w:jc w:val="both"/>
      </w:pPr>
      <w:r>
        <w:rPr>
          <w:rFonts w:ascii="仿宋_GB2312" w:hAnsi="仿宋_GB2312" w:eastAsia="仿宋_GB2312"/>
          <w:b w:val="0"/>
          <w:sz w:val="32"/>
        </w:rPr>
        <w:t>11.住房保障支出(类)住房改革支出(款)住房公积金(项):支出决算数为7.86万元，比上年决算减少2.99万元，下降27.56%,主要原因是：本年在职人员减少，住房公积金缴费较上年减少。</w:t>
      </w:r>
    </w:p>
    <w:p w14:paraId="14C01367">
      <w:pPr>
        <w:spacing w:line="640" w:lineRule="exact"/>
        <w:ind w:firstLine="640"/>
        <w:jc w:val="both"/>
        <w:outlineLvl w:val="2"/>
      </w:pPr>
      <w:r>
        <w:rPr>
          <w:rFonts w:ascii="黑体" w:hAnsi="黑体" w:eastAsia="黑体"/>
          <w:sz w:val="32"/>
        </w:rPr>
        <w:t>六、一般公共预算财政拨款基本支出决算情况说明</w:t>
      </w:r>
    </w:p>
    <w:p w14:paraId="4BF0EDA9">
      <w:pPr>
        <w:spacing w:line="580" w:lineRule="exact"/>
        <w:ind w:firstLine="640"/>
        <w:jc w:val="both"/>
      </w:pPr>
      <w:r>
        <w:rPr>
          <w:rFonts w:ascii="仿宋_GB2312" w:hAnsi="仿宋_GB2312" w:eastAsia="仿宋_GB2312"/>
          <w:b w:val="0"/>
          <w:sz w:val="32"/>
        </w:rPr>
        <w:t>2024年度一般公共预算财政拨款基本支出128.54万元，其中：</w:t>
      </w:r>
      <w:r>
        <w:rPr>
          <w:rFonts w:ascii="仿宋_GB2312" w:hAnsi="仿宋_GB2312" w:eastAsia="仿宋_GB2312"/>
          <w:b/>
          <w:sz w:val="32"/>
        </w:rPr>
        <w:t>人员经费119.81万元，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包括：基本工资、津贴补贴、奖金、伙食补助费、机关事业单位基本养老保险缴费、职工基本医疗保险缴费、公务员医疗补助缴费、其他社会保障缴费、住房公积金、医疗费、退休费、生活补助、奖励金。</w:t>
      </w:r>
    </w:p>
    <w:p w14:paraId="3D9D80AC">
      <w:pPr>
        <w:spacing w:line="580" w:lineRule="exact"/>
        <w:ind w:firstLine="640"/>
        <w:jc w:val="both"/>
      </w:pPr>
      <w:r>
        <w:rPr>
          <w:rFonts w:ascii="仿宋_GB2312" w:hAnsi="仿宋_GB2312" w:eastAsia="仿宋_GB2312"/>
          <w:b/>
          <w:sz w:val="32"/>
        </w:rPr>
        <w:t>公用经费8.72万元，</w:t>
      </w:r>
      <w:r>
        <w:rPr>
          <w:rFonts w:ascii="仿宋_GB2312" w:hAnsi="仿宋_GB2312" w:eastAsia="仿宋_GB2312"/>
          <w:b w:val="0"/>
          <w:sz w:val="32"/>
        </w:rPr>
        <w:t>包括：办公费、手续费、水费、电费、邮电费、取暖费、物业管理费、差旅费、培训费、劳务费、工会经费、福利费、公务用车运行维护费、其他商品和服务支出。</w:t>
      </w:r>
    </w:p>
    <w:p w14:paraId="155AED11">
      <w:pPr>
        <w:spacing w:line="640" w:lineRule="exact"/>
        <w:ind w:firstLine="640"/>
        <w:jc w:val="both"/>
        <w:outlineLvl w:val="2"/>
      </w:pPr>
      <w:r>
        <w:rPr>
          <w:rFonts w:ascii="黑体" w:hAnsi="黑体" w:eastAsia="黑体"/>
          <w:sz w:val="32"/>
        </w:rPr>
        <w:t>七、政府性基金预算财政拨款收入支出决算情况说明</w:t>
      </w:r>
    </w:p>
    <w:p w14:paraId="00226304">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C56D1D7">
      <w:pPr>
        <w:spacing w:line="640" w:lineRule="exact"/>
        <w:ind w:firstLine="640"/>
        <w:jc w:val="both"/>
        <w:outlineLvl w:val="2"/>
      </w:pPr>
      <w:r>
        <w:rPr>
          <w:rFonts w:ascii="黑体" w:hAnsi="黑体" w:eastAsia="黑体"/>
          <w:sz w:val="32"/>
        </w:rPr>
        <w:t>八、国有资本经营预算财政拨款收入支出决算情况说明</w:t>
      </w:r>
    </w:p>
    <w:p w14:paraId="66B7F954">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BC39DB5">
      <w:pPr>
        <w:spacing w:line="640" w:lineRule="exact"/>
        <w:ind w:firstLine="640"/>
        <w:jc w:val="both"/>
        <w:outlineLvl w:val="2"/>
      </w:pPr>
      <w:r>
        <w:rPr>
          <w:rFonts w:ascii="黑体" w:hAnsi="黑体" w:eastAsia="黑体"/>
          <w:sz w:val="32"/>
        </w:rPr>
        <w:t>九、财政拨款“三公”经费支出决算情况说明</w:t>
      </w:r>
    </w:p>
    <w:p w14:paraId="2D54F2D8">
      <w:pPr>
        <w:spacing w:line="580" w:lineRule="exact"/>
        <w:ind w:firstLine="640"/>
        <w:jc w:val="both"/>
      </w:pPr>
      <w:r>
        <w:rPr>
          <w:rFonts w:ascii="仿宋_GB2312" w:hAnsi="仿宋_GB2312" w:eastAsia="仿宋_GB2312"/>
          <w:b/>
          <w:sz w:val="32"/>
        </w:rPr>
        <w:t>2024年度财政拨款“三公”经费支出1.38万元，</w:t>
      </w:r>
      <w:r>
        <w:rPr>
          <w:rFonts w:ascii="仿宋_GB2312" w:hAnsi="仿宋_GB2312" w:eastAsia="仿宋_GB2312"/>
          <w:b w:val="0"/>
          <w:sz w:val="32"/>
        </w:rPr>
        <w:t>比上年减少1.11万元，下降44.58%，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1.38万元，占100.00%，比上年减少1.11万元，下降44.58%，主要原因是：严格落实中央八项规定精神，厉行节约，减少公务用车运行维护费。公务接待费支出0.00万元，占0.00%，比上年增加0.00万元，增长0.00%，主要原因是：2023年与2024年均未安排公务接待费支出。</w:t>
      </w:r>
    </w:p>
    <w:p w14:paraId="76BC05DA">
      <w:pPr>
        <w:spacing w:line="580" w:lineRule="exact"/>
        <w:ind w:firstLine="640"/>
        <w:jc w:val="both"/>
      </w:pPr>
      <w:r>
        <w:rPr>
          <w:rFonts w:ascii="仿宋_GB2312" w:hAnsi="仿宋_GB2312" w:eastAsia="仿宋_GB2312"/>
          <w:b/>
          <w:sz w:val="32"/>
        </w:rPr>
        <w:t>具体情况如下：</w:t>
      </w:r>
    </w:p>
    <w:p w14:paraId="5363D07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88D4F3E">
      <w:pPr>
        <w:spacing w:line="580" w:lineRule="exact"/>
        <w:ind w:firstLine="640"/>
        <w:jc w:val="both"/>
      </w:pPr>
      <w:r>
        <w:rPr>
          <w:rFonts w:ascii="仿宋_GB2312" w:hAnsi="仿宋_GB2312" w:eastAsia="仿宋_GB2312"/>
          <w:b w:val="0"/>
          <w:sz w:val="32"/>
        </w:rPr>
        <w:t>公务用车购置及运行维护费1.38万元，其中：公务用车购置费0.00万元，公务用车运行维护费1.38万元。公务用车运行维护费开支内容包括车辆加油费、保险费、过路费、维修费。公务用车购置数0辆，公务用车保有量1辆。国有资产占用情况中固定资产车辆1辆，与公务用车保有量差异原因是：本部门固定资产车辆与公务用车保有量一致无差异。</w:t>
      </w:r>
    </w:p>
    <w:p w14:paraId="398458A9">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56FD5C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1.38万元，决算数1.38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1.38万元，决算数1.38万元，预决算差异率0.00%，主要原因是：严格按照预算执行，预决算无差异。公务接待费全年预算数0.00万元，决算数0.00万元，预决算差异率0.00%，主要原因是：本部门无公务接待费。</w:t>
      </w:r>
    </w:p>
    <w:p w14:paraId="2A58D4E9">
      <w:pPr>
        <w:spacing w:line="640" w:lineRule="exact"/>
        <w:ind w:firstLine="640"/>
        <w:jc w:val="both"/>
        <w:outlineLvl w:val="2"/>
      </w:pPr>
      <w:r>
        <w:rPr>
          <w:rFonts w:ascii="黑体" w:hAnsi="黑体" w:eastAsia="黑体"/>
          <w:sz w:val="32"/>
        </w:rPr>
        <w:t>十、其他重要事项的情况说明</w:t>
      </w:r>
    </w:p>
    <w:p w14:paraId="0AAAB190">
      <w:pPr>
        <w:spacing w:line="640" w:lineRule="exact"/>
        <w:ind w:firstLine="640"/>
        <w:jc w:val="both"/>
        <w:outlineLvl w:val="3"/>
      </w:pPr>
      <w:r>
        <w:rPr>
          <w:rFonts w:ascii="楷体_GB2312" w:hAnsi="楷体_GB2312" w:eastAsia="楷体_GB2312"/>
          <w:b/>
          <w:sz w:val="32"/>
        </w:rPr>
        <w:t>（一）机关运行经费及公用经费支出情况</w:t>
      </w:r>
    </w:p>
    <w:p w14:paraId="121872B5">
      <w:pPr>
        <w:spacing w:line="580" w:lineRule="exact"/>
        <w:ind w:firstLine="640"/>
        <w:jc w:val="both"/>
      </w:pPr>
      <w:r>
        <w:rPr>
          <w:rFonts w:ascii="仿宋_GB2312" w:hAnsi="仿宋_GB2312" w:eastAsia="仿宋_GB2312"/>
          <w:b w:val="0"/>
          <w:sz w:val="32"/>
        </w:rPr>
        <w:t>2024年度巴音郭楞蒙古自治州金融服务中心（行政单位和参照公务员法管理事业单位）机关运行经费支出8.72万元，比上年减少0.04万元，下降0.46%，主要原因是：严控经费支出，厉行节约，减少经费支出。</w:t>
      </w:r>
    </w:p>
    <w:p w14:paraId="5B2C1CFB">
      <w:pPr>
        <w:spacing w:line="640" w:lineRule="exact"/>
        <w:ind w:firstLine="640"/>
        <w:jc w:val="both"/>
        <w:outlineLvl w:val="3"/>
      </w:pPr>
      <w:r>
        <w:rPr>
          <w:rFonts w:ascii="楷体_GB2312" w:hAnsi="楷体_GB2312" w:eastAsia="楷体_GB2312"/>
          <w:b/>
          <w:sz w:val="32"/>
        </w:rPr>
        <w:t>（二）政府采购情况</w:t>
      </w:r>
    </w:p>
    <w:p w14:paraId="4FA5B238">
      <w:pPr>
        <w:spacing w:line="580" w:lineRule="exact"/>
        <w:ind w:firstLine="640"/>
        <w:jc w:val="both"/>
      </w:pPr>
      <w:r>
        <w:rPr>
          <w:rFonts w:ascii="仿宋_GB2312" w:hAnsi="仿宋_GB2312" w:eastAsia="仿宋_GB2312"/>
          <w:b w:val="0"/>
          <w:sz w:val="32"/>
        </w:rPr>
        <w:t>2024年度政府采购支出总额1.28万元，其中：政府采购货物支出0.00万元、政府采购工程支出0.00万元、政府采购服务支出1.28万元。</w:t>
      </w:r>
    </w:p>
    <w:p w14:paraId="04A1C272">
      <w:pPr>
        <w:spacing w:line="580" w:lineRule="exact"/>
        <w:ind w:firstLine="640"/>
        <w:jc w:val="both"/>
      </w:pPr>
      <w:r>
        <w:rPr>
          <w:rFonts w:ascii="仿宋_GB2312" w:hAnsi="仿宋_GB2312" w:eastAsia="仿宋_GB2312"/>
          <w:b w:val="0"/>
          <w:sz w:val="32"/>
        </w:rPr>
        <w:t>授予中小企业合同金额1.28万元，占政府采购支出总额的100.00%，其中：授予小微企业合同金额1.28万元，占政府采购支出总额的100.00%。</w:t>
      </w:r>
    </w:p>
    <w:p w14:paraId="1BECB39F">
      <w:pPr>
        <w:spacing w:line="640" w:lineRule="exact"/>
        <w:ind w:firstLine="640"/>
        <w:jc w:val="both"/>
        <w:outlineLvl w:val="3"/>
      </w:pPr>
      <w:r>
        <w:rPr>
          <w:rFonts w:ascii="楷体_GB2312" w:hAnsi="楷体_GB2312" w:eastAsia="楷体_GB2312"/>
          <w:b/>
          <w:sz w:val="32"/>
        </w:rPr>
        <w:t>（三）国有资产占用情况说明</w:t>
      </w:r>
    </w:p>
    <w:p w14:paraId="4C67AAEB">
      <w:pPr>
        <w:spacing w:line="580" w:lineRule="exact"/>
        <w:ind w:firstLine="640"/>
        <w:jc w:val="both"/>
      </w:pPr>
      <w:r>
        <w:rPr>
          <w:rFonts w:ascii="仿宋_GB2312" w:hAnsi="仿宋_GB2312" w:eastAsia="仿宋_GB2312"/>
          <w:b w:val="0"/>
          <w:sz w:val="32"/>
        </w:rPr>
        <w:t>截至2024年12月31日，房屋1,018.70平方米，价值242.45万元。车辆1辆，价值83.60万元，其中：副部（省）级及以上领导用车0辆、主要负责人用车0辆、机要通信用车0辆、应急保障用车0辆、执法执勤用车0辆、特种专业技术用车0辆、离退休干部服务用车0辆、其他用车1辆，其他用车主要是：日常办公用车。单价100万元（含）以上设备（不含车辆）0台（套）。</w:t>
      </w:r>
    </w:p>
    <w:p w14:paraId="47E53E95">
      <w:pPr>
        <w:spacing w:line="640" w:lineRule="exact"/>
        <w:ind w:firstLine="640"/>
        <w:jc w:val="both"/>
        <w:outlineLvl w:val="2"/>
      </w:pPr>
      <w:r>
        <w:rPr>
          <w:rFonts w:ascii="黑体" w:hAnsi="黑体" w:eastAsia="黑体"/>
          <w:sz w:val="32"/>
        </w:rPr>
        <w:t>十一、预算绩效的情况说明</w:t>
      </w:r>
    </w:p>
    <w:p w14:paraId="3D584C2D">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264.04万元，实际执行总额264.02万元；预算绩效评价项目2个，全年预算数180.00万元，全年执行数135.48万元。预算绩效管理取得的成效：一是细化绩效管理，将绩效目标细化到每项资金，将管理责任分解到具体人，大大提高了绩效管理的可操作性；二是强化绩效意识，使“花钱必问效，无效必问责”的管理要求深入到每个干部心里。发现的问题及原因：一是在绩效目标编制上依然有欠缺，绩效目标设立不够明确、细化和量化；二是单位部门对绩效监控认识不到位，对绩效监控重视力度不够。下一步改进措施：一是大力强化宣传，加强政策学习，提高思想认识，提高绩效监控认同感。首先要从部门实际入手，进行深刻剖析，分析实施绩效监控的重要性和意义，激发部门单位对实施绩效监控的积极性；二是着力推动绩效运行监控与部门内部控制管理相结合，发现问题及时纠正，确保绩效监控结果的客观性和准确性。具体附部门整体支出绩效自评表，项目支出绩效自评表和部门评价报告。</w:t>
      </w:r>
    </w:p>
    <w:p w14:paraId="6A898FF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B1F237F">
        <w:tblPrEx>
          <w:tblCellMar>
            <w:top w:w="0" w:type="dxa"/>
            <w:left w:w="108" w:type="dxa"/>
            <w:bottom w:w="0" w:type="dxa"/>
            <w:right w:w="108" w:type="dxa"/>
          </w:tblCellMar>
        </w:tblPrEx>
        <w:tc>
          <w:tcPr>
            <w:tcW w:w="8840" w:type="dxa"/>
            <w:gridSpan w:val="8"/>
            <w:vAlign w:val="center"/>
          </w:tcPr>
          <w:p w14:paraId="2A83C391">
            <w:pPr>
              <w:jc w:val="center"/>
            </w:pPr>
            <w:r>
              <w:rPr>
                <w:rFonts w:ascii="宋体" w:hAnsi="宋体" w:eastAsia="宋体"/>
                <w:sz w:val="24"/>
              </w:rPr>
              <w:t>部门整体支出绩效自评表</w:t>
            </w:r>
          </w:p>
        </w:tc>
      </w:tr>
      <w:tr w14:paraId="76BA560A">
        <w:tblPrEx>
          <w:tblCellMar>
            <w:top w:w="0" w:type="dxa"/>
            <w:left w:w="108" w:type="dxa"/>
            <w:bottom w:w="0" w:type="dxa"/>
            <w:right w:w="108" w:type="dxa"/>
          </w:tblCellMar>
        </w:tblPrEx>
        <w:tc>
          <w:tcPr>
            <w:tcW w:w="8840" w:type="dxa"/>
            <w:gridSpan w:val="8"/>
            <w:vAlign w:val="center"/>
          </w:tcPr>
          <w:p w14:paraId="4F23DB39">
            <w:pPr>
              <w:jc w:val="center"/>
            </w:pPr>
            <w:r>
              <w:rPr>
                <w:rFonts w:ascii="宋体" w:hAnsi="宋体" w:eastAsia="宋体"/>
                <w:sz w:val="24"/>
              </w:rPr>
              <w:t>（2024年度）</w:t>
            </w:r>
          </w:p>
        </w:tc>
      </w:tr>
      <w:tr w14:paraId="5ECD95C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800F9">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3B3C6">
            <w:pPr>
              <w:jc w:val="center"/>
            </w:pPr>
            <w:r>
              <w:rPr>
                <w:rFonts w:ascii="宋体" w:hAnsi="宋体" w:eastAsia="宋体"/>
                <w:sz w:val="16"/>
              </w:rPr>
              <w:t>巴音郭楞蒙古自治州金融服务中心</w:t>
            </w:r>
          </w:p>
        </w:tc>
      </w:tr>
      <w:tr w14:paraId="0B99CCE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5683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5C20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7DFA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20E2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9AFF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80FA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DB34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6D708">
            <w:pPr>
              <w:jc w:val="center"/>
            </w:pPr>
            <w:r>
              <w:rPr>
                <w:rFonts w:ascii="宋体" w:hAnsi="宋体" w:eastAsia="宋体"/>
                <w:sz w:val="16"/>
              </w:rPr>
              <w:t>得分</w:t>
            </w:r>
          </w:p>
        </w:tc>
      </w:tr>
      <w:tr w14:paraId="6813C7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5EBC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9F61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B53F6">
            <w:pPr>
              <w:jc w:val="center"/>
            </w:pPr>
            <w:r>
              <w:rPr>
                <w:rFonts w:ascii="宋体" w:hAnsi="宋体" w:eastAsia="宋体"/>
                <w:sz w:val="16"/>
              </w:rPr>
              <w:t>226.66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C617B">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E64FF">
            <w:pPr>
              <w:jc w:val="center"/>
            </w:pPr>
            <w:r>
              <w:rPr>
                <w:rFonts w:ascii="宋体" w:hAnsi="宋体" w:eastAsia="宋体"/>
                <w:sz w:val="16"/>
              </w:rPr>
              <w:t>264.02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ED43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6F1CC">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27B2E">
            <w:pPr>
              <w:jc w:val="center"/>
            </w:pPr>
            <w:r>
              <w:rPr>
                <w:rFonts w:ascii="宋体" w:hAnsi="宋体" w:eastAsia="宋体"/>
                <w:sz w:val="16"/>
              </w:rPr>
              <w:t>9.99</w:t>
            </w:r>
          </w:p>
        </w:tc>
      </w:tr>
      <w:tr w14:paraId="7C79A0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7CCB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D1FD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3B1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C05B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9144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AC9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5BB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7082F">
            <w:pPr>
              <w:jc w:val="center"/>
            </w:pPr>
            <w:r>
              <w:rPr>
                <w:rFonts w:ascii="宋体" w:hAnsi="宋体" w:eastAsia="宋体"/>
                <w:sz w:val="16"/>
              </w:rPr>
              <w:t>-</w:t>
            </w:r>
          </w:p>
        </w:tc>
      </w:tr>
      <w:tr w14:paraId="15F28B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5DF9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CE931">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3B17F">
            <w:pPr>
              <w:jc w:val="center"/>
            </w:pPr>
            <w:r>
              <w:rPr>
                <w:rFonts w:ascii="宋体" w:hAnsi="宋体" w:eastAsia="宋体"/>
                <w:sz w:val="16"/>
              </w:rPr>
              <w:t>226.66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AE2E4">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A62FE">
            <w:pPr>
              <w:jc w:val="center"/>
            </w:pPr>
            <w:r>
              <w:rPr>
                <w:rFonts w:ascii="宋体" w:hAnsi="宋体" w:eastAsia="宋体"/>
                <w:sz w:val="16"/>
              </w:rPr>
              <w:t>264.02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6E8A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BC7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EBF0D">
            <w:pPr>
              <w:jc w:val="center"/>
            </w:pPr>
            <w:r>
              <w:rPr>
                <w:rFonts w:ascii="宋体" w:hAnsi="宋体" w:eastAsia="宋体"/>
                <w:sz w:val="16"/>
              </w:rPr>
              <w:t>-</w:t>
            </w:r>
          </w:p>
        </w:tc>
      </w:tr>
      <w:tr w14:paraId="1A0273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5D8F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51EC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E218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4807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56C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F48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DA0F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D8605">
            <w:pPr>
              <w:jc w:val="center"/>
            </w:pPr>
            <w:r>
              <w:rPr>
                <w:rFonts w:ascii="宋体" w:hAnsi="宋体" w:eastAsia="宋体"/>
                <w:sz w:val="16"/>
              </w:rPr>
              <w:t>-</w:t>
            </w:r>
          </w:p>
        </w:tc>
      </w:tr>
      <w:tr w14:paraId="5450025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FB32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CC35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08C7C6">
            <w:pPr>
              <w:jc w:val="center"/>
            </w:pPr>
            <w:r>
              <w:rPr>
                <w:rFonts w:ascii="宋体" w:hAnsi="宋体" w:eastAsia="宋体"/>
                <w:sz w:val="16"/>
              </w:rPr>
              <w:t>实际完成情况</w:t>
            </w:r>
          </w:p>
        </w:tc>
      </w:tr>
      <w:tr w14:paraId="0444B9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1FCA1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A2996">
            <w:pPr>
              <w:jc w:val="both"/>
            </w:pPr>
            <w:r>
              <w:rPr>
                <w:rFonts w:ascii="宋体" w:hAnsi="宋体" w:eastAsia="宋体"/>
                <w:sz w:val="16"/>
              </w:rPr>
              <w:t>坚持以习近平新时代中国特色社会主义思想为指导,深入贯彻落实党的二十大精神和习近平总书记重要讲话重要指示批示精神,贯彻落实新时代党的治疆方略，深入贯彻落实自治区党委十届九次、自治州党委十一届七次全会精神，围绕自治区八大产业集群，自治州石油石化、新能源等重要领域，协调各金融机构加大信贷支持力度，加快推进企业上市步伐，充分发挥金融服务实体经济作用。通过人员经费，保障单位在职人员及离退休人员工资、社保、公积金等，通过公用经费，保证</w:t>
            </w:r>
            <w:r>
              <w:rPr>
                <w:rFonts w:hint="eastAsia" w:ascii="宋体" w:hAnsi="宋体"/>
                <w:sz w:val="16"/>
                <w:lang w:eastAsia="zh-CN"/>
              </w:rPr>
              <w:t>本部门</w:t>
            </w:r>
            <w:r>
              <w:rPr>
                <w:rFonts w:ascii="宋体" w:hAnsi="宋体" w:eastAsia="宋体"/>
                <w:sz w:val="16"/>
              </w:rPr>
              <w:t>整体工作正常运行。搭建政府、金融机构和企业沟通合作平台，牵头组织防范和处置非法集资。协调组织防范化解地方金融风险和突发事件。</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C4D8F9">
            <w:pPr>
              <w:jc w:val="both"/>
            </w:pPr>
            <w:r>
              <w:rPr>
                <w:rFonts w:ascii="宋体" w:hAnsi="宋体" w:eastAsia="宋体"/>
                <w:sz w:val="16"/>
              </w:rPr>
              <w:t>保证</w:t>
            </w:r>
            <w:r>
              <w:rPr>
                <w:rFonts w:hint="eastAsia" w:ascii="宋体" w:hAnsi="宋体"/>
                <w:sz w:val="16"/>
                <w:lang w:eastAsia="zh-CN"/>
              </w:rPr>
              <w:t>本部门</w:t>
            </w:r>
            <w:r>
              <w:rPr>
                <w:rFonts w:ascii="宋体" w:hAnsi="宋体" w:eastAsia="宋体"/>
                <w:sz w:val="16"/>
              </w:rPr>
              <w:t>整体工作正常运行基础下，搭建政府、金融机构和企业沟通合作平台，牵头组织防范和处置非法集资。协调组织防范化解地方金融风险和突发事件。主要工作完成情况：一是组织开展“7+4”类机构年审、现场检查及日常监管6次，加强地方法人银行风险化解、企业信贷信用风险等重点领域金融风险防控，营造良好金融生态环境；二是组织召开“政银企”对接会及开展“政银企直通车”服务中小企业融资专项行动4次，加强沟通联系，及时将融资需求推送给金融机构，较好地发挥了金融助力自治州经济高质量发展的支撑作用；三是正常使用自治区非法集资监测预警平台32个，充分发挥非法集资监测平台作用，常态化开展风险隐患排查，实现早发现、早预警、早处置；四是全州非法集资案件处置和化解率达到83.33%，积极协调公检法等相关部门加快非法集资案件化解处置，稳妥有序化解存量风险、遏制增量风险。</w:t>
            </w:r>
          </w:p>
        </w:tc>
      </w:tr>
      <w:tr w14:paraId="0C2F794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3420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C905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BA92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663D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4441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EA33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BF9B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C7FD2">
            <w:pPr>
              <w:jc w:val="center"/>
            </w:pPr>
            <w:r>
              <w:rPr>
                <w:rFonts w:ascii="宋体" w:hAnsi="宋体" w:eastAsia="宋体"/>
                <w:sz w:val="16"/>
              </w:rPr>
              <w:t>得分</w:t>
            </w:r>
          </w:p>
        </w:tc>
      </w:tr>
      <w:tr w14:paraId="57D87C6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8C2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5A97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E547D">
            <w:pPr>
              <w:jc w:val="center"/>
            </w:pPr>
            <w:r>
              <w:rPr>
                <w:rFonts w:ascii="宋体" w:hAnsi="宋体" w:eastAsia="宋体"/>
                <w:sz w:val="16"/>
              </w:rPr>
              <w:t>组织开展“7+4”类机构年审、现场检查及日常监管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1171F">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4BA5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67E6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438A9">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D05AA">
            <w:pPr>
              <w:jc w:val="center"/>
            </w:pPr>
            <w:r>
              <w:rPr>
                <w:rFonts w:ascii="宋体" w:hAnsi="宋体" w:eastAsia="宋体"/>
                <w:sz w:val="16"/>
              </w:rPr>
              <w:t>20</w:t>
            </w:r>
          </w:p>
        </w:tc>
      </w:tr>
      <w:tr w14:paraId="6F92AB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74921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F8AF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7FD85">
            <w:pPr>
              <w:jc w:val="center"/>
            </w:pPr>
            <w:r>
              <w:rPr>
                <w:rFonts w:ascii="宋体" w:hAnsi="宋体" w:eastAsia="宋体"/>
                <w:sz w:val="16"/>
              </w:rPr>
              <w:t>组织召开“政银企”对接会及开展“政银企直通车”服务中小企业融资专项行动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23BC2">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84EC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B2BB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D2555">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3E585">
            <w:pPr>
              <w:jc w:val="center"/>
            </w:pPr>
            <w:r>
              <w:rPr>
                <w:rFonts w:ascii="宋体" w:hAnsi="宋体" w:eastAsia="宋体"/>
                <w:sz w:val="16"/>
              </w:rPr>
              <w:t>20</w:t>
            </w:r>
          </w:p>
        </w:tc>
      </w:tr>
      <w:tr w14:paraId="57699F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5DF4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9CD8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A9E38">
            <w:pPr>
              <w:jc w:val="center"/>
            </w:pPr>
            <w:r>
              <w:rPr>
                <w:rFonts w:ascii="宋体" w:hAnsi="宋体" w:eastAsia="宋体"/>
                <w:sz w:val="16"/>
              </w:rPr>
              <w:t>正常使用自治区非法集资监测预警平台的个数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BFB1E">
            <w:pPr>
              <w:jc w:val="center"/>
            </w:pPr>
            <w:r>
              <w:rPr>
                <w:rFonts w:ascii="宋体" w:hAnsi="宋体" w:eastAsia="宋体"/>
                <w:sz w:val="16"/>
              </w:rPr>
              <w:t>&gt;=32个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3FC0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2EAF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D4675">
            <w:pPr>
              <w:jc w:val="center"/>
            </w:pPr>
            <w:r>
              <w:rPr>
                <w:rFonts w:ascii="宋体" w:hAnsi="宋体" w:eastAsia="宋体"/>
                <w:sz w:val="16"/>
              </w:rPr>
              <w:t>32个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32689">
            <w:pPr>
              <w:jc w:val="center"/>
            </w:pPr>
            <w:r>
              <w:rPr>
                <w:rFonts w:ascii="宋体" w:hAnsi="宋体" w:eastAsia="宋体"/>
                <w:sz w:val="16"/>
              </w:rPr>
              <w:t>30</w:t>
            </w:r>
          </w:p>
        </w:tc>
      </w:tr>
      <w:tr w14:paraId="2C5F04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8D60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7288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53990">
            <w:pPr>
              <w:jc w:val="center"/>
            </w:pPr>
            <w:r>
              <w:rPr>
                <w:rFonts w:ascii="宋体" w:hAnsi="宋体" w:eastAsia="宋体"/>
                <w:sz w:val="16"/>
              </w:rPr>
              <w:t>全州非法集资案件处置和化解率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0C977">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027B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34B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F1391">
            <w:pPr>
              <w:jc w:val="center"/>
            </w:pPr>
            <w:r>
              <w:rPr>
                <w:rFonts w:ascii="宋体" w:hAnsi="宋体" w:eastAsia="宋体"/>
                <w:sz w:val="16"/>
              </w:rPr>
              <w:t>83.33%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651E0F">
            <w:pPr>
              <w:jc w:val="center"/>
            </w:pPr>
            <w:r>
              <w:rPr>
                <w:rFonts w:ascii="宋体" w:hAnsi="宋体" w:eastAsia="宋体"/>
                <w:sz w:val="16"/>
              </w:rPr>
              <w:t>20</w:t>
            </w:r>
          </w:p>
        </w:tc>
      </w:tr>
    </w:tbl>
    <w:p w14:paraId="2DF8D4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96"/>
        <w:gridCol w:w="632"/>
      </w:tblGrid>
      <w:tr w14:paraId="732D722C">
        <w:tblPrEx>
          <w:tblCellMar>
            <w:top w:w="0" w:type="dxa"/>
            <w:left w:w="108" w:type="dxa"/>
            <w:bottom w:w="0" w:type="dxa"/>
            <w:right w:w="108" w:type="dxa"/>
          </w:tblCellMar>
        </w:tblPrEx>
        <w:tc>
          <w:tcPr>
            <w:tcW w:w="8848" w:type="dxa"/>
            <w:gridSpan w:val="14"/>
            <w:vAlign w:val="center"/>
          </w:tcPr>
          <w:p w14:paraId="524F6FA1">
            <w:pPr>
              <w:jc w:val="center"/>
            </w:pPr>
            <w:r>
              <w:rPr>
                <w:rFonts w:ascii="宋体" w:hAnsi="宋体" w:eastAsia="宋体"/>
                <w:sz w:val="24"/>
              </w:rPr>
              <w:t>项目支出绩效自评表</w:t>
            </w:r>
          </w:p>
        </w:tc>
      </w:tr>
      <w:tr w14:paraId="1CC681A5">
        <w:tblPrEx>
          <w:tblCellMar>
            <w:top w:w="0" w:type="dxa"/>
            <w:left w:w="108" w:type="dxa"/>
            <w:bottom w:w="0" w:type="dxa"/>
            <w:right w:w="108" w:type="dxa"/>
          </w:tblCellMar>
        </w:tblPrEx>
        <w:tc>
          <w:tcPr>
            <w:tcW w:w="8848" w:type="dxa"/>
            <w:gridSpan w:val="14"/>
            <w:vAlign w:val="center"/>
          </w:tcPr>
          <w:p w14:paraId="1632FDDA">
            <w:pPr>
              <w:jc w:val="center"/>
            </w:pPr>
            <w:r>
              <w:rPr>
                <w:rFonts w:ascii="宋体" w:hAnsi="宋体" w:eastAsia="宋体"/>
                <w:sz w:val="24"/>
              </w:rPr>
              <w:t>(2024年度)</w:t>
            </w:r>
          </w:p>
        </w:tc>
      </w:tr>
      <w:tr w14:paraId="14D8EC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C0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CDCFE1">
            <w:pPr>
              <w:jc w:val="center"/>
            </w:pPr>
            <w:r>
              <w:rPr>
                <w:rFonts w:ascii="宋体" w:hAnsi="宋体" w:eastAsia="宋体"/>
                <w:sz w:val="16"/>
              </w:rPr>
              <w:t>2024年中央财政支持普惠金融发展示范区奖补资金</w:t>
            </w:r>
          </w:p>
        </w:tc>
      </w:tr>
      <w:tr w14:paraId="74B9C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F6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C5B13">
            <w:pPr>
              <w:jc w:val="center"/>
            </w:pPr>
            <w:r>
              <w:rPr>
                <w:rFonts w:ascii="宋体" w:hAnsi="宋体" w:eastAsia="宋体"/>
                <w:sz w:val="16"/>
              </w:rPr>
              <w:t>巴音郭楞蒙古自治州金融服务中心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D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85D66">
            <w:pPr>
              <w:jc w:val="center"/>
            </w:pPr>
            <w:r>
              <w:rPr>
                <w:rFonts w:ascii="宋体" w:hAnsi="宋体" w:eastAsia="宋体"/>
                <w:sz w:val="16"/>
              </w:rPr>
              <w:t>巴音郭楞蒙古自治州金融服务中心</w:t>
            </w:r>
          </w:p>
        </w:tc>
      </w:tr>
      <w:tr w14:paraId="696BB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E260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E2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C28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6F9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36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C46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B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FA6E">
            <w:pPr>
              <w:jc w:val="center"/>
            </w:pPr>
            <w:r>
              <w:rPr>
                <w:rFonts w:ascii="宋体" w:hAnsi="宋体" w:eastAsia="宋体"/>
                <w:sz w:val="16"/>
              </w:rPr>
              <w:t>得分</w:t>
            </w:r>
          </w:p>
        </w:tc>
      </w:tr>
      <w:tr w14:paraId="4EB4FC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106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ED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DA436">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04B4">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EA5C">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1B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86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2D38">
            <w:pPr>
              <w:jc w:val="center"/>
            </w:pPr>
            <w:r>
              <w:rPr>
                <w:rFonts w:ascii="宋体" w:hAnsi="宋体" w:eastAsia="宋体"/>
                <w:sz w:val="16"/>
              </w:rPr>
              <w:t>10.00</w:t>
            </w:r>
          </w:p>
        </w:tc>
      </w:tr>
      <w:tr w14:paraId="7AF67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4B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3E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EA9A">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486D">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1613E">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71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E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EBB7">
            <w:pPr>
              <w:jc w:val="center"/>
            </w:pPr>
            <w:r>
              <w:rPr>
                <w:rFonts w:ascii="宋体" w:hAnsi="宋体" w:eastAsia="宋体"/>
                <w:sz w:val="16"/>
              </w:rPr>
              <w:t>-</w:t>
            </w:r>
          </w:p>
        </w:tc>
      </w:tr>
      <w:tr w14:paraId="3CA1A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DB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71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F5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FE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68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5E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8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212C">
            <w:pPr>
              <w:jc w:val="center"/>
            </w:pPr>
            <w:r>
              <w:rPr>
                <w:rFonts w:ascii="宋体" w:hAnsi="宋体" w:eastAsia="宋体"/>
                <w:sz w:val="16"/>
              </w:rPr>
              <w:t>-</w:t>
            </w:r>
          </w:p>
        </w:tc>
      </w:tr>
      <w:tr w14:paraId="5E4FB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3F9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3836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8202C9">
            <w:pPr>
              <w:jc w:val="center"/>
            </w:pPr>
            <w:r>
              <w:rPr>
                <w:rFonts w:ascii="宋体" w:hAnsi="宋体" w:eastAsia="宋体"/>
                <w:sz w:val="16"/>
              </w:rPr>
              <w:t>总体目标完成情况</w:t>
            </w:r>
          </w:p>
        </w:tc>
      </w:tr>
      <w:tr w14:paraId="2B884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F88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148E5">
            <w:pPr>
              <w:jc w:val="both"/>
            </w:pPr>
            <w:r>
              <w:rPr>
                <w:rFonts w:ascii="宋体" w:hAnsi="宋体" w:eastAsia="宋体"/>
                <w:sz w:val="16"/>
              </w:rPr>
              <w:t>奖补资金拨付给以下4家金融机构：1.新疆库尔勒农商银行股份有限公司50万元；2.中国建设银行股份有限公司</w:t>
            </w:r>
            <w:r>
              <w:rPr>
                <w:rFonts w:hint="eastAsia" w:ascii="宋体" w:hAnsi="宋体"/>
                <w:sz w:val="16"/>
                <w:lang w:eastAsia="zh-CN"/>
              </w:rPr>
              <w:t>巴音郭楞蒙古自治州</w:t>
            </w:r>
            <w:bookmarkStart w:id="0" w:name="_GoBack"/>
            <w:bookmarkEnd w:id="0"/>
            <w:r>
              <w:rPr>
                <w:rFonts w:ascii="宋体" w:hAnsi="宋体" w:eastAsia="宋体"/>
                <w:sz w:val="16"/>
              </w:rPr>
              <w:t>分行25万元；3.中国银行股份有限公司巴州分行25万元；4.中国邮政储蓄银行巴州分行25万元。金融机构支小支农普惠贷款业务奖补，用于支小支农贷款补偿、弥补降低支小支农贷款利率、提供优质便利服务、减少收费等方面支出，推进普惠金融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0165D">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已完成4家金融机构拨付奖补资金，用于支小支农贷款补偿、弥补降低支小支农贷款利率、提供优质便利服务、减少收费等方面支出，推进普惠金融高质量发展。</w:t>
            </w:r>
          </w:p>
        </w:tc>
      </w:tr>
      <w:tr w14:paraId="2BA635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52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AA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E0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4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A1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89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A3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93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DD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C9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8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02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9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AD25">
            <w:pPr>
              <w:jc w:val="center"/>
            </w:pPr>
            <w:r>
              <w:rPr>
                <w:rFonts w:ascii="宋体" w:hAnsi="宋体" w:eastAsia="宋体"/>
                <w:sz w:val="16"/>
              </w:rPr>
              <w:t>偏差原因分析及改进措施</w:t>
            </w:r>
          </w:p>
        </w:tc>
      </w:tr>
      <w:tr w14:paraId="12637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B69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C74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63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601C">
            <w:pPr>
              <w:jc w:val="center"/>
            </w:pPr>
            <w:r>
              <w:rPr>
                <w:rFonts w:ascii="宋体" w:hAnsi="宋体" w:eastAsia="宋体"/>
                <w:sz w:val="16"/>
              </w:rPr>
              <w:t>奖补资金发放银行数量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C08E">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3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3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62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D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C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F45F">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3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35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3BD2">
            <w:pPr>
              <w:jc w:val="center"/>
            </w:pPr>
          </w:p>
        </w:tc>
      </w:tr>
      <w:tr w14:paraId="3E9A8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5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7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D4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324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4400">
            <w:pPr>
              <w:jc w:val="center"/>
            </w:pP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2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2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0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A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9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0A6D">
            <w:pPr>
              <w:jc w:val="center"/>
            </w:pP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D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9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E173">
            <w:pPr>
              <w:jc w:val="center"/>
            </w:pPr>
          </w:p>
        </w:tc>
      </w:tr>
      <w:tr w14:paraId="162B3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E2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6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03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AF2">
            <w:pPr>
              <w:jc w:val="center"/>
            </w:pPr>
            <w:r>
              <w:rPr>
                <w:rFonts w:ascii="宋体" w:hAnsi="宋体" w:eastAsia="宋体"/>
                <w:sz w:val="16"/>
              </w:rPr>
              <w:t>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2F09">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3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1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BB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9B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5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0089">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D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2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D112">
            <w:pPr>
              <w:jc w:val="center"/>
            </w:pPr>
          </w:p>
        </w:tc>
      </w:tr>
      <w:tr w14:paraId="2973B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64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C72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207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FDA4">
            <w:pPr>
              <w:jc w:val="center"/>
            </w:pPr>
            <w:r>
              <w:rPr>
                <w:rFonts w:ascii="宋体" w:hAnsi="宋体" w:eastAsia="宋体"/>
                <w:sz w:val="16"/>
              </w:rPr>
              <w:t>库尔勒农商银行发放数额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17B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B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6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B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0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C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C4E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6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27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322A">
            <w:pPr>
              <w:jc w:val="center"/>
            </w:pPr>
          </w:p>
        </w:tc>
      </w:tr>
      <w:tr w14:paraId="74B4B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CE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E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99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E827">
            <w:pPr>
              <w:jc w:val="center"/>
            </w:pPr>
            <w:r>
              <w:rPr>
                <w:rFonts w:ascii="宋体" w:hAnsi="宋体" w:eastAsia="宋体"/>
                <w:sz w:val="16"/>
              </w:rPr>
              <w:t>建设银行发放数额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98FE">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6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D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C5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9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AC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882E">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0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D0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8F6A">
            <w:pPr>
              <w:jc w:val="center"/>
            </w:pPr>
          </w:p>
        </w:tc>
      </w:tr>
      <w:tr w14:paraId="211E4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A9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5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3B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10B8">
            <w:pPr>
              <w:jc w:val="center"/>
            </w:pPr>
            <w:r>
              <w:rPr>
                <w:rFonts w:ascii="宋体" w:hAnsi="宋体" w:eastAsia="宋体"/>
                <w:sz w:val="16"/>
              </w:rPr>
              <w:t>中国银行发放数额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8093">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6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6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64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9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23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558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3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2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BABD">
            <w:pPr>
              <w:jc w:val="center"/>
            </w:pPr>
          </w:p>
        </w:tc>
      </w:tr>
      <w:tr w14:paraId="67FA2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B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7C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13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9516">
            <w:pPr>
              <w:jc w:val="center"/>
            </w:pPr>
            <w:r>
              <w:rPr>
                <w:rFonts w:ascii="宋体" w:hAnsi="宋体" w:eastAsia="宋体"/>
                <w:sz w:val="16"/>
              </w:rPr>
              <w:t>邮储银行发放数额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4C3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4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CF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5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C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59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8A8C">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4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C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5316">
            <w:pPr>
              <w:jc w:val="center"/>
            </w:pPr>
          </w:p>
        </w:tc>
      </w:tr>
      <w:tr w14:paraId="597CB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4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A8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A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D393">
            <w:pPr>
              <w:jc w:val="center"/>
            </w:pPr>
            <w:r>
              <w:rPr>
                <w:rFonts w:ascii="宋体" w:hAnsi="宋体" w:eastAsia="宋体"/>
                <w:sz w:val="16"/>
              </w:rPr>
              <w:t>推进普惠金融高质量发展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72A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7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FF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8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07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D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D1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8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3B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B581">
            <w:pPr>
              <w:jc w:val="center"/>
            </w:pPr>
            <w:r>
              <w:rPr>
                <w:rFonts w:ascii="宋体" w:hAnsi="宋体" w:eastAsia="宋体"/>
                <w:sz w:val="16"/>
              </w:rPr>
              <w:t>因四家银行不是州本级预算单位，财政局将该笔奖补资金转入</w:t>
            </w:r>
            <w:r>
              <w:rPr>
                <w:rFonts w:hint="eastAsia" w:ascii="宋体" w:hAnsi="宋体"/>
                <w:sz w:val="16"/>
                <w:lang w:eastAsia="zh-CN"/>
              </w:rPr>
              <w:t>本部门</w:t>
            </w:r>
            <w:r>
              <w:rPr>
                <w:rFonts w:ascii="宋体" w:hAnsi="宋体" w:eastAsia="宋体"/>
                <w:sz w:val="16"/>
              </w:rPr>
              <w:t>，用于拨付给四家银行。</w:t>
            </w:r>
          </w:p>
        </w:tc>
      </w:tr>
      <w:tr w14:paraId="30229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9E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9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A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A21C">
            <w:pPr>
              <w:jc w:val="center"/>
            </w:pPr>
            <w:r>
              <w:rPr>
                <w:rFonts w:ascii="宋体" w:hAnsi="宋体" w:eastAsia="宋体"/>
                <w:sz w:val="16"/>
              </w:rPr>
              <w:t>分配资金银行满意度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64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8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9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9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7D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D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F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ABD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8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B227">
            <w:pPr>
              <w:jc w:val="center"/>
            </w:pPr>
            <w:r>
              <w:rPr>
                <w:rFonts w:ascii="宋体" w:hAnsi="宋体" w:eastAsia="宋体"/>
                <w:sz w:val="16"/>
              </w:rPr>
              <w:t>金融机构对奖补资金发放工作很满意，满意度超预期值。整改措施：精确设置预期值。</w:t>
            </w:r>
          </w:p>
        </w:tc>
      </w:tr>
      <w:tr w14:paraId="13AD4D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758D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2A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CA1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31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1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CD2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B77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27C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C5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B5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C4313"/>
        </w:tc>
      </w:tr>
    </w:tbl>
    <w:p w14:paraId="7C1CDA52">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696"/>
        <w:gridCol w:w="614"/>
        <w:gridCol w:w="614"/>
        <w:gridCol w:w="620"/>
        <w:gridCol w:w="614"/>
        <w:gridCol w:w="614"/>
        <w:gridCol w:w="856"/>
        <w:gridCol w:w="696"/>
        <w:gridCol w:w="632"/>
        <w:gridCol w:w="626"/>
      </w:tblGrid>
      <w:tr w14:paraId="45C604D6">
        <w:tblPrEx>
          <w:tblCellMar>
            <w:top w:w="0" w:type="dxa"/>
            <w:left w:w="108" w:type="dxa"/>
            <w:bottom w:w="0" w:type="dxa"/>
            <w:right w:w="108" w:type="dxa"/>
          </w:tblCellMar>
        </w:tblPrEx>
        <w:tc>
          <w:tcPr>
            <w:tcW w:w="8848" w:type="dxa"/>
            <w:gridSpan w:val="14"/>
            <w:vAlign w:val="center"/>
          </w:tcPr>
          <w:p w14:paraId="012786B7">
            <w:pPr>
              <w:jc w:val="center"/>
            </w:pPr>
            <w:r>
              <w:rPr>
                <w:rFonts w:ascii="宋体" w:hAnsi="宋体" w:eastAsia="宋体"/>
                <w:sz w:val="24"/>
              </w:rPr>
              <w:t>项目支出绩效自评表</w:t>
            </w:r>
          </w:p>
        </w:tc>
      </w:tr>
      <w:tr w14:paraId="140D4726">
        <w:tblPrEx>
          <w:tblCellMar>
            <w:top w:w="0" w:type="dxa"/>
            <w:left w:w="108" w:type="dxa"/>
            <w:bottom w:w="0" w:type="dxa"/>
            <w:right w:w="108" w:type="dxa"/>
          </w:tblCellMar>
        </w:tblPrEx>
        <w:tc>
          <w:tcPr>
            <w:tcW w:w="8848" w:type="dxa"/>
            <w:gridSpan w:val="14"/>
            <w:vAlign w:val="center"/>
          </w:tcPr>
          <w:p w14:paraId="3A4E8494">
            <w:pPr>
              <w:jc w:val="center"/>
            </w:pPr>
            <w:r>
              <w:rPr>
                <w:rFonts w:ascii="宋体" w:hAnsi="宋体" w:eastAsia="宋体"/>
                <w:sz w:val="24"/>
              </w:rPr>
              <w:t>(2024年度)</w:t>
            </w:r>
          </w:p>
        </w:tc>
      </w:tr>
      <w:tr w14:paraId="0A24C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1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5C8778">
            <w:pPr>
              <w:jc w:val="center"/>
            </w:pPr>
            <w:r>
              <w:rPr>
                <w:rFonts w:ascii="宋体" w:hAnsi="宋体" w:eastAsia="宋体"/>
                <w:sz w:val="16"/>
              </w:rPr>
              <w:t>2024年金融风险防控及处置非法集资工作项目</w:t>
            </w:r>
          </w:p>
        </w:tc>
      </w:tr>
      <w:tr w14:paraId="20017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13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4BFC3">
            <w:pPr>
              <w:jc w:val="center"/>
            </w:pPr>
            <w:r>
              <w:rPr>
                <w:rFonts w:ascii="宋体" w:hAnsi="宋体" w:eastAsia="宋体"/>
                <w:sz w:val="16"/>
              </w:rPr>
              <w:t>巴音郭楞蒙古自治州金融服务中心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53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A06EB">
            <w:pPr>
              <w:jc w:val="center"/>
            </w:pPr>
            <w:r>
              <w:rPr>
                <w:rFonts w:ascii="宋体" w:hAnsi="宋体" w:eastAsia="宋体"/>
                <w:sz w:val="16"/>
              </w:rPr>
              <w:t>巴音郭楞蒙古自治州金融服务中心</w:t>
            </w:r>
          </w:p>
        </w:tc>
      </w:tr>
      <w:tr w14:paraId="081DD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744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40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8F0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96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691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C8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A7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1082">
            <w:pPr>
              <w:jc w:val="center"/>
            </w:pPr>
            <w:r>
              <w:rPr>
                <w:rFonts w:ascii="宋体" w:hAnsi="宋体" w:eastAsia="宋体"/>
                <w:sz w:val="16"/>
              </w:rPr>
              <w:t>得分</w:t>
            </w:r>
          </w:p>
        </w:tc>
      </w:tr>
      <w:tr w14:paraId="1E447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0BE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8E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BEC9">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B4C9">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ED0C">
            <w:pPr>
              <w:jc w:val="center"/>
            </w:pPr>
            <w:r>
              <w:rPr>
                <w:rFonts w:ascii="宋体" w:hAnsi="宋体" w:eastAsia="宋体"/>
                <w:sz w:val="16"/>
              </w:rPr>
              <w:t>10.48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FD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EC35">
            <w:pPr>
              <w:jc w:val="center"/>
            </w:pPr>
            <w:r>
              <w:rPr>
                <w:rFonts w:ascii="宋体" w:hAnsi="宋体" w:eastAsia="宋体"/>
                <w:sz w:val="16"/>
              </w:rPr>
              <w:t>19.05%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3148">
            <w:pPr>
              <w:jc w:val="center"/>
            </w:pPr>
            <w:r>
              <w:rPr>
                <w:rFonts w:ascii="宋体" w:hAnsi="宋体" w:eastAsia="宋体"/>
                <w:sz w:val="16"/>
              </w:rPr>
              <w:t>0.00</w:t>
            </w:r>
          </w:p>
        </w:tc>
      </w:tr>
      <w:tr w14:paraId="57AF2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44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5A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38D4">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0C7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269A">
            <w:pPr>
              <w:jc w:val="center"/>
            </w:pPr>
            <w:r>
              <w:rPr>
                <w:rFonts w:ascii="宋体" w:hAnsi="宋体" w:eastAsia="宋体"/>
                <w:sz w:val="16"/>
              </w:rPr>
              <w:t>10.48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C4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8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4295">
            <w:pPr>
              <w:jc w:val="center"/>
            </w:pPr>
            <w:r>
              <w:rPr>
                <w:rFonts w:ascii="宋体" w:hAnsi="宋体" w:eastAsia="宋体"/>
                <w:sz w:val="16"/>
              </w:rPr>
              <w:t>-</w:t>
            </w:r>
          </w:p>
        </w:tc>
      </w:tr>
      <w:tr w14:paraId="48DB3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6C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EEF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B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E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2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5B2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8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CE85">
            <w:pPr>
              <w:jc w:val="center"/>
            </w:pPr>
            <w:r>
              <w:rPr>
                <w:rFonts w:ascii="宋体" w:hAnsi="宋体" w:eastAsia="宋体"/>
                <w:sz w:val="16"/>
              </w:rPr>
              <w:t>-</w:t>
            </w:r>
          </w:p>
        </w:tc>
      </w:tr>
      <w:tr w14:paraId="24ECF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3CF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A05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B36E5D">
            <w:pPr>
              <w:jc w:val="center"/>
            </w:pPr>
            <w:r>
              <w:rPr>
                <w:rFonts w:ascii="宋体" w:hAnsi="宋体" w:eastAsia="宋体"/>
                <w:sz w:val="16"/>
              </w:rPr>
              <w:t>总体目标完成情况</w:t>
            </w:r>
          </w:p>
        </w:tc>
      </w:tr>
      <w:tr w14:paraId="4A48D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8E0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594E8">
            <w:pPr>
              <w:jc w:val="both"/>
            </w:pPr>
            <w:r>
              <w:rPr>
                <w:rFonts w:ascii="宋体" w:hAnsi="宋体" w:eastAsia="宋体"/>
                <w:sz w:val="16"/>
              </w:rPr>
              <w:t>充分利</w:t>
            </w:r>
            <w:r>
              <w:rPr>
                <w:rFonts w:hint="eastAsia" w:ascii="宋体" w:hAnsi="宋体"/>
                <w:sz w:val="16"/>
                <w:lang w:eastAsia="zh-CN"/>
              </w:rPr>
              <w:t>用大</w:t>
            </w:r>
            <w:r>
              <w:rPr>
                <w:rFonts w:ascii="宋体" w:hAnsi="宋体" w:eastAsia="宋体"/>
                <w:sz w:val="16"/>
              </w:rPr>
              <w:t>数据、云计算、机器智能学习等最新监管技术，采用数据密码、虚拟专网（VPN）等领先安全信息技术研发，最大限度</w:t>
            </w:r>
            <w:r>
              <w:rPr>
                <w:rFonts w:hint="eastAsia" w:ascii="宋体" w:hAnsi="宋体"/>
                <w:sz w:val="16"/>
                <w:lang w:eastAsia="zh-CN"/>
              </w:rPr>
              <w:t>地</w:t>
            </w:r>
            <w:r>
              <w:rPr>
                <w:rFonts w:ascii="宋体" w:hAnsi="宋体" w:eastAsia="宋体"/>
                <w:sz w:val="16"/>
              </w:rPr>
              <w:t>满足处非管理部门“大数据风险</w:t>
            </w:r>
            <w:r>
              <w:rPr>
                <w:rFonts w:hint="eastAsia" w:ascii="宋体" w:hAnsi="宋体"/>
                <w:sz w:val="16"/>
                <w:lang w:eastAsia="zh-CN"/>
              </w:rPr>
              <w:t>监测</w:t>
            </w:r>
            <w:r>
              <w:rPr>
                <w:rFonts w:ascii="宋体" w:hAnsi="宋体" w:eastAsia="宋体"/>
                <w:sz w:val="16"/>
              </w:rPr>
              <w:t>预警”和“日常管理工作系统化”“数据安全共享”的三大核心需求，结合单位实际情况，项目督导检查6次和监测平台数量32个按时支付平台年度运维费用，以保障检测平台的正常运转及维护；</w:t>
            </w:r>
            <w:r>
              <w:rPr>
                <w:rFonts w:hint="eastAsia" w:ascii="宋体" w:hAnsi="宋体"/>
                <w:sz w:val="16"/>
                <w:lang w:eastAsia="zh-CN"/>
              </w:rPr>
              <w:t>通过</w:t>
            </w:r>
            <w:r>
              <w:rPr>
                <w:rFonts w:ascii="宋体" w:hAnsi="宋体" w:eastAsia="宋体"/>
                <w:sz w:val="16"/>
              </w:rPr>
              <w:t>聘用专业财务人员，进一步规范项目资金使用，提高资金使用效率。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6D711F">
            <w:pPr>
              <w:jc w:val="both"/>
            </w:pPr>
            <w:r>
              <w:rPr>
                <w:rFonts w:ascii="宋体" w:hAnsi="宋体" w:eastAsia="宋体"/>
                <w:sz w:val="16"/>
              </w:rPr>
              <w:t>项目督导检查6次和监测平台数量32个按时支付平台年度运维费用，以保障检测平台的正常运转及维护；</w:t>
            </w:r>
            <w:r>
              <w:rPr>
                <w:rFonts w:hint="eastAsia" w:ascii="宋体" w:hAnsi="宋体"/>
                <w:sz w:val="16"/>
                <w:lang w:eastAsia="zh-CN"/>
              </w:rPr>
              <w:t>通过</w:t>
            </w:r>
            <w:r>
              <w:rPr>
                <w:rFonts w:ascii="宋体" w:hAnsi="宋体" w:eastAsia="宋体"/>
                <w:sz w:val="16"/>
              </w:rPr>
              <w:t>聘用专业财务人员，进一步规范项目资金使用，提高资金使用效率。</w:t>
            </w:r>
          </w:p>
        </w:tc>
      </w:tr>
      <w:tr w14:paraId="006CB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37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2A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06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D9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B57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87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EE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A79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5EF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3A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DA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6C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A23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D432">
            <w:pPr>
              <w:jc w:val="center"/>
            </w:pPr>
            <w:r>
              <w:rPr>
                <w:rFonts w:ascii="宋体" w:hAnsi="宋体" w:eastAsia="宋体"/>
                <w:sz w:val="16"/>
              </w:rPr>
              <w:t>偏差原因分析及改进措施</w:t>
            </w:r>
          </w:p>
        </w:tc>
      </w:tr>
      <w:tr w14:paraId="7E128B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D23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861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112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B756">
            <w:pPr>
              <w:jc w:val="center"/>
            </w:pPr>
            <w:r>
              <w:rPr>
                <w:rFonts w:hint="eastAsia" w:ascii="宋体" w:hAnsi="宋体"/>
                <w:sz w:val="16"/>
                <w:lang w:eastAsia="zh-CN"/>
              </w:rPr>
              <w:t>监督调查处置</w:t>
            </w:r>
            <w:r>
              <w:rPr>
                <w:rFonts w:ascii="宋体" w:hAnsi="宋体" w:eastAsia="宋体"/>
                <w:sz w:val="16"/>
              </w:rPr>
              <w:t>非法集资工作次数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D90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5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0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C5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8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D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BFD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4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1B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1908">
            <w:pPr>
              <w:jc w:val="center"/>
            </w:pPr>
          </w:p>
        </w:tc>
      </w:tr>
      <w:tr w14:paraId="3B2A4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41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C4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4A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50A2">
            <w:pPr>
              <w:jc w:val="center"/>
            </w:pPr>
            <w:r>
              <w:rPr>
                <w:rFonts w:ascii="宋体" w:hAnsi="宋体" w:eastAsia="宋体"/>
                <w:sz w:val="16"/>
              </w:rPr>
              <w:t>完成</w:t>
            </w:r>
            <w:r>
              <w:rPr>
                <w:rFonts w:hint="eastAsia" w:ascii="宋体" w:hAnsi="宋体"/>
                <w:sz w:val="16"/>
                <w:lang w:eastAsia="zh-CN"/>
              </w:rPr>
              <w:t>监督调查处置</w:t>
            </w:r>
            <w:r>
              <w:rPr>
                <w:rFonts w:ascii="宋体" w:hAnsi="宋体" w:eastAsia="宋体"/>
                <w:sz w:val="16"/>
              </w:rPr>
              <w:t>非法集资工作报告数量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EBB9">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C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0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2A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D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A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292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6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CB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26D9">
            <w:pPr>
              <w:jc w:val="center"/>
            </w:pPr>
          </w:p>
        </w:tc>
      </w:tr>
      <w:tr w14:paraId="158E4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C9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7A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E0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FF4E">
            <w:pPr>
              <w:jc w:val="center"/>
            </w:pPr>
            <w:r>
              <w:rPr>
                <w:rFonts w:ascii="宋体" w:hAnsi="宋体" w:eastAsia="宋体"/>
                <w:sz w:val="16"/>
              </w:rPr>
              <w:t>维护非法集资监测预警平台数量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0633">
            <w:pPr>
              <w:jc w:val="center"/>
            </w:pPr>
            <w:r>
              <w:rPr>
                <w:rFonts w:ascii="宋体" w:hAnsi="宋体" w:eastAsia="宋体"/>
                <w:sz w:val="16"/>
              </w:rPr>
              <w:t>&gt;=32个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F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F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AC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9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E7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2DF6">
            <w:pPr>
              <w:jc w:val="center"/>
            </w:pPr>
            <w:r>
              <w:rPr>
                <w:rFonts w:ascii="宋体" w:hAnsi="宋体" w:eastAsia="宋体"/>
                <w:sz w:val="16"/>
              </w:rPr>
              <w:t>=32个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D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4D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A30">
            <w:pPr>
              <w:jc w:val="center"/>
            </w:pPr>
          </w:p>
        </w:tc>
      </w:tr>
      <w:tr w14:paraId="75AE1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97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CB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CF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53E8">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C485">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8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D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E2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C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B0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EF93">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5AC0">
            <w:pPr>
              <w:jc w:val="center"/>
            </w:pPr>
            <w:r>
              <w:rPr>
                <w:rFonts w:ascii="宋体" w:hAnsi="宋体" w:eastAsia="宋体"/>
                <w:sz w:val="16"/>
              </w:rPr>
              <w:t>84.62%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D46E">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C77B">
            <w:pPr>
              <w:jc w:val="center"/>
            </w:pPr>
            <w:r>
              <w:rPr>
                <w:rFonts w:ascii="宋体" w:hAnsi="宋体" w:eastAsia="宋体"/>
                <w:sz w:val="16"/>
              </w:rPr>
              <w:t>偏差原因：本年度</w:t>
            </w:r>
            <w:r>
              <w:rPr>
                <w:rFonts w:hint="eastAsia" w:ascii="宋体" w:hAnsi="宋体"/>
                <w:sz w:val="16"/>
                <w:lang w:eastAsia="zh-CN"/>
              </w:rPr>
              <w:t>本部门</w:t>
            </w:r>
            <w:r>
              <w:rPr>
                <w:rFonts w:ascii="宋体" w:hAnsi="宋体" w:eastAsia="宋体"/>
                <w:sz w:val="16"/>
              </w:rPr>
              <w:t>人员变动，故导致差异。整改措施：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3EF8B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2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E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7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DBA4">
            <w:pPr>
              <w:jc w:val="center"/>
            </w:pPr>
            <w:r>
              <w:rPr>
                <w:rFonts w:ascii="宋体" w:hAnsi="宋体" w:eastAsia="宋体"/>
                <w:sz w:val="16"/>
              </w:rPr>
              <w:t>发放聘用财务人员工资次数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D0E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F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45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C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4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802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3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93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8242">
            <w:pPr>
              <w:jc w:val="center"/>
            </w:pPr>
          </w:p>
        </w:tc>
      </w:tr>
      <w:tr w14:paraId="56C48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4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C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E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61D2">
            <w:pPr>
              <w:jc w:val="center"/>
            </w:pPr>
            <w:r>
              <w:rPr>
                <w:rFonts w:ascii="宋体" w:hAnsi="宋体" w:eastAsia="宋体"/>
                <w:sz w:val="16"/>
              </w:rPr>
              <w:t>聘用财务人员数量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5FC2">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1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B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AF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6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D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2A2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4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3E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A320">
            <w:pPr>
              <w:jc w:val="center"/>
            </w:pPr>
          </w:p>
        </w:tc>
      </w:tr>
      <w:tr w14:paraId="47DBF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6B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0B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A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68D8">
            <w:pPr>
              <w:jc w:val="center"/>
            </w:pPr>
            <w:r>
              <w:rPr>
                <w:rFonts w:ascii="宋体" w:hAnsi="宋体" w:eastAsia="宋体"/>
                <w:sz w:val="16"/>
              </w:rPr>
              <w:t>聘用专业平台运维机构数量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94F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E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0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55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0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6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8C17">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7D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1E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42A6">
            <w:pPr>
              <w:jc w:val="center"/>
            </w:pPr>
            <w:r>
              <w:rPr>
                <w:rFonts w:ascii="宋体" w:hAnsi="宋体" w:eastAsia="宋体"/>
                <w:sz w:val="16"/>
              </w:rPr>
              <w:t>偏差原因：2024年4月州编办通知</w:t>
            </w:r>
            <w:r>
              <w:rPr>
                <w:rFonts w:hint="eastAsia" w:ascii="宋体" w:hAnsi="宋体"/>
                <w:sz w:val="16"/>
                <w:lang w:eastAsia="zh-CN"/>
              </w:rPr>
              <w:t>本部门</w:t>
            </w:r>
            <w:r>
              <w:rPr>
                <w:rFonts w:ascii="宋体" w:hAnsi="宋体" w:eastAsia="宋体"/>
                <w:sz w:val="16"/>
              </w:rPr>
              <w:t>要进行机构改革，2024年5月单位2名党组成员调出，仅有1名党组成员，无法召开</w:t>
            </w:r>
            <w:r>
              <w:rPr>
                <w:rFonts w:hint="eastAsia" w:ascii="宋体" w:hAnsi="宋体"/>
                <w:sz w:val="16"/>
                <w:lang w:eastAsia="zh-CN"/>
              </w:rPr>
              <w:t>“三重一大”</w:t>
            </w:r>
            <w:r>
              <w:rPr>
                <w:rFonts w:ascii="宋体" w:hAnsi="宋体" w:eastAsia="宋体"/>
                <w:sz w:val="16"/>
              </w:rPr>
              <w:t>会议研究大额资金开支</w:t>
            </w:r>
            <w:r>
              <w:rPr>
                <w:rFonts w:hint="eastAsia" w:ascii="宋体" w:hAnsi="宋体"/>
                <w:sz w:val="16"/>
                <w:lang w:eastAsia="zh-CN"/>
              </w:rPr>
              <w:t>。</w:t>
            </w:r>
            <w:r>
              <w:rPr>
                <w:rFonts w:ascii="宋体" w:hAnsi="宋体" w:eastAsia="宋体"/>
                <w:sz w:val="16"/>
              </w:rPr>
              <w:t>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68515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07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7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05A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F5F7">
            <w:pPr>
              <w:jc w:val="center"/>
            </w:pPr>
            <w:r>
              <w:rPr>
                <w:rFonts w:ascii="宋体" w:hAnsi="宋体" w:eastAsia="宋体"/>
                <w:sz w:val="16"/>
              </w:rPr>
              <w:t>监督检查处置非法集资工作抽检覆盖率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C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6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1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3F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2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9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A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E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38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8DE1">
            <w:pPr>
              <w:jc w:val="center"/>
            </w:pPr>
          </w:p>
        </w:tc>
      </w:tr>
      <w:tr w14:paraId="12F7B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C1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40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4D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B910">
            <w:pPr>
              <w:jc w:val="center"/>
            </w:pPr>
            <w:r>
              <w:rPr>
                <w:rFonts w:ascii="宋体" w:hAnsi="宋体" w:eastAsia="宋体"/>
                <w:sz w:val="16"/>
              </w:rPr>
              <w:t>非法集资监测预警平台故障率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B11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7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3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EF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21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B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7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B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27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6380">
            <w:pPr>
              <w:jc w:val="center"/>
            </w:pPr>
          </w:p>
        </w:tc>
      </w:tr>
      <w:tr w14:paraId="55545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C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48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5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3990">
            <w:pPr>
              <w:jc w:val="center"/>
            </w:pPr>
            <w:r>
              <w:rPr>
                <w:rFonts w:ascii="宋体" w:hAnsi="宋体" w:eastAsia="宋体"/>
                <w:sz w:val="16"/>
              </w:rPr>
              <w:t>非法集资监测预警平台验收合格率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94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1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0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D4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8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3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B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5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64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959A">
            <w:pPr>
              <w:jc w:val="center"/>
            </w:pPr>
            <w:r>
              <w:rPr>
                <w:rFonts w:ascii="宋体" w:hAnsi="宋体" w:eastAsia="宋体"/>
                <w:sz w:val="16"/>
              </w:rPr>
              <w:t>偏差原因：非法集资平台预警无故障，故导致偏差。改进措施：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9EFA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C0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77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1E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D461">
            <w:pPr>
              <w:jc w:val="center"/>
            </w:pPr>
            <w:r>
              <w:rPr>
                <w:rFonts w:ascii="宋体" w:hAnsi="宋体" w:eastAsia="宋体"/>
                <w:sz w:val="16"/>
              </w:rPr>
              <w:t>财务人员工资发放准确率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80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F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5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ED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A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F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9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9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12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8F7E">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及时且准确发放财务人员工资故导致偏差。改进措施：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47984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73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8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D7B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A98E">
            <w:pPr>
              <w:jc w:val="center"/>
            </w:pPr>
            <w:r>
              <w:rPr>
                <w:rFonts w:ascii="宋体" w:hAnsi="宋体" w:eastAsia="宋体"/>
                <w:sz w:val="16"/>
              </w:rPr>
              <w:t>非法集资监测预警平台运行维护响应时间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D50C">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6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1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9D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D4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8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C083">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1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2F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3671">
            <w:pPr>
              <w:jc w:val="center"/>
            </w:pPr>
          </w:p>
        </w:tc>
      </w:tr>
      <w:tr w14:paraId="4ABCD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9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35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9E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FA74">
            <w:pPr>
              <w:jc w:val="center"/>
            </w:pPr>
            <w:r>
              <w:rPr>
                <w:rFonts w:ascii="宋体" w:hAnsi="宋体" w:eastAsia="宋体"/>
                <w:sz w:val="16"/>
              </w:rPr>
              <w:t>非法集资监测预警平台故障修复处理时间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61BC">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C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45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DE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2B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E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1CE2">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4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02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8C89">
            <w:pPr>
              <w:jc w:val="center"/>
            </w:pPr>
          </w:p>
        </w:tc>
      </w:tr>
      <w:tr w14:paraId="5E180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2C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6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A5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B0E7">
            <w:pPr>
              <w:jc w:val="center"/>
            </w:pPr>
            <w:r>
              <w:rPr>
                <w:rFonts w:ascii="宋体" w:hAnsi="宋体" w:eastAsia="宋体"/>
                <w:sz w:val="16"/>
              </w:rPr>
              <w:t>年度监督检查任务按时完成率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B6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1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F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A0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0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8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0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E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21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21BA">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按时完成监督任务检查，故导致偏差。改进措施：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1477E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A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D2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27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4377">
            <w:pPr>
              <w:jc w:val="center"/>
            </w:pPr>
            <w:r>
              <w:rPr>
                <w:rFonts w:ascii="宋体" w:hAnsi="宋体" w:eastAsia="宋体"/>
                <w:sz w:val="16"/>
              </w:rPr>
              <w:t>防范金融风险处置非法集资运转经费支付及时率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5B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C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7C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DB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6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A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A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3B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18F3">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及时支付非法集资运转经费，故导致偏差。改进措施：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71520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0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0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CF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9FE2">
            <w:pPr>
              <w:jc w:val="center"/>
            </w:pPr>
            <w:r>
              <w:rPr>
                <w:rFonts w:ascii="宋体" w:hAnsi="宋体" w:eastAsia="宋体"/>
                <w:sz w:val="16"/>
              </w:rPr>
              <w:t>财务人员工资支付及时率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4B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F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F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5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9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B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7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E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69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435F">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及时且准确发放财务人员工资故导致偏差。改进措施：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1AEE0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CC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AB6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374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C5FE">
            <w:pPr>
              <w:jc w:val="center"/>
            </w:pPr>
            <w:r>
              <w:rPr>
                <w:rFonts w:ascii="宋体" w:hAnsi="宋体" w:eastAsia="宋体"/>
                <w:sz w:val="16"/>
              </w:rPr>
              <w:t>防范金融风险处置非法集资人均运转经费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D24C">
            <w:pPr>
              <w:jc w:val="center"/>
            </w:pPr>
            <w:r>
              <w:rPr>
                <w:rFonts w:ascii="宋体" w:hAnsi="宋体" w:eastAsia="宋体"/>
                <w:sz w:val="16"/>
              </w:rPr>
              <w:t>&lt;=8384元/人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88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82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BB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B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8E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39B5">
            <w:pPr>
              <w:jc w:val="center"/>
            </w:pPr>
            <w:r>
              <w:rPr>
                <w:rFonts w:ascii="宋体" w:hAnsi="宋体" w:eastAsia="宋体"/>
                <w:sz w:val="16"/>
              </w:rPr>
              <w:t>=5886.35元/人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2D40">
            <w:pPr>
              <w:jc w:val="center"/>
            </w:pPr>
            <w:r>
              <w:rPr>
                <w:rFonts w:ascii="宋体" w:hAnsi="宋体" w:eastAsia="宋体"/>
                <w:sz w:val="16"/>
              </w:rPr>
              <w:t>70.21%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4BAF">
            <w:pPr>
              <w:jc w:val="center"/>
            </w:pPr>
            <w:r>
              <w:rPr>
                <w:rFonts w:ascii="宋体" w:hAnsi="宋体" w:eastAsia="宋体"/>
                <w:sz w:val="16"/>
              </w:rPr>
              <w:t>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62B2">
            <w:pPr>
              <w:jc w:val="center"/>
            </w:pPr>
            <w:r>
              <w:rPr>
                <w:rFonts w:ascii="宋体" w:hAnsi="宋体" w:eastAsia="宋体"/>
                <w:sz w:val="16"/>
              </w:rPr>
              <w:t>偏差原因：2024年4月州编办通知</w:t>
            </w:r>
            <w:r>
              <w:rPr>
                <w:rFonts w:hint="eastAsia" w:ascii="宋体" w:hAnsi="宋体"/>
                <w:sz w:val="16"/>
                <w:lang w:eastAsia="zh-CN"/>
              </w:rPr>
              <w:t>本部门</w:t>
            </w:r>
            <w:r>
              <w:rPr>
                <w:rFonts w:ascii="宋体" w:hAnsi="宋体" w:eastAsia="宋体"/>
                <w:sz w:val="16"/>
              </w:rPr>
              <w:t>要进行机构改革，2024年5月单位2名党组成员调出，仅有1名党组成员，无法召开</w:t>
            </w:r>
            <w:r>
              <w:rPr>
                <w:rFonts w:hint="eastAsia" w:ascii="宋体" w:hAnsi="宋体"/>
                <w:sz w:val="16"/>
                <w:lang w:eastAsia="zh-CN"/>
              </w:rPr>
              <w:t>“三重一大”</w:t>
            </w:r>
            <w:r>
              <w:rPr>
                <w:rFonts w:ascii="宋体" w:hAnsi="宋体" w:eastAsia="宋体"/>
                <w:sz w:val="16"/>
              </w:rPr>
              <w:t>会议研究大额资金开支</w:t>
            </w:r>
            <w:r>
              <w:rPr>
                <w:rFonts w:hint="eastAsia" w:ascii="宋体" w:hAnsi="宋体"/>
                <w:sz w:val="16"/>
                <w:lang w:eastAsia="zh-CN"/>
              </w:rPr>
              <w:t>。</w:t>
            </w:r>
            <w:r>
              <w:rPr>
                <w:rFonts w:ascii="宋体" w:hAnsi="宋体" w:eastAsia="宋体"/>
                <w:sz w:val="16"/>
              </w:rPr>
              <w:t>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6C917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6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0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60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AD4D">
            <w:pPr>
              <w:jc w:val="center"/>
            </w:pPr>
            <w:r>
              <w:rPr>
                <w:rFonts w:ascii="宋体" w:hAnsi="宋体" w:eastAsia="宋体"/>
                <w:sz w:val="16"/>
              </w:rPr>
              <w:t>财务人员工资控制数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9AFF">
            <w:pPr>
              <w:jc w:val="center"/>
            </w:pPr>
            <w:r>
              <w:rPr>
                <w:rFonts w:ascii="宋体" w:hAnsi="宋体" w:eastAsia="宋体"/>
                <w:sz w:val="16"/>
              </w:rPr>
              <w:t>&lt;=3.10万元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7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A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12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A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5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79E5">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1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67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C282">
            <w:pPr>
              <w:jc w:val="center"/>
            </w:pPr>
          </w:p>
        </w:tc>
      </w:tr>
      <w:tr w14:paraId="0A297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5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E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4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210D">
            <w:pPr>
              <w:jc w:val="center"/>
            </w:pPr>
            <w:r>
              <w:rPr>
                <w:rFonts w:hint="eastAsia" w:ascii="宋体" w:hAnsi="宋体"/>
                <w:sz w:val="16"/>
                <w:lang w:eastAsia="zh-CN"/>
              </w:rPr>
              <w:t>监督调查处置</w:t>
            </w:r>
            <w:r>
              <w:rPr>
                <w:rFonts w:ascii="宋体" w:hAnsi="宋体" w:eastAsia="宋体"/>
                <w:sz w:val="16"/>
              </w:rPr>
              <w:t>非法集资工作成本控制数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1BD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1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C0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70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3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B0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927F">
            <w:pPr>
              <w:jc w:val="center"/>
            </w:pPr>
            <w:r>
              <w:rPr>
                <w:rFonts w:ascii="宋体" w:hAnsi="宋体" w:eastAsia="宋体"/>
                <w:sz w:val="16"/>
              </w:rPr>
              <w: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6DBF">
            <w:pPr>
              <w:jc w:val="center"/>
            </w:pPr>
            <w:r>
              <w:rPr>
                <w:rFonts w:ascii="宋体" w:hAnsi="宋体" w:eastAsia="宋体"/>
                <w:sz w:val="16"/>
              </w:rPr>
              <w:t>15.17%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D0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60CD">
            <w:pPr>
              <w:jc w:val="center"/>
            </w:pPr>
            <w:r>
              <w:rPr>
                <w:rFonts w:ascii="宋体" w:hAnsi="宋体" w:eastAsia="宋体"/>
                <w:sz w:val="16"/>
              </w:rPr>
              <w:t>偏差原因：2024年4月州编办通知</w:t>
            </w:r>
            <w:r>
              <w:rPr>
                <w:rFonts w:hint="eastAsia" w:ascii="宋体" w:hAnsi="宋体"/>
                <w:sz w:val="16"/>
                <w:lang w:eastAsia="zh-CN"/>
              </w:rPr>
              <w:t>本部门</w:t>
            </w:r>
            <w:r>
              <w:rPr>
                <w:rFonts w:ascii="宋体" w:hAnsi="宋体" w:eastAsia="宋体"/>
                <w:sz w:val="16"/>
              </w:rPr>
              <w:t>要进行机构改革，2024年5月单位2名党组成员调出，仅有1名党组成员，无法召开</w:t>
            </w:r>
            <w:r>
              <w:rPr>
                <w:rFonts w:hint="eastAsia" w:ascii="宋体" w:hAnsi="宋体"/>
                <w:sz w:val="16"/>
                <w:lang w:eastAsia="zh-CN"/>
              </w:rPr>
              <w:t>“三重一大”</w:t>
            </w:r>
            <w:r>
              <w:rPr>
                <w:rFonts w:ascii="宋体" w:hAnsi="宋体" w:eastAsia="宋体"/>
                <w:sz w:val="16"/>
              </w:rPr>
              <w:t>会议研究大额资金开支</w:t>
            </w:r>
            <w:r>
              <w:rPr>
                <w:rFonts w:hint="eastAsia" w:ascii="宋体" w:hAnsi="宋体"/>
                <w:sz w:val="16"/>
                <w:lang w:eastAsia="zh-CN"/>
              </w:rPr>
              <w:t>。</w:t>
            </w:r>
            <w:r>
              <w:rPr>
                <w:rFonts w:ascii="宋体" w:hAnsi="宋体" w:eastAsia="宋体"/>
                <w:sz w:val="16"/>
              </w:rPr>
              <w:t>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D031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26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1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BF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61E5">
            <w:pPr>
              <w:jc w:val="center"/>
            </w:pPr>
            <w:r>
              <w:rPr>
                <w:rFonts w:ascii="宋体" w:hAnsi="宋体" w:eastAsia="宋体"/>
                <w:sz w:val="16"/>
              </w:rPr>
              <w:t>非法集资预警平台运维成本控制数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1563">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B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1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4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91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86B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79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60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AB57">
            <w:pPr>
              <w:jc w:val="center"/>
            </w:pPr>
            <w:r>
              <w:rPr>
                <w:rFonts w:ascii="宋体" w:hAnsi="宋体" w:eastAsia="宋体"/>
                <w:sz w:val="16"/>
              </w:rPr>
              <w:t>偏差原因：2024年4月州编办通知</w:t>
            </w:r>
            <w:r>
              <w:rPr>
                <w:rFonts w:hint="eastAsia" w:ascii="宋体" w:hAnsi="宋体"/>
                <w:sz w:val="16"/>
                <w:lang w:eastAsia="zh-CN"/>
              </w:rPr>
              <w:t>本部门</w:t>
            </w:r>
            <w:r>
              <w:rPr>
                <w:rFonts w:ascii="宋体" w:hAnsi="宋体" w:eastAsia="宋体"/>
                <w:sz w:val="16"/>
              </w:rPr>
              <w:t>要进行机构改革，2024年5月单位2名党组成员调出，仅有1名党组成员，无法召开</w:t>
            </w:r>
            <w:r>
              <w:rPr>
                <w:rFonts w:hint="eastAsia" w:ascii="宋体" w:hAnsi="宋体"/>
                <w:sz w:val="16"/>
                <w:lang w:eastAsia="zh-CN"/>
              </w:rPr>
              <w:t>“三重一大”</w:t>
            </w:r>
            <w:r>
              <w:rPr>
                <w:rFonts w:ascii="宋体" w:hAnsi="宋体" w:eastAsia="宋体"/>
                <w:sz w:val="16"/>
              </w:rPr>
              <w:t>会议研究大额资金开支</w:t>
            </w:r>
            <w:r>
              <w:rPr>
                <w:rFonts w:hint="eastAsia" w:ascii="宋体" w:hAnsi="宋体"/>
                <w:sz w:val="16"/>
                <w:lang w:eastAsia="zh-CN"/>
              </w:rPr>
              <w:t>。</w:t>
            </w:r>
            <w:r>
              <w:rPr>
                <w:rFonts w:ascii="宋体" w:hAnsi="宋体" w:eastAsia="宋体"/>
                <w:sz w:val="16"/>
              </w:rPr>
              <w:t>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62C53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C9E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B1D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6F7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95F0">
            <w:pPr>
              <w:jc w:val="center"/>
            </w:pPr>
            <w:r>
              <w:rPr>
                <w:rFonts w:ascii="宋体" w:hAnsi="宋体" w:eastAsia="宋体"/>
                <w:sz w:val="16"/>
              </w:rPr>
              <w:t>加强非法集资监测信息转送、分析和研判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AA53">
            <w:pPr>
              <w:jc w:val="center"/>
            </w:pPr>
            <w:r>
              <w:rPr>
                <w:rFonts w:ascii="宋体" w:hAnsi="宋体" w:eastAsia="宋体"/>
                <w:sz w:val="16"/>
              </w:rPr>
              <w:t>显著加强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0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C2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5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DD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C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ACE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C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F9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4362">
            <w:pPr>
              <w:jc w:val="center"/>
            </w:pPr>
          </w:p>
        </w:tc>
      </w:tr>
      <w:tr w14:paraId="42626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DA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FE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13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0A53">
            <w:pPr>
              <w:jc w:val="center"/>
            </w:pPr>
            <w:r>
              <w:rPr>
                <w:rFonts w:ascii="宋体" w:hAnsi="宋体" w:eastAsia="宋体"/>
                <w:sz w:val="16"/>
              </w:rPr>
              <w:t>处置非法集资工作监督检查结果公开率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5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0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C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BD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1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B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72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0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07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289F">
            <w:pPr>
              <w:jc w:val="center"/>
            </w:pPr>
          </w:p>
        </w:tc>
      </w:tr>
      <w:tr w14:paraId="1650E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44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3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0A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4A9F">
            <w:pPr>
              <w:jc w:val="center"/>
            </w:pPr>
            <w:r>
              <w:rPr>
                <w:rFonts w:ascii="宋体" w:hAnsi="宋体" w:eastAsia="宋体"/>
                <w:sz w:val="16"/>
              </w:rPr>
              <w:t>处置非法集资工作监督检查问题整改落实率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7F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A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7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34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4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7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2D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11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1AE5">
            <w:pPr>
              <w:jc w:val="center"/>
            </w:pPr>
          </w:p>
        </w:tc>
      </w:tr>
      <w:tr w14:paraId="73EBD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AB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9A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E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DA8C">
            <w:pPr>
              <w:jc w:val="center"/>
            </w:pPr>
            <w:r>
              <w:rPr>
                <w:rFonts w:ascii="宋体" w:hAnsi="宋体" w:eastAsia="宋体"/>
                <w:sz w:val="16"/>
              </w:rPr>
              <w:t>非法集资监测预警平台正常使用年限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3A11">
            <w:pPr>
              <w:jc w:val="center"/>
            </w:pPr>
            <w:r>
              <w:rPr>
                <w:rFonts w:ascii="宋体" w:hAnsi="宋体" w:eastAsia="宋体"/>
                <w:sz w:val="16"/>
              </w:rPr>
              <w:t>&gt;=5年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E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F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F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1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9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78EF">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F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5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6CDF">
            <w:pPr>
              <w:jc w:val="center"/>
            </w:pPr>
          </w:p>
        </w:tc>
      </w:tr>
      <w:tr w14:paraId="3CA69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98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88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51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C46B">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2380">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7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4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2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3F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2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4DB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9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D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D84E">
            <w:pPr>
              <w:jc w:val="center"/>
            </w:pPr>
          </w:p>
        </w:tc>
      </w:tr>
      <w:tr w14:paraId="60DCCD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77EE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EAB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D30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63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1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4C4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37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46D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55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6542">
            <w:pPr>
              <w:jc w:val="center"/>
            </w:pPr>
            <w:r>
              <w:rPr>
                <w:rFonts w:ascii="宋体" w:hAnsi="宋体" w:eastAsia="宋体"/>
                <w:sz w:val="16"/>
              </w:rPr>
              <w:t>70.62分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FD400"/>
        </w:tc>
      </w:tr>
    </w:tbl>
    <w:p w14:paraId="4BC9B3E4">
      <w:r>
        <w:br w:type="page"/>
      </w:r>
    </w:p>
    <w:p w14:paraId="01843A4A">
      <w:pPr>
        <w:spacing w:line="640" w:lineRule="exact"/>
        <w:ind w:firstLine="640"/>
        <w:jc w:val="both"/>
        <w:outlineLvl w:val="2"/>
      </w:pPr>
      <w:r>
        <w:rPr>
          <w:rFonts w:ascii="黑体" w:hAnsi="黑体" w:eastAsia="黑体"/>
          <w:sz w:val="32"/>
        </w:rPr>
        <w:t>十二、其他需说明的事项</w:t>
      </w:r>
    </w:p>
    <w:p w14:paraId="5F9C22F4">
      <w:pPr>
        <w:spacing w:line="580" w:lineRule="exact"/>
        <w:ind w:firstLine="640"/>
        <w:jc w:val="both"/>
      </w:pPr>
      <w:r>
        <w:rPr>
          <w:rFonts w:ascii="仿宋_GB2312" w:hAnsi="仿宋_GB2312" w:eastAsia="仿宋_GB2312"/>
          <w:b w:val="0"/>
          <w:sz w:val="32"/>
        </w:rPr>
        <w:t>本部门无其他需说明的事项。</w:t>
      </w:r>
    </w:p>
    <w:p w14:paraId="6730DE16">
      <w:r>
        <w:br w:type="page"/>
      </w:r>
    </w:p>
    <w:p w14:paraId="5064937D">
      <w:pPr>
        <w:spacing w:line="240" w:lineRule="auto"/>
        <w:jc w:val="center"/>
        <w:outlineLvl w:val="1"/>
      </w:pPr>
      <w:r>
        <w:rPr>
          <w:rFonts w:ascii="黑体" w:hAnsi="黑体" w:eastAsia="黑体"/>
          <w:sz w:val="32"/>
        </w:rPr>
        <w:t>第三部分 专业名词解释</w:t>
      </w:r>
    </w:p>
    <w:p w14:paraId="42C99A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36D7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58510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A504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0D1F2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37C2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18A85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E6F5B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ED07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6B57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D0460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3A58F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A1CFA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C5EA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099917">
      <w:r>
        <w:br w:type="page"/>
      </w:r>
    </w:p>
    <w:p w14:paraId="3CCAFFA9">
      <w:pPr>
        <w:spacing w:line="240" w:lineRule="auto"/>
        <w:jc w:val="center"/>
        <w:outlineLvl w:val="1"/>
      </w:pPr>
      <w:r>
        <w:rPr>
          <w:rFonts w:ascii="黑体" w:hAnsi="黑体" w:eastAsia="黑体"/>
          <w:sz w:val="32"/>
        </w:rPr>
        <w:t>第四部分 部门决算报表（见附表）</w:t>
      </w:r>
    </w:p>
    <w:p w14:paraId="70D98595">
      <w:pPr>
        <w:spacing w:line="240" w:lineRule="auto"/>
        <w:ind w:firstLine="640"/>
        <w:jc w:val="both"/>
      </w:pPr>
      <w:r>
        <w:rPr>
          <w:rFonts w:ascii="仿宋_GB2312" w:hAnsi="仿宋_GB2312" w:eastAsia="仿宋_GB2312"/>
          <w:b w:val="0"/>
          <w:sz w:val="32"/>
        </w:rPr>
        <w:t>一、《收入支出决算总表》</w:t>
      </w:r>
    </w:p>
    <w:p w14:paraId="249F7DE9">
      <w:pPr>
        <w:spacing w:line="240" w:lineRule="auto"/>
        <w:ind w:firstLine="640"/>
        <w:jc w:val="both"/>
      </w:pPr>
      <w:r>
        <w:rPr>
          <w:rFonts w:ascii="仿宋_GB2312" w:hAnsi="仿宋_GB2312" w:eastAsia="仿宋_GB2312"/>
          <w:b w:val="0"/>
          <w:sz w:val="32"/>
        </w:rPr>
        <w:t>二、《收入决算表》</w:t>
      </w:r>
    </w:p>
    <w:p w14:paraId="4A4C4F32">
      <w:pPr>
        <w:spacing w:line="240" w:lineRule="auto"/>
        <w:ind w:firstLine="640"/>
        <w:jc w:val="both"/>
      </w:pPr>
      <w:r>
        <w:rPr>
          <w:rFonts w:ascii="仿宋_GB2312" w:hAnsi="仿宋_GB2312" w:eastAsia="仿宋_GB2312"/>
          <w:b w:val="0"/>
          <w:sz w:val="32"/>
        </w:rPr>
        <w:t>三、《支出决算表》</w:t>
      </w:r>
    </w:p>
    <w:p w14:paraId="4CC64B36">
      <w:pPr>
        <w:spacing w:line="240" w:lineRule="auto"/>
        <w:ind w:firstLine="640"/>
        <w:jc w:val="both"/>
      </w:pPr>
      <w:r>
        <w:rPr>
          <w:rFonts w:ascii="仿宋_GB2312" w:hAnsi="仿宋_GB2312" w:eastAsia="仿宋_GB2312"/>
          <w:b w:val="0"/>
          <w:sz w:val="32"/>
        </w:rPr>
        <w:t>四、《财政拨款收入支出决算总表》</w:t>
      </w:r>
    </w:p>
    <w:p w14:paraId="59532762">
      <w:pPr>
        <w:spacing w:line="240" w:lineRule="auto"/>
        <w:ind w:firstLine="640"/>
        <w:jc w:val="both"/>
      </w:pPr>
      <w:r>
        <w:rPr>
          <w:rFonts w:ascii="仿宋_GB2312" w:hAnsi="仿宋_GB2312" w:eastAsia="仿宋_GB2312"/>
          <w:b w:val="0"/>
          <w:sz w:val="32"/>
        </w:rPr>
        <w:t>五、《一般公共预算财政拨款支出决算表》</w:t>
      </w:r>
    </w:p>
    <w:p w14:paraId="6FC34CFB">
      <w:pPr>
        <w:spacing w:line="240" w:lineRule="auto"/>
        <w:ind w:firstLine="640"/>
        <w:jc w:val="both"/>
      </w:pPr>
      <w:r>
        <w:rPr>
          <w:rFonts w:ascii="仿宋_GB2312" w:hAnsi="仿宋_GB2312" w:eastAsia="仿宋_GB2312"/>
          <w:b w:val="0"/>
          <w:sz w:val="32"/>
        </w:rPr>
        <w:t>六、《一般公共预算财政拨款基本支出决算表》</w:t>
      </w:r>
    </w:p>
    <w:p w14:paraId="6F692626">
      <w:pPr>
        <w:spacing w:line="240" w:lineRule="auto"/>
        <w:ind w:firstLine="640"/>
        <w:jc w:val="both"/>
      </w:pPr>
      <w:r>
        <w:rPr>
          <w:rFonts w:ascii="仿宋_GB2312" w:hAnsi="仿宋_GB2312" w:eastAsia="仿宋_GB2312"/>
          <w:b w:val="0"/>
          <w:sz w:val="32"/>
        </w:rPr>
        <w:t>七、《政府性基金预算财政拨款收入支出决算表》</w:t>
      </w:r>
    </w:p>
    <w:p w14:paraId="432304A2">
      <w:pPr>
        <w:spacing w:line="240" w:lineRule="auto"/>
        <w:ind w:firstLine="640"/>
        <w:jc w:val="both"/>
      </w:pPr>
      <w:r>
        <w:rPr>
          <w:rFonts w:ascii="仿宋_GB2312" w:hAnsi="仿宋_GB2312" w:eastAsia="仿宋_GB2312"/>
          <w:b w:val="0"/>
          <w:sz w:val="32"/>
        </w:rPr>
        <w:t>八、《国有资本经营预算财政拨款收入支出决算表》</w:t>
      </w:r>
    </w:p>
    <w:p w14:paraId="4F2244B8">
      <w:pPr>
        <w:spacing w:line="240" w:lineRule="auto"/>
        <w:ind w:firstLine="640"/>
        <w:jc w:val="both"/>
      </w:pPr>
      <w:r>
        <w:rPr>
          <w:rFonts w:ascii="仿宋_GB2312" w:hAnsi="仿宋_GB2312" w:eastAsia="仿宋_GB2312"/>
          <w:b w:val="0"/>
          <w:sz w:val="32"/>
        </w:rPr>
        <w:t>九、《财政拨款“三公”经费支出决算表》</w:t>
      </w:r>
    </w:p>
    <w:p w14:paraId="4A9461C0">
      <w:pPr>
        <w:spacing w:line="240" w:lineRule="auto"/>
        <w:ind w:firstLine="640"/>
        <w:jc w:val="both"/>
      </w:pPr>
    </w:p>
    <w:p w14:paraId="214C0EF9">
      <w:pPr>
        <w:spacing w:line="240" w:lineRule="auto"/>
        <w:ind w:firstLine="640"/>
        <w:jc w:val="both"/>
      </w:pPr>
    </w:p>
    <w:p w14:paraId="29244A24">
      <w:pPr>
        <w:spacing w:line="240" w:lineRule="auto"/>
        <w:ind w:firstLine="640"/>
        <w:jc w:val="both"/>
      </w:pPr>
    </w:p>
    <w:p w14:paraId="035C4CE1">
      <w:pPr>
        <w:spacing w:line="240" w:lineRule="auto"/>
        <w:ind w:firstLine="640"/>
        <w:jc w:val="both"/>
      </w:pPr>
    </w:p>
    <w:p w14:paraId="5C2FA0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993891-965C-4495-8651-0B6EB09CE7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2D3DA79-D4D5-4FD1-B89D-A516FBE823F5}"/>
  </w:font>
  <w:font w:name="仿宋_GB2312">
    <w:altName w:val="仿宋"/>
    <w:panose1 w:val="02010609030101010101"/>
    <w:charset w:val="86"/>
    <w:family w:val="modern"/>
    <w:pitch w:val="default"/>
    <w:sig w:usb0="00000000" w:usb1="00000000" w:usb2="00000000" w:usb3="00000000" w:csb0="00040000" w:csb1="00000000"/>
    <w:embedRegular r:id="rId3" w:fontKey="{DA4670DF-7EF3-4BF1-8B45-E67FBBBF608D}"/>
  </w:font>
  <w:font w:name="楷体_GB2312">
    <w:altName w:val="楷体"/>
    <w:panose1 w:val="02010609030101010101"/>
    <w:charset w:val="86"/>
    <w:family w:val="auto"/>
    <w:pitch w:val="default"/>
    <w:sig w:usb0="00000000" w:usb1="00000000" w:usb2="00000000" w:usb3="00000000" w:csb0="00040000" w:csb1="00000000"/>
    <w:embedRegular r:id="rId4" w:fontKey="{AB2D52F4-B2B2-474A-9012-42101C9654FC}"/>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21209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894FFF"/>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AE54FD"/>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4834</Words>
  <Characters>5549</Characters>
  <Lines>0</Lines>
  <Paragraphs>0</Paragraphs>
  <TotalTime>17</TotalTime>
  <ScaleCrop>false</ScaleCrop>
  <LinksUpToDate>false</LinksUpToDate>
  <CharactersWithSpaces>5557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2025-09-22T02:59:31Z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