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新疆巴州党委党史地方志办公室2024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01A1894">
      <w:r>
        <w:br w:type="page"/>
      </w:r>
    </w:p>
    <w:p w14:paraId="77D74411">
      <w:pPr>
        <w:spacing w:line="640" w:lineRule="exact"/>
        <w:jc w:val="center"/>
        <w:outlineLvl w:val="1"/>
      </w:pPr>
      <w:r>
        <w:rPr>
          <w:rFonts w:ascii="黑体" w:hAnsi="黑体" w:eastAsia="黑体"/>
          <w:sz w:val="32"/>
        </w:rPr>
        <w:t>第一部分 部门概况</w:t>
      </w:r>
    </w:p>
    <w:p w14:paraId="77DC9AC2">
      <w:pPr>
        <w:spacing w:line="640" w:lineRule="exact"/>
        <w:ind w:firstLine="640"/>
        <w:jc w:val="both"/>
        <w:outlineLvl w:val="2"/>
      </w:pPr>
      <w:r>
        <w:rPr>
          <w:rFonts w:ascii="黑体" w:hAnsi="黑体" w:eastAsia="黑体"/>
          <w:sz w:val="32"/>
        </w:rPr>
        <w:t>一、主要职能</w:t>
      </w:r>
    </w:p>
    <w:p w14:paraId="41BD8746">
      <w:pPr>
        <w:spacing w:line="580" w:lineRule="exact"/>
        <w:ind w:firstLine="640"/>
        <w:jc w:val="both"/>
      </w:pPr>
      <w:r>
        <w:rPr>
          <w:rFonts w:ascii="仿宋_GB2312" w:hAnsi="仿宋_GB2312" w:eastAsia="仿宋_GB2312"/>
          <w:sz w:val="32"/>
        </w:rPr>
        <w:t>（一）拟定自治州党史、地方志工作规划和编纂方案。</w:t>
      </w:r>
    </w:p>
    <w:p w14:paraId="6E2218DC">
      <w:pPr>
        <w:spacing w:line="580" w:lineRule="exact"/>
        <w:ind w:firstLine="640"/>
        <w:jc w:val="both"/>
      </w:pPr>
      <w:r>
        <w:rPr>
          <w:rFonts w:ascii="仿宋_GB2312" w:hAnsi="仿宋_GB2312" w:eastAsia="仿宋_GB2312"/>
          <w:sz w:val="32"/>
        </w:rPr>
        <w:t>（二）组织搜集、整理、保存自治州党史、地方志文献资料。</w:t>
      </w:r>
    </w:p>
    <w:p w14:paraId="3FAF78AC">
      <w:pPr>
        <w:spacing w:line="580" w:lineRule="exact"/>
        <w:ind w:firstLine="640"/>
        <w:jc w:val="both"/>
      </w:pPr>
      <w:r>
        <w:rPr>
          <w:rFonts w:ascii="仿宋_GB2312" w:hAnsi="仿宋_GB2312" w:eastAsia="仿宋_GB2312"/>
          <w:sz w:val="32"/>
        </w:rPr>
        <w:t>（三）组织编纂、出版和发行党史著作、地方志书、综合年鉴。</w:t>
      </w:r>
    </w:p>
    <w:p w14:paraId="7D752E8C">
      <w:pPr>
        <w:spacing w:line="580" w:lineRule="exact"/>
        <w:ind w:firstLine="640"/>
        <w:jc w:val="both"/>
      </w:pPr>
      <w:r>
        <w:rPr>
          <w:rFonts w:ascii="仿宋_GB2312" w:hAnsi="仿宋_GB2312" w:eastAsia="仿宋_GB2312"/>
          <w:sz w:val="32"/>
        </w:rPr>
        <w:t>（四）开发利用党史地方志资源，开展党史地方志理论研究。</w:t>
      </w:r>
    </w:p>
    <w:p w14:paraId="6CC9AA2A">
      <w:pPr>
        <w:spacing w:line="580" w:lineRule="exact"/>
        <w:ind w:firstLine="640"/>
        <w:jc w:val="both"/>
      </w:pPr>
      <w:r>
        <w:rPr>
          <w:rFonts w:ascii="仿宋_GB2312" w:hAnsi="仿宋_GB2312" w:eastAsia="仿宋_GB2312"/>
          <w:sz w:val="32"/>
        </w:rPr>
        <w:t>（五）组织、指导和督促检查县市地方志和州直部门行业志书编纂工作。</w:t>
      </w:r>
    </w:p>
    <w:p w14:paraId="3AFB2B3F">
      <w:pPr>
        <w:spacing w:line="580" w:lineRule="exact"/>
        <w:ind w:firstLine="640"/>
        <w:jc w:val="both"/>
      </w:pPr>
      <w:r>
        <w:rPr>
          <w:rFonts w:ascii="仿宋_GB2312" w:hAnsi="仿宋_GB2312" w:eastAsia="仿宋_GB2312"/>
          <w:sz w:val="32"/>
        </w:rPr>
        <w:t>（六）培训全州党史地方志业务工作人员。</w:t>
      </w:r>
    </w:p>
    <w:p w14:paraId="09EF6F99">
      <w:pPr>
        <w:spacing w:line="580" w:lineRule="exact"/>
        <w:ind w:firstLine="640"/>
        <w:jc w:val="both"/>
      </w:pPr>
      <w:r>
        <w:rPr>
          <w:rFonts w:ascii="仿宋_GB2312" w:hAnsi="仿宋_GB2312" w:eastAsia="仿宋_GB2312"/>
          <w:sz w:val="32"/>
        </w:rPr>
        <w:t>（七）承办</w:t>
      </w:r>
      <w:r>
        <w:rPr>
          <w:rFonts w:hint="eastAsia" w:ascii="仿宋_GB2312" w:hAnsi="仿宋_GB2312" w:eastAsia="仿宋_GB2312"/>
          <w:sz w:val="32"/>
          <w:lang w:eastAsia="zh-CN"/>
        </w:rPr>
        <w:t>州委、州政府</w:t>
      </w:r>
      <w:r>
        <w:rPr>
          <w:rFonts w:ascii="仿宋_GB2312" w:hAnsi="仿宋_GB2312" w:eastAsia="仿宋_GB2312"/>
          <w:sz w:val="32"/>
        </w:rPr>
        <w:t>和上级主管部门交办的其他工作。</w:t>
      </w:r>
    </w:p>
    <w:p w14:paraId="6EFF35F7">
      <w:pPr>
        <w:spacing w:line="640" w:lineRule="exact"/>
        <w:ind w:firstLine="640"/>
        <w:jc w:val="both"/>
        <w:outlineLvl w:val="2"/>
      </w:pPr>
      <w:r>
        <w:rPr>
          <w:rFonts w:ascii="黑体" w:hAnsi="黑体" w:eastAsia="黑体"/>
          <w:sz w:val="32"/>
        </w:rPr>
        <w:t>二、机构设置及人员情况</w:t>
      </w:r>
    </w:p>
    <w:p w14:paraId="6D049734">
      <w:pPr>
        <w:spacing w:line="580" w:lineRule="exact"/>
        <w:ind w:firstLine="640"/>
        <w:jc w:val="both"/>
      </w:pPr>
      <w:r>
        <w:rPr>
          <w:rFonts w:ascii="仿宋_GB2312" w:hAnsi="仿宋_GB2312" w:eastAsia="仿宋_GB2312"/>
          <w:sz w:val="32"/>
        </w:rPr>
        <w:t>新疆巴州党委党史地方志办公室2024年度，实有人数20人，其中：在职人员7人，增加0人；离休人员0人，增加0人；退休人员13人,增加0人。</w:t>
      </w:r>
    </w:p>
    <w:p w14:paraId="55068229">
      <w:pPr>
        <w:spacing w:line="580" w:lineRule="exact"/>
        <w:ind w:firstLine="640"/>
        <w:jc w:val="both"/>
      </w:pPr>
      <w:r>
        <w:rPr>
          <w:rFonts w:ascii="仿宋_GB2312" w:hAnsi="仿宋_GB2312" w:eastAsia="仿宋_GB2312"/>
          <w:sz w:val="32"/>
        </w:rPr>
        <w:t>新疆巴州党委党史地方志办公室无下属预算单位，下设3个科室，分别是：综合科、地方志科、党史科。</w:t>
      </w:r>
    </w:p>
    <w:p w14:paraId="6518F536">
      <w:r>
        <w:br w:type="page"/>
      </w:r>
    </w:p>
    <w:p w14:paraId="4B37CDDC">
      <w:pPr>
        <w:spacing w:line="240" w:lineRule="auto"/>
        <w:jc w:val="center"/>
        <w:outlineLvl w:val="1"/>
      </w:pPr>
      <w:r>
        <w:rPr>
          <w:rFonts w:ascii="黑体" w:hAnsi="黑体" w:eastAsia="黑体"/>
          <w:sz w:val="32"/>
        </w:rPr>
        <w:t>第二部分 部门决算情况说明</w:t>
      </w:r>
    </w:p>
    <w:p w14:paraId="2518E37E">
      <w:pPr>
        <w:spacing w:line="640" w:lineRule="exact"/>
        <w:ind w:firstLine="640"/>
        <w:jc w:val="both"/>
        <w:outlineLvl w:val="2"/>
      </w:pPr>
      <w:r>
        <w:rPr>
          <w:rFonts w:ascii="黑体" w:hAnsi="黑体" w:eastAsia="黑体"/>
          <w:sz w:val="32"/>
        </w:rPr>
        <w:t>一、收入支出决算总体情况说明</w:t>
      </w:r>
    </w:p>
    <w:p w14:paraId="5B94435E">
      <w:pPr>
        <w:spacing w:line="580" w:lineRule="exact"/>
        <w:ind w:firstLine="640"/>
        <w:jc w:val="both"/>
      </w:pPr>
      <w:r>
        <w:rPr>
          <w:rFonts w:ascii="仿宋_GB2312" w:hAnsi="仿宋_GB2312" w:eastAsia="仿宋_GB2312"/>
          <w:b/>
          <w:sz w:val="32"/>
        </w:rPr>
        <w:t>2024年度收入总计264.42万元，</w:t>
      </w:r>
      <w:r>
        <w:rPr>
          <w:rFonts w:ascii="仿宋_GB2312" w:hAnsi="仿宋_GB2312" w:eastAsia="仿宋_GB2312"/>
          <w:b w:val="0"/>
          <w:sz w:val="32"/>
        </w:rPr>
        <w:t>其中：本年收入合计260.98万元，使用非财政拨款结余（含专用结余）0.00万元，年初结转和结余3.45万元。</w:t>
      </w:r>
    </w:p>
    <w:p w14:paraId="7539A695">
      <w:pPr>
        <w:spacing w:line="580" w:lineRule="exact"/>
        <w:ind w:firstLine="640"/>
        <w:jc w:val="both"/>
      </w:pPr>
      <w:r>
        <w:rPr>
          <w:rFonts w:ascii="仿宋_GB2312" w:hAnsi="仿宋_GB2312" w:eastAsia="仿宋_GB2312"/>
          <w:b/>
          <w:sz w:val="32"/>
        </w:rPr>
        <w:t>2024年度支出总计264.42万元，</w:t>
      </w:r>
      <w:r>
        <w:rPr>
          <w:rFonts w:ascii="仿宋_GB2312" w:hAnsi="仿宋_GB2312" w:eastAsia="仿宋_GB2312"/>
          <w:b w:val="0"/>
          <w:sz w:val="32"/>
        </w:rPr>
        <w:t>其中：本年支出合计264.22万元，结余分配0.00万元，年末结转和结余0.20万元。</w:t>
      </w:r>
    </w:p>
    <w:p w14:paraId="517D3000">
      <w:pPr>
        <w:spacing w:line="580" w:lineRule="exact"/>
        <w:ind w:firstLine="640"/>
        <w:jc w:val="both"/>
      </w:pPr>
      <w:r>
        <w:rPr>
          <w:rFonts w:ascii="仿宋_GB2312" w:hAnsi="仿宋_GB2312" w:eastAsia="仿宋_GB2312"/>
          <w:b w:val="0"/>
          <w:sz w:val="32"/>
        </w:rPr>
        <w:t>收入支出总体与上年相比，增加34.87万元，增长15.19%，主要原因是：本年增加《巴州全面小康志》编纂、审校、出版、印刷项目和巴州史志年鉴柔性引才项目。</w:t>
      </w:r>
    </w:p>
    <w:p w14:paraId="21A82EF0">
      <w:pPr>
        <w:spacing w:line="640" w:lineRule="exact"/>
        <w:ind w:firstLine="640"/>
        <w:jc w:val="both"/>
        <w:outlineLvl w:val="2"/>
      </w:pPr>
      <w:r>
        <w:rPr>
          <w:rFonts w:ascii="黑体" w:hAnsi="黑体" w:eastAsia="黑体"/>
          <w:sz w:val="32"/>
        </w:rPr>
        <w:t>二、收入决算情况说明</w:t>
      </w:r>
    </w:p>
    <w:p w14:paraId="42097BE7">
      <w:pPr>
        <w:spacing w:line="580" w:lineRule="exact"/>
        <w:ind w:firstLine="640"/>
        <w:jc w:val="both"/>
      </w:pPr>
      <w:r>
        <w:rPr>
          <w:rFonts w:ascii="仿宋_GB2312" w:hAnsi="仿宋_GB2312" w:eastAsia="仿宋_GB2312"/>
          <w:b/>
          <w:sz w:val="32"/>
        </w:rPr>
        <w:t>本年收入260.98万元，</w:t>
      </w:r>
      <w:r>
        <w:rPr>
          <w:rFonts w:ascii="仿宋_GB2312" w:hAnsi="仿宋_GB2312" w:eastAsia="仿宋_GB2312"/>
          <w:b w:val="0"/>
          <w:sz w:val="32"/>
        </w:rPr>
        <w:t>其中：财政拨款收入256.93万元，占98.45%；上级补助收入0.00万元，占0.00%；事业收入0.00万元，占0.00%；经营收入0.00万元，占0.00%；附属单位上缴收入0.00万元，占0.00%；其他收入4.05万元，占1.55%。</w:t>
      </w:r>
    </w:p>
    <w:p w14:paraId="3C62E2E8">
      <w:pPr>
        <w:spacing w:line="640" w:lineRule="exact"/>
        <w:ind w:firstLine="640"/>
        <w:jc w:val="both"/>
        <w:outlineLvl w:val="2"/>
      </w:pPr>
      <w:r>
        <w:rPr>
          <w:rFonts w:ascii="黑体" w:hAnsi="黑体" w:eastAsia="黑体"/>
          <w:sz w:val="32"/>
        </w:rPr>
        <w:t>三、支出决算情况说明</w:t>
      </w:r>
    </w:p>
    <w:p w14:paraId="378B26DE">
      <w:pPr>
        <w:spacing w:line="580" w:lineRule="exact"/>
        <w:ind w:firstLine="640"/>
        <w:jc w:val="both"/>
      </w:pPr>
      <w:r>
        <w:rPr>
          <w:rFonts w:ascii="仿宋_GB2312" w:hAnsi="仿宋_GB2312" w:eastAsia="仿宋_GB2312"/>
          <w:b/>
          <w:sz w:val="32"/>
        </w:rPr>
        <w:t>本年支出264.22万元，</w:t>
      </w:r>
      <w:r>
        <w:rPr>
          <w:rFonts w:ascii="仿宋_GB2312" w:hAnsi="仿宋_GB2312" w:eastAsia="仿宋_GB2312"/>
          <w:b w:val="0"/>
          <w:sz w:val="32"/>
        </w:rPr>
        <w:t>其中：基本支出156.89万元，占59.38%；项目支出107.33万元，占40.62%；上缴上级支出0.00万元，占0.00%；经营支出0.00万元，占0.00%；对附属单位补助支出0.00万元，占0.00%。</w:t>
      </w:r>
    </w:p>
    <w:p w14:paraId="4A272780">
      <w:pPr>
        <w:spacing w:line="640" w:lineRule="exact"/>
        <w:ind w:firstLine="640"/>
        <w:jc w:val="both"/>
        <w:outlineLvl w:val="2"/>
      </w:pPr>
      <w:r>
        <w:rPr>
          <w:rFonts w:ascii="黑体" w:hAnsi="黑体" w:eastAsia="黑体"/>
          <w:sz w:val="32"/>
        </w:rPr>
        <w:t>四、财政拨款收入支出决算总体情况说明</w:t>
      </w:r>
    </w:p>
    <w:p w14:paraId="3D3D475D">
      <w:pPr>
        <w:spacing w:line="580" w:lineRule="exact"/>
        <w:ind w:firstLine="640"/>
        <w:jc w:val="both"/>
      </w:pPr>
      <w:r>
        <w:rPr>
          <w:rFonts w:ascii="仿宋_GB2312" w:hAnsi="仿宋_GB2312" w:eastAsia="仿宋_GB2312"/>
          <w:b/>
          <w:sz w:val="32"/>
        </w:rPr>
        <w:t>2024年度财政拨款收入总计256.93万元，</w:t>
      </w:r>
      <w:r>
        <w:rPr>
          <w:rFonts w:ascii="仿宋_GB2312" w:hAnsi="仿宋_GB2312" w:eastAsia="仿宋_GB2312"/>
          <w:b w:val="0"/>
          <w:sz w:val="32"/>
        </w:rPr>
        <w:t>其中：年初财政拨款结转和结余0.00万元，本年财政拨款收入256.93万元。</w:t>
      </w:r>
      <w:r>
        <w:rPr>
          <w:rFonts w:ascii="仿宋_GB2312" w:hAnsi="仿宋_GB2312" w:eastAsia="仿宋_GB2312"/>
          <w:b/>
          <w:sz w:val="32"/>
        </w:rPr>
        <w:t>财政拨款支出总计256.93万元，</w:t>
      </w:r>
      <w:r>
        <w:rPr>
          <w:rFonts w:ascii="仿宋_GB2312" w:hAnsi="仿宋_GB2312" w:eastAsia="仿宋_GB2312"/>
          <w:b w:val="0"/>
          <w:sz w:val="32"/>
        </w:rPr>
        <w:t>其中：年末财政拨款结转和结余0.00万元，本年财政拨款支出256.93万元。</w:t>
      </w:r>
    </w:p>
    <w:p w14:paraId="2E21AF9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增加33.93万元，增长15.22%，主要原因是：本年增加《巴州全面小康志》编纂、审校、出版、印刷项目和巴州史志年鉴柔性引才项目。</w:t>
      </w:r>
      <w:r>
        <w:rPr>
          <w:rFonts w:ascii="仿宋_GB2312" w:hAnsi="仿宋_GB2312" w:eastAsia="仿宋_GB2312"/>
          <w:b/>
          <w:sz w:val="32"/>
        </w:rPr>
        <w:t>与年初预算相比，</w:t>
      </w:r>
      <w:r>
        <w:rPr>
          <w:rFonts w:ascii="仿宋_GB2312" w:hAnsi="仿宋_GB2312" w:eastAsia="仿宋_GB2312"/>
          <w:b w:val="0"/>
          <w:sz w:val="32"/>
        </w:rPr>
        <w:t>年初预算数209.00万元，决算数256.93万元，预决算差异率22.93%，主要原因是：年中追加《巴州全面小康志》编纂、审校、出版、印刷项目，导致预决算存在差异。</w:t>
      </w:r>
    </w:p>
    <w:p w14:paraId="300F34BD">
      <w:pPr>
        <w:spacing w:line="640" w:lineRule="exact"/>
        <w:ind w:firstLine="640"/>
        <w:jc w:val="both"/>
        <w:outlineLvl w:val="2"/>
      </w:pPr>
      <w:r>
        <w:rPr>
          <w:rFonts w:ascii="黑体" w:hAnsi="黑体" w:eastAsia="黑体"/>
          <w:sz w:val="32"/>
        </w:rPr>
        <w:t>五、一般公共预算财政拨款支出决算情况说明</w:t>
      </w:r>
    </w:p>
    <w:p w14:paraId="6817BA55">
      <w:pPr>
        <w:spacing w:line="640" w:lineRule="exact"/>
        <w:ind w:firstLine="640"/>
        <w:jc w:val="both"/>
        <w:outlineLvl w:val="3"/>
      </w:pPr>
      <w:r>
        <w:rPr>
          <w:rFonts w:ascii="楷体_GB2312" w:hAnsi="楷体_GB2312" w:eastAsia="楷体_GB2312"/>
          <w:b/>
          <w:sz w:val="32"/>
        </w:rPr>
        <w:t>（一）一般公共预算财政拨款支出决算总体情况</w:t>
      </w:r>
    </w:p>
    <w:p w14:paraId="39EA326D">
      <w:pPr>
        <w:spacing w:line="580" w:lineRule="exact"/>
        <w:ind w:firstLine="640"/>
        <w:jc w:val="both"/>
      </w:pPr>
      <w:r>
        <w:rPr>
          <w:rFonts w:ascii="仿宋_GB2312" w:hAnsi="仿宋_GB2312" w:eastAsia="仿宋_GB2312"/>
          <w:b/>
          <w:sz w:val="32"/>
        </w:rPr>
        <w:t>2024年度一般公共预算财政拨款支出256.93万元，</w:t>
      </w:r>
      <w:r>
        <w:rPr>
          <w:rFonts w:ascii="仿宋_GB2312" w:hAnsi="仿宋_GB2312" w:eastAsia="仿宋_GB2312"/>
          <w:b w:val="0"/>
          <w:sz w:val="32"/>
        </w:rPr>
        <w:t>占本年支出合计的97.24%。</w:t>
      </w:r>
      <w:r>
        <w:rPr>
          <w:rFonts w:ascii="仿宋_GB2312" w:hAnsi="仿宋_GB2312" w:eastAsia="仿宋_GB2312"/>
          <w:b/>
          <w:sz w:val="32"/>
        </w:rPr>
        <w:t>与上年相比，</w:t>
      </w:r>
      <w:r>
        <w:rPr>
          <w:rFonts w:ascii="仿宋_GB2312" w:hAnsi="仿宋_GB2312" w:eastAsia="仿宋_GB2312"/>
          <w:b w:val="0"/>
          <w:sz w:val="32"/>
        </w:rPr>
        <w:t>增加33.93万元，增长15.22%，主要原因是：本年增加《巴州全面小康志》编纂、审校、出版、印刷项目、巴州史志年鉴柔性引才项目。</w:t>
      </w:r>
      <w:r>
        <w:rPr>
          <w:rFonts w:ascii="仿宋_GB2312" w:hAnsi="仿宋_GB2312" w:eastAsia="仿宋_GB2312"/>
          <w:b/>
          <w:sz w:val="32"/>
        </w:rPr>
        <w:t>与年初预算相比,</w:t>
      </w:r>
      <w:r>
        <w:rPr>
          <w:rFonts w:ascii="仿宋_GB2312" w:hAnsi="仿宋_GB2312" w:eastAsia="仿宋_GB2312"/>
          <w:b w:val="0"/>
          <w:sz w:val="32"/>
        </w:rPr>
        <w:t>年初预算数209.00万元，决算数256.93万元，预决算差异率22.93%，主要原因是：年中追加《巴州全面小康志》编纂、审校、出版、印刷项目，导致预决算存在差异。</w:t>
      </w:r>
    </w:p>
    <w:p w14:paraId="48582E4F">
      <w:pPr>
        <w:spacing w:line="640" w:lineRule="exact"/>
        <w:ind w:firstLine="640"/>
        <w:jc w:val="both"/>
        <w:outlineLvl w:val="3"/>
      </w:pPr>
      <w:r>
        <w:rPr>
          <w:rFonts w:ascii="楷体_GB2312" w:hAnsi="楷体_GB2312" w:eastAsia="楷体_GB2312"/>
          <w:b/>
          <w:sz w:val="32"/>
        </w:rPr>
        <w:t>（二）一般公共预算财政拨款支出决算结构情况</w:t>
      </w:r>
    </w:p>
    <w:p w14:paraId="6E6BDCF2">
      <w:pPr>
        <w:spacing w:line="580" w:lineRule="exact"/>
        <w:ind w:firstLine="640"/>
        <w:jc w:val="both"/>
      </w:pPr>
      <w:r>
        <w:rPr>
          <w:rFonts w:ascii="仿宋_GB2312" w:hAnsi="仿宋_GB2312" w:eastAsia="仿宋_GB2312"/>
          <w:b w:val="0"/>
          <w:sz w:val="32"/>
        </w:rPr>
        <w:t>1.一般公共服务支出(类)204.59万元,占79.63%。</w:t>
      </w:r>
    </w:p>
    <w:p w14:paraId="2A3DE664">
      <w:pPr>
        <w:spacing w:line="580" w:lineRule="exact"/>
        <w:ind w:firstLine="640"/>
        <w:jc w:val="both"/>
      </w:pPr>
      <w:r>
        <w:rPr>
          <w:rFonts w:ascii="仿宋_GB2312" w:hAnsi="仿宋_GB2312" w:eastAsia="仿宋_GB2312"/>
          <w:b w:val="0"/>
          <w:sz w:val="32"/>
        </w:rPr>
        <w:t>2.教育支出(类)0.01万元,占0.004%。</w:t>
      </w:r>
    </w:p>
    <w:p w14:paraId="3E289CE5">
      <w:pPr>
        <w:spacing w:line="580" w:lineRule="exact"/>
        <w:ind w:firstLine="640"/>
        <w:jc w:val="both"/>
      </w:pPr>
      <w:r>
        <w:rPr>
          <w:rFonts w:ascii="仿宋_GB2312" w:hAnsi="仿宋_GB2312" w:eastAsia="仿宋_GB2312"/>
          <w:b w:val="0"/>
          <w:sz w:val="32"/>
        </w:rPr>
        <w:t>3.社会保障和就业支出(类)34.18万元,占13.30%。</w:t>
      </w:r>
    </w:p>
    <w:p w14:paraId="0184EE48">
      <w:pPr>
        <w:spacing w:line="580" w:lineRule="exact"/>
        <w:ind w:firstLine="640"/>
        <w:jc w:val="both"/>
      </w:pPr>
      <w:r>
        <w:rPr>
          <w:rFonts w:ascii="仿宋_GB2312" w:hAnsi="仿宋_GB2312" w:eastAsia="仿宋_GB2312"/>
          <w:b w:val="0"/>
          <w:sz w:val="32"/>
        </w:rPr>
        <w:t>4.卫生健康支出(类)8.25万元,占3.21%。</w:t>
      </w:r>
    </w:p>
    <w:p w14:paraId="2BA9C7FD">
      <w:pPr>
        <w:spacing w:line="580" w:lineRule="exact"/>
        <w:ind w:firstLine="640"/>
        <w:jc w:val="both"/>
      </w:pPr>
      <w:r>
        <w:rPr>
          <w:rFonts w:ascii="仿宋_GB2312" w:hAnsi="仿宋_GB2312" w:eastAsia="仿宋_GB2312"/>
          <w:b w:val="0"/>
          <w:sz w:val="32"/>
        </w:rPr>
        <w:t>5.住房保障支出(类)9.9万元,占3.85%。</w:t>
      </w:r>
    </w:p>
    <w:p w14:paraId="7326F605">
      <w:pPr>
        <w:spacing w:line="640" w:lineRule="exact"/>
        <w:ind w:firstLine="640"/>
        <w:jc w:val="both"/>
        <w:outlineLvl w:val="3"/>
      </w:pPr>
      <w:r>
        <w:rPr>
          <w:rFonts w:ascii="楷体_GB2312" w:hAnsi="楷体_GB2312" w:eastAsia="楷体_GB2312"/>
          <w:b/>
          <w:sz w:val="32"/>
        </w:rPr>
        <w:t>（三）一般公共预算财政拨款支出决算具体情况</w:t>
      </w:r>
    </w:p>
    <w:p w14:paraId="5AE4629B">
      <w:pPr>
        <w:spacing w:line="580" w:lineRule="exact"/>
        <w:ind w:firstLine="640"/>
        <w:jc w:val="both"/>
      </w:pPr>
      <w:r>
        <w:rPr>
          <w:rFonts w:ascii="仿宋_GB2312" w:hAnsi="仿宋_GB2312" w:eastAsia="仿宋_GB2312"/>
          <w:b w:val="0"/>
          <w:sz w:val="32"/>
        </w:rPr>
        <w:t>1.一般公共服务支出(类)其他共产党事务支出(款)行政运行(项):支出决算数为101.26万元，比上年决算减少13.63万元，下降11.86%,主要原因是：本年单位减少</w:t>
      </w:r>
      <w:r>
        <w:rPr>
          <w:rFonts w:hint="eastAsia" w:ascii="仿宋_GB2312" w:hAnsi="仿宋_GB2312" w:eastAsia="仿宋_GB2312"/>
          <w:b w:val="0"/>
          <w:sz w:val="32"/>
          <w:lang w:eastAsia="zh-CN"/>
        </w:rPr>
        <w:t>为民办实事</w:t>
      </w:r>
      <w:r>
        <w:rPr>
          <w:rFonts w:ascii="仿宋_GB2312" w:hAnsi="仿宋_GB2312" w:eastAsia="仿宋_GB2312"/>
          <w:b w:val="0"/>
          <w:sz w:val="32"/>
        </w:rPr>
        <w:t>干部补助以及艰边补贴，导致经费较上年减少。</w:t>
      </w:r>
    </w:p>
    <w:p w14:paraId="3A114AE0">
      <w:pPr>
        <w:spacing w:line="580" w:lineRule="exact"/>
        <w:ind w:firstLine="640"/>
        <w:jc w:val="both"/>
      </w:pPr>
      <w:r>
        <w:rPr>
          <w:rFonts w:ascii="仿宋_GB2312" w:hAnsi="仿宋_GB2312" w:eastAsia="仿宋_GB2312"/>
          <w:b w:val="0"/>
          <w:sz w:val="32"/>
        </w:rPr>
        <w:t>2.一般公共服务支出(类)其他共产党事务支出(款)一般行政管理事务(项):支出决算数为103.33万元，比上年决算增加37.33万元，增长56.56%,主要原因是：本年增加《巴州全面小康志》编纂、审校、出版、印刷项目、巴州七十大事纪略经费。</w:t>
      </w:r>
    </w:p>
    <w:p w14:paraId="7D656EB2">
      <w:pPr>
        <w:spacing w:line="580" w:lineRule="exact"/>
        <w:ind w:firstLine="640"/>
        <w:jc w:val="both"/>
      </w:pPr>
      <w:r>
        <w:rPr>
          <w:rFonts w:ascii="仿宋_GB2312" w:hAnsi="仿宋_GB2312" w:eastAsia="仿宋_GB2312"/>
          <w:b w:val="0"/>
          <w:sz w:val="32"/>
        </w:rPr>
        <w:t>3.教育支出(类)进修及培训(款)培训支出(项):支出决算数为0.01万元，比上年决算增加0.01万元，增长100.00%,主要原因是：本年外出培训增加，培训经费增加。</w:t>
      </w:r>
    </w:p>
    <w:p w14:paraId="18B5225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4.社会保障和就业支出(类)行政事业单位养老支出(款)行政单位离退休(项):支出决算数为14.19万元，比上年决算增加3.23万元，增长29.47%,主要原因是：本年增加退休人员基础绩效奖，退休费支出增加。</w:t>
      </w:r>
    </w:p>
    <w:p w14:paraId="419C8E03">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13.24万元，比上年决算增加0.93万元，增长7.55%,主要原因是：本年在职人员工资基数调增，养老缴费基数上涨，相应支出增加。</w:t>
      </w:r>
    </w:p>
    <w:p w14:paraId="54515AD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6.75万元，比上年决算增加6.75万元，增长100.00%,主要原因是：本年补发以前退休人员的职业年金，导致单位职业年金缴费增加。</w:t>
      </w:r>
    </w:p>
    <w:p w14:paraId="404F0D75">
      <w:pPr>
        <w:spacing w:line="580" w:lineRule="exact"/>
        <w:ind w:firstLine="640"/>
        <w:jc w:val="both"/>
      </w:pPr>
      <w:r>
        <w:rPr>
          <w:rFonts w:ascii="仿宋_GB2312" w:hAnsi="仿宋_GB2312" w:eastAsia="仿宋_GB2312"/>
          <w:b w:val="0"/>
          <w:sz w:val="32"/>
        </w:rPr>
        <w:t>7.卫生健康支出(类)行政事业单位医疗(款)行政单位医疗(项):支出决算数为5.79万元，比上年决算减少0.16万元，下降2.69%,主要原因是：本年在职人员调入调出，人员职级不同，缴费基数不同，导致行政单位</w:t>
      </w:r>
      <w:r>
        <w:rPr>
          <w:rFonts w:hint="eastAsia" w:ascii="仿宋_GB2312" w:hAnsi="仿宋_GB2312" w:eastAsia="仿宋_GB2312"/>
          <w:b w:val="0"/>
          <w:sz w:val="32"/>
          <w:lang w:eastAsia="zh-CN"/>
        </w:rPr>
        <w:t>医疗</w:t>
      </w:r>
      <w:r>
        <w:rPr>
          <w:rFonts w:ascii="仿宋_GB2312" w:hAnsi="仿宋_GB2312" w:eastAsia="仿宋_GB2312"/>
          <w:b w:val="0"/>
          <w:sz w:val="32"/>
        </w:rPr>
        <w:t>较上年减少。</w:t>
      </w:r>
    </w:p>
    <w:p w14:paraId="0AE4F9D3">
      <w:pPr>
        <w:spacing w:line="580" w:lineRule="exact"/>
        <w:ind w:firstLine="640"/>
        <w:jc w:val="both"/>
      </w:pPr>
      <w:r>
        <w:rPr>
          <w:rFonts w:ascii="仿宋_GB2312" w:hAnsi="仿宋_GB2312" w:eastAsia="仿宋_GB2312"/>
          <w:b w:val="0"/>
          <w:sz w:val="32"/>
        </w:rPr>
        <w:t>8.卫生健康支出(类)行政事业单位医疗(款)公务员医疗补助(项):支出决算数为2.28万元，比上年决算减少0.31万元，下降11.97%,主要原因是：本年在职人员调入调出，人员职级不同，缴费基数不同，导致公务员医疗补助较上年减少。</w:t>
      </w:r>
    </w:p>
    <w:p w14:paraId="4CD01C38">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0.18万元，比上年决算减少0.32万元，下降64.00%,主要原因是：本年在职人员调入调出，人员职级不同，缴费基数不同，导致其他行政事业单位医疗较上年减少。</w:t>
      </w:r>
    </w:p>
    <w:p w14:paraId="23688695">
      <w:pPr>
        <w:spacing w:line="580" w:lineRule="exact"/>
        <w:ind w:firstLine="640"/>
        <w:jc w:val="both"/>
      </w:pPr>
      <w:r>
        <w:rPr>
          <w:rFonts w:ascii="仿宋_GB2312" w:hAnsi="仿宋_GB2312" w:eastAsia="仿宋_GB2312"/>
          <w:b w:val="0"/>
          <w:sz w:val="32"/>
        </w:rPr>
        <w:t>10.住房保障支出(类)住房改革支出(款)住房公积金(项):支出决算数为9.9万元，比上年决算增加0.10万元，增长1.02%,主要原因是：本年在职人员工资基数调增，公积金缴费基数上涨，相应支出增加。</w:t>
      </w:r>
    </w:p>
    <w:p w14:paraId="53DBC161">
      <w:pPr>
        <w:spacing w:line="640" w:lineRule="exact"/>
        <w:ind w:firstLine="640"/>
        <w:jc w:val="both"/>
        <w:outlineLvl w:val="2"/>
      </w:pPr>
      <w:r>
        <w:rPr>
          <w:rFonts w:ascii="黑体" w:hAnsi="黑体" w:eastAsia="黑体"/>
          <w:sz w:val="32"/>
        </w:rPr>
        <w:t>六、一般公共预算财政拨款基本支出决算情况说明</w:t>
      </w:r>
    </w:p>
    <w:p w14:paraId="4939263E">
      <w:pPr>
        <w:spacing w:line="580" w:lineRule="exact"/>
        <w:ind w:firstLine="640"/>
        <w:jc w:val="both"/>
      </w:pPr>
      <w:r>
        <w:rPr>
          <w:rFonts w:ascii="仿宋_GB2312" w:hAnsi="仿宋_GB2312" w:eastAsia="仿宋_GB2312"/>
          <w:b w:val="0"/>
          <w:sz w:val="32"/>
        </w:rPr>
        <w:t>2024年度一般公共预算财政拨款基本支出153.61万元，其中：</w:t>
      </w:r>
      <w:r>
        <w:rPr>
          <w:rFonts w:ascii="仿宋_GB2312" w:hAnsi="仿宋_GB2312" w:eastAsia="仿宋_GB2312"/>
          <w:b/>
          <w:sz w:val="32"/>
        </w:rPr>
        <w:t>人员经费144.90万元，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包括：基本工资、津贴补贴、奖金、伙食补助费、机关事业单位基本养老保险缴费、职业年金缴费、职工基本医疗保险缴费、公务员医疗补助缴费、其他社会保障缴费、住房公积金、退休费、生活补助、奖励金。</w:t>
      </w:r>
    </w:p>
    <w:p w14:paraId="41FA847E">
      <w:pPr>
        <w:spacing w:line="580" w:lineRule="exact"/>
        <w:ind w:firstLine="640"/>
        <w:jc w:val="both"/>
      </w:pPr>
      <w:r>
        <w:rPr>
          <w:rFonts w:ascii="仿宋_GB2312" w:hAnsi="仿宋_GB2312" w:eastAsia="仿宋_GB2312"/>
          <w:b/>
          <w:sz w:val="32"/>
        </w:rPr>
        <w:t>公用经费8.70万元，</w:t>
      </w:r>
      <w:r>
        <w:rPr>
          <w:rFonts w:ascii="仿宋_GB2312" w:hAnsi="仿宋_GB2312" w:eastAsia="仿宋_GB2312"/>
          <w:b w:val="0"/>
          <w:sz w:val="32"/>
        </w:rPr>
        <w:t>包括：办公费、邮电费、取暖费、差旅费、租赁费、培训费、劳务费、工会经费、福利费。</w:t>
      </w:r>
    </w:p>
    <w:p w14:paraId="32753003">
      <w:pPr>
        <w:spacing w:line="640" w:lineRule="exact"/>
        <w:ind w:firstLine="640"/>
        <w:jc w:val="both"/>
        <w:outlineLvl w:val="2"/>
      </w:pPr>
      <w:r>
        <w:rPr>
          <w:rFonts w:ascii="黑体" w:hAnsi="黑体" w:eastAsia="黑体"/>
          <w:sz w:val="32"/>
        </w:rPr>
        <w:t>七、政府性基金预算财政拨款收入支出决算情况说明</w:t>
      </w:r>
    </w:p>
    <w:p w14:paraId="1B5B5EC0">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6D80F37B">
      <w:pPr>
        <w:spacing w:line="640" w:lineRule="exact"/>
        <w:ind w:firstLine="640"/>
        <w:jc w:val="both"/>
        <w:outlineLvl w:val="2"/>
      </w:pPr>
      <w:r>
        <w:rPr>
          <w:rFonts w:ascii="黑体" w:hAnsi="黑体" w:eastAsia="黑体"/>
          <w:sz w:val="32"/>
        </w:rPr>
        <w:t>八、国有资本经营预算财政拨款收入支出决算情况说明</w:t>
      </w:r>
    </w:p>
    <w:p w14:paraId="75A69B38">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D0CA017">
      <w:pPr>
        <w:spacing w:line="640" w:lineRule="exact"/>
        <w:ind w:firstLine="640"/>
        <w:jc w:val="both"/>
        <w:outlineLvl w:val="2"/>
      </w:pPr>
      <w:r>
        <w:rPr>
          <w:rFonts w:ascii="黑体" w:hAnsi="黑体" w:eastAsia="黑体"/>
          <w:sz w:val="32"/>
        </w:rPr>
        <w:t>九、财政拨款“三公”经费支出决算情况说明</w:t>
      </w:r>
    </w:p>
    <w:p w14:paraId="2D0FE28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0.06万元，下降100.00%，主要原因是：本部门本年未安排公务接待工作，导致公务接待费较上年减少。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减少0.06万元，下降100.00%，主要原因是：本部门本年未安排公务接待工作，导致公务接待费较上年减少。</w:t>
      </w:r>
    </w:p>
    <w:p w14:paraId="63366270">
      <w:pPr>
        <w:spacing w:line="580" w:lineRule="exact"/>
        <w:ind w:firstLine="640"/>
        <w:jc w:val="both"/>
      </w:pPr>
      <w:r>
        <w:rPr>
          <w:rFonts w:ascii="仿宋_GB2312" w:hAnsi="仿宋_GB2312" w:eastAsia="仿宋_GB2312"/>
          <w:b/>
          <w:sz w:val="32"/>
        </w:rPr>
        <w:t>具体情况如下：</w:t>
      </w:r>
    </w:p>
    <w:p w14:paraId="243CB61A">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14B9E48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部门无公务用车运行维护费。公务用车购置数0辆，公务用车保有量0辆。国有资产占用情况中固定资产车辆0辆，与公务用车保有量差异原因是：本部门无固定资产车辆。</w:t>
      </w:r>
    </w:p>
    <w:p w14:paraId="3B0975C2">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01F586C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部门无财政拨款“三公”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0.00万元，决算数0.00万元，预决算差异率0.00%，主要原因是：本部门无公务用车运行维护费。公务接待费全年预算数0.00万元，决算数0.00万元，预决算差异率0.00%，主要原因是：本部门无公务接待费</w:t>
      </w:r>
      <w:bookmarkStart w:id="0" w:name="_GoBack"/>
      <w:bookmarkEnd w:id="0"/>
      <w:r>
        <w:rPr>
          <w:rFonts w:ascii="仿宋_GB2312" w:hAnsi="仿宋_GB2312" w:eastAsia="仿宋_GB2312"/>
          <w:b w:val="0"/>
          <w:sz w:val="32"/>
        </w:rPr>
        <w:t>。</w:t>
      </w:r>
    </w:p>
    <w:p w14:paraId="52B3DE96">
      <w:pPr>
        <w:spacing w:line="640" w:lineRule="exact"/>
        <w:ind w:firstLine="640"/>
        <w:jc w:val="both"/>
        <w:outlineLvl w:val="2"/>
      </w:pPr>
      <w:r>
        <w:rPr>
          <w:rFonts w:ascii="黑体" w:hAnsi="黑体" w:eastAsia="黑体"/>
          <w:sz w:val="32"/>
        </w:rPr>
        <w:t>十、其他重要事项的情况说明</w:t>
      </w:r>
    </w:p>
    <w:p w14:paraId="1B3E4D47">
      <w:pPr>
        <w:spacing w:line="640" w:lineRule="exact"/>
        <w:ind w:firstLine="640"/>
        <w:jc w:val="both"/>
        <w:outlineLvl w:val="3"/>
      </w:pPr>
      <w:r>
        <w:rPr>
          <w:rFonts w:ascii="楷体_GB2312" w:hAnsi="楷体_GB2312" w:eastAsia="楷体_GB2312"/>
          <w:b/>
          <w:sz w:val="32"/>
        </w:rPr>
        <w:t>（一）机关运行经费及公用经费支出情况</w:t>
      </w:r>
    </w:p>
    <w:p w14:paraId="7A3EB774">
      <w:pPr>
        <w:spacing w:line="580" w:lineRule="exact"/>
        <w:ind w:firstLine="640"/>
        <w:jc w:val="both"/>
      </w:pPr>
      <w:r>
        <w:rPr>
          <w:rFonts w:ascii="仿宋_GB2312" w:hAnsi="仿宋_GB2312" w:eastAsia="仿宋_GB2312"/>
          <w:b w:val="0"/>
          <w:sz w:val="32"/>
        </w:rPr>
        <w:t>2024年度新疆巴州党委党史地方志办公室（行政单位和参照公务员法管理事业单位）机关运行经费支出8.70万元，比上年增加1.86万元，增长27.19%，主要原因是：本年劳务费、差旅费、邮电费增加，导致机关运行经费较上年增加。</w:t>
      </w:r>
    </w:p>
    <w:p w14:paraId="60F9864C">
      <w:pPr>
        <w:spacing w:line="640" w:lineRule="exact"/>
        <w:ind w:firstLine="640"/>
        <w:jc w:val="both"/>
        <w:outlineLvl w:val="3"/>
      </w:pPr>
      <w:r>
        <w:rPr>
          <w:rFonts w:ascii="楷体_GB2312" w:hAnsi="楷体_GB2312" w:eastAsia="楷体_GB2312"/>
          <w:b/>
          <w:sz w:val="32"/>
        </w:rPr>
        <w:t>（二）政府采购情况</w:t>
      </w:r>
    </w:p>
    <w:p w14:paraId="7752BC9C">
      <w:pPr>
        <w:spacing w:line="580" w:lineRule="exact"/>
        <w:ind w:firstLine="640"/>
        <w:jc w:val="both"/>
      </w:pPr>
      <w:r>
        <w:rPr>
          <w:rFonts w:ascii="仿宋_GB2312" w:hAnsi="仿宋_GB2312" w:eastAsia="仿宋_GB2312"/>
          <w:b w:val="0"/>
          <w:sz w:val="32"/>
        </w:rPr>
        <w:t>2024年度政府采购支出总额10.20万元，其中：政府采购货物支出0.40万元、政府采购工程支出0.00万元、政府采购服务支出9.80万元。</w:t>
      </w:r>
    </w:p>
    <w:p w14:paraId="20CD9CC6">
      <w:pPr>
        <w:spacing w:line="580" w:lineRule="exact"/>
        <w:ind w:firstLine="640"/>
        <w:jc w:val="both"/>
      </w:pPr>
      <w:r>
        <w:rPr>
          <w:rFonts w:ascii="仿宋_GB2312" w:hAnsi="仿宋_GB2312" w:eastAsia="仿宋_GB2312"/>
          <w:b w:val="0"/>
          <w:sz w:val="32"/>
        </w:rPr>
        <w:t>授予中小企业合同金额10.20万元，占政府采购支出总额的100.00%，其中：授予小微企业合同金额10.20万元，占政府采购支出总额的100.00%。</w:t>
      </w:r>
    </w:p>
    <w:p w14:paraId="09B5A38C">
      <w:pPr>
        <w:spacing w:line="640" w:lineRule="exact"/>
        <w:ind w:firstLine="640"/>
        <w:jc w:val="both"/>
        <w:outlineLvl w:val="3"/>
      </w:pPr>
      <w:r>
        <w:rPr>
          <w:rFonts w:ascii="楷体_GB2312" w:hAnsi="楷体_GB2312" w:eastAsia="楷体_GB2312"/>
          <w:b/>
          <w:sz w:val="32"/>
        </w:rPr>
        <w:t>（三）国有资产占用情况说明</w:t>
      </w:r>
    </w:p>
    <w:p w14:paraId="782A9AD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部门无其他用车。单价100万元（含）以上设备（不含车辆）0台（套）。</w:t>
      </w:r>
    </w:p>
    <w:p w14:paraId="1890A622">
      <w:pPr>
        <w:spacing w:line="640" w:lineRule="exact"/>
        <w:ind w:firstLine="640"/>
        <w:jc w:val="both"/>
        <w:outlineLvl w:val="2"/>
      </w:pPr>
      <w:r>
        <w:rPr>
          <w:rFonts w:ascii="黑体" w:hAnsi="黑体" w:eastAsia="黑体"/>
          <w:sz w:val="32"/>
        </w:rPr>
        <w:t>十一、预算绩效的情况说明</w:t>
      </w:r>
    </w:p>
    <w:p w14:paraId="06E0A0D8">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根据预算绩效管理要求，本部门2024年度预算绩效管理形成整体支出绩效自评表1个，全年预算总额264.42万元，实际执行总额264.22万元；预算绩效评价项目3个，全年预算数</w:t>
      </w:r>
      <w:r>
        <w:rPr>
          <w:rFonts w:hint="eastAsia" w:ascii="仿宋_GB2312" w:hAnsi="仿宋_GB2312" w:eastAsia="仿宋_GB2312"/>
          <w:b w:val="0"/>
          <w:sz w:val="32"/>
        </w:rPr>
        <w:t>103.33</w:t>
      </w:r>
      <w:r>
        <w:rPr>
          <w:rFonts w:ascii="仿宋_GB2312" w:hAnsi="仿宋_GB2312" w:eastAsia="仿宋_GB2312"/>
          <w:b w:val="0"/>
          <w:sz w:val="32"/>
        </w:rPr>
        <w:t>万元，全年执行数</w:t>
      </w:r>
      <w:r>
        <w:rPr>
          <w:rFonts w:hint="eastAsia" w:ascii="仿宋_GB2312" w:hAnsi="仿宋_GB2312" w:eastAsia="仿宋_GB2312"/>
          <w:b w:val="0"/>
          <w:sz w:val="32"/>
        </w:rPr>
        <w:t>103.33</w:t>
      </w:r>
      <w:r>
        <w:rPr>
          <w:rFonts w:ascii="仿宋_GB2312" w:hAnsi="仿宋_GB2312" w:eastAsia="仿宋_GB2312"/>
          <w:b w:val="0"/>
          <w:sz w:val="32"/>
        </w:rPr>
        <w:t>万元。预算绩效管理取得的成效：一是本部门以绩效目标实现为导向，加强制度建设，提升预算执行质量，预算绩效管理取得一定成效。预算绩效管理取得的成效，科学制定目标，促进绩效目标顺利实现。二是自落实预算绩效管理工作以来，本部门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要按照“谁使用、谁负责”的原则，强化预算部门绩效管理的主体责任，将绩效目标、绩效监控、部门自评等绩效工具，作为提高资金使用效益的重要抓手，积极配合财政部门检查、督促、重点评价等方式加强监督管理；二是总结经验，加强资金使用管理，严格按照执行资金批准的使用计划和批复资料，认真执行资金管理和财务管理制度，严格执行国家有关财务规章制度规定的开支范围及开支标准，确保资金用到实处，发挥效益。具体附部门整体支出绩效自评表，项目支出绩效自评表和部门评价报告。</w:t>
      </w:r>
    </w:p>
    <w:p w14:paraId="260E4DA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30FFC34">
        <w:tblPrEx>
          <w:tblCellMar>
            <w:top w:w="0" w:type="dxa"/>
            <w:left w:w="108" w:type="dxa"/>
            <w:bottom w:w="0" w:type="dxa"/>
            <w:right w:w="108" w:type="dxa"/>
          </w:tblCellMar>
        </w:tblPrEx>
        <w:tc>
          <w:tcPr>
            <w:tcW w:w="8840" w:type="dxa"/>
            <w:gridSpan w:val="8"/>
            <w:vAlign w:val="center"/>
          </w:tcPr>
          <w:p w14:paraId="34601EAA">
            <w:pPr>
              <w:jc w:val="center"/>
            </w:pPr>
            <w:r>
              <w:rPr>
                <w:rFonts w:ascii="宋体" w:hAnsi="宋体" w:eastAsia="宋体"/>
                <w:sz w:val="24"/>
              </w:rPr>
              <w:t>部门整体支出绩效自评表</w:t>
            </w:r>
          </w:p>
        </w:tc>
      </w:tr>
      <w:tr w14:paraId="3D5D284F">
        <w:tblPrEx>
          <w:tblCellMar>
            <w:top w:w="0" w:type="dxa"/>
            <w:left w:w="108" w:type="dxa"/>
            <w:bottom w:w="0" w:type="dxa"/>
            <w:right w:w="108" w:type="dxa"/>
          </w:tblCellMar>
        </w:tblPrEx>
        <w:tc>
          <w:tcPr>
            <w:tcW w:w="8840" w:type="dxa"/>
            <w:gridSpan w:val="8"/>
            <w:vAlign w:val="center"/>
          </w:tcPr>
          <w:p w14:paraId="2AD3063B">
            <w:pPr>
              <w:jc w:val="center"/>
            </w:pPr>
            <w:r>
              <w:rPr>
                <w:rFonts w:ascii="宋体" w:hAnsi="宋体" w:eastAsia="宋体"/>
                <w:sz w:val="24"/>
              </w:rPr>
              <w:t>（2024年度）</w:t>
            </w:r>
          </w:p>
        </w:tc>
      </w:tr>
      <w:tr w14:paraId="336E21A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98B1E">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4B5D2">
            <w:pPr>
              <w:jc w:val="center"/>
            </w:pPr>
            <w:r>
              <w:rPr>
                <w:rFonts w:ascii="宋体" w:hAnsi="宋体" w:eastAsia="宋体"/>
                <w:sz w:val="16"/>
              </w:rPr>
              <w:t>新疆巴州党委党史地方志办公室</w:t>
            </w:r>
          </w:p>
        </w:tc>
      </w:tr>
      <w:tr w14:paraId="71A64D2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7EBB0">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41989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8D15A">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B5A8A">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A774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70C6B">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01A2F8">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1A1179">
            <w:pPr>
              <w:jc w:val="center"/>
            </w:pPr>
            <w:r>
              <w:rPr>
                <w:rFonts w:ascii="宋体" w:hAnsi="宋体" w:eastAsia="宋体"/>
                <w:sz w:val="16"/>
              </w:rPr>
              <w:t>得分</w:t>
            </w:r>
          </w:p>
        </w:tc>
      </w:tr>
      <w:tr w14:paraId="3DDF15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48D1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0387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E8489E">
            <w:pPr>
              <w:jc w:val="center"/>
            </w:pPr>
            <w:r>
              <w:rPr>
                <w:rFonts w:ascii="宋体" w:hAnsi="宋体" w:eastAsia="宋体"/>
                <w:sz w:val="16"/>
              </w:rPr>
              <w:t>209.00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13C78">
            <w:pPr>
              <w:jc w:val="center"/>
            </w:pPr>
            <w:r>
              <w:rPr>
                <w:rFonts w:ascii="宋体" w:hAnsi="宋体" w:eastAsia="宋体"/>
                <w:sz w:val="16"/>
              </w:rPr>
              <w:t>264.42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56992C">
            <w:pPr>
              <w:jc w:val="center"/>
            </w:pPr>
            <w:r>
              <w:rPr>
                <w:rFonts w:ascii="宋体" w:hAnsi="宋体" w:eastAsia="宋体"/>
                <w:sz w:val="16"/>
              </w:rPr>
              <w:t>264.22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E2530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0EFE01">
            <w:pPr>
              <w:jc w:val="center"/>
            </w:pPr>
            <w:r>
              <w:rPr>
                <w:rFonts w:ascii="宋体" w:hAnsi="宋体" w:eastAsia="宋体"/>
                <w:sz w:val="16"/>
              </w:rPr>
              <w:t>99.92%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B6B3F2">
            <w:pPr>
              <w:jc w:val="center"/>
            </w:pPr>
            <w:r>
              <w:rPr>
                <w:rFonts w:ascii="宋体" w:hAnsi="宋体" w:eastAsia="宋体"/>
                <w:sz w:val="16"/>
              </w:rPr>
              <w:t>9.99</w:t>
            </w:r>
          </w:p>
        </w:tc>
      </w:tr>
      <w:tr w14:paraId="10DBDD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F965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F87DD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2420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83BA2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3A649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D93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1D8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4126C">
            <w:pPr>
              <w:jc w:val="center"/>
            </w:pPr>
            <w:r>
              <w:rPr>
                <w:rFonts w:ascii="宋体" w:hAnsi="宋体" w:eastAsia="宋体"/>
                <w:sz w:val="16"/>
              </w:rPr>
              <w:t>-</w:t>
            </w:r>
          </w:p>
        </w:tc>
      </w:tr>
      <w:tr w14:paraId="40B553C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78606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4C66F2">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294FED">
            <w:pPr>
              <w:jc w:val="center"/>
            </w:pPr>
            <w:r>
              <w:rPr>
                <w:rFonts w:ascii="宋体" w:hAnsi="宋体" w:eastAsia="宋体"/>
                <w:sz w:val="16"/>
              </w:rPr>
              <w:t>209.00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B273D9">
            <w:pPr>
              <w:jc w:val="center"/>
            </w:pPr>
            <w:r>
              <w:rPr>
                <w:rFonts w:ascii="宋体" w:hAnsi="宋体" w:eastAsia="宋体"/>
                <w:sz w:val="16"/>
              </w:rPr>
              <w:t>256.93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F44D69">
            <w:pPr>
              <w:jc w:val="center"/>
            </w:pPr>
            <w:r>
              <w:rPr>
                <w:rFonts w:ascii="宋体" w:hAnsi="宋体" w:eastAsia="宋体"/>
                <w:sz w:val="16"/>
              </w:rPr>
              <w:t>256.93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032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FCF10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74CCA">
            <w:pPr>
              <w:jc w:val="center"/>
            </w:pPr>
            <w:r>
              <w:rPr>
                <w:rFonts w:ascii="宋体" w:hAnsi="宋体" w:eastAsia="宋体"/>
                <w:sz w:val="16"/>
              </w:rPr>
              <w:t>-</w:t>
            </w:r>
          </w:p>
        </w:tc>
      </w:tr>
      <w:tr w14:paraId="58502C4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9859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1BD2C">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A394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427A9">
            <w:pPr>
              <w:jc w:val="center"/>
            </w:pPr>
            <w:r>
              <w:rPr>
                <w:rFonts w:ascii="宋体" w:hAnsi="宋体" w:eastAsia="宋体"/>
                <w:sz w:val="16"/>
              </w:rPr>
              <w:t>7.49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44A658">
            <w:pPr>
              <w:jc w:val="center"/>
            </w:pPr>
            <w:r>
              <w:rPr>
                <w:rFonts w:ascii="宋体" w:hAnsi="宋体" w:eastAsia="宋体"/>
                <w:sz w:val="16"/>
              </w:rPr>
              <w:t>7.29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76E3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428DD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82652E">
            <w:pPr>
              <w:jc w:val="center"/>
            </w:pPr>
            <w:r>
              <w:rPr>
                <w:rFonts w:ascii="宋体" w:hAnsi="宋体" w:eastAsia="宋体"/>
                <w:sz w:val="16"/>
              </w:rPr>
              <w:t>-</w:t>
            </w:r>
          </w:p>
        </w:tc>
      </w:tr>
      <w:tr w14:paraId="4953F82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7B7C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10A06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F7AA48">
            <w:pPr>
              <w:jc w:val="center"/>
            </w:pPr>
            <w:r>
              <w:rPr>
                <w:rFonts w:ascii="宋体" w:hAnsi="宋体" w:eastAsia="宋体"/>
                <w:sz w:val="16"/>
              </w:rPr>
              <w:t>实际完成情况</w:t>
            </w:r>
          </w:p>
        </w:tc>
      </w:tr>
      <w:tr w14:paraId="4CE58C8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B7DE7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58892B">
            <w:pPr>
              <w:jc w:val="both"/>
            </w:pPr>
            <w:r>
              <w:rPr>
                <w:rFonts w:ascii="宋体" w:hAnsi="宋体" w:eastAsia="宋体"/>
                <w:sz w:val="16"/>
              </w:rPr>
              <w:t>全面贯彻执行中央和自治州党委关于党史工作的方针政策以及工作部署，拟定自治州党史、地方志工作规划和编纂方案。组织搜集、整理、保存自治州党史、地方志文献资料，组织编纂、出版和发行党史著作、地方志书、综合年鉴。培训全州党史地方志业务工作人员。保障机关正常运转，职工工资、社保、公积金按时发放和缴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85AE08">
            <w:pPr>
              <w:jc w:val="both"/>
            </w:pPr>
            <w:r>
              <w:rPr>
                <w:rFonts w:hint="eastAsia" w:ascii="宋体" w:hAnsi="宋体"/>
                <w:sz w:val="16"/>
                <w:lang w:eastAsia="zh-CN"/>
              </w:rPr>
              <w:t>本部门</w:t>
            </w:r>
            <w:r>
              <w:rPr>
                <w:rFonts w:ascii="宋体" w:hAnsi="宋体" w:eastAsia="宋体"/>
                <w:sz w:val="16"/>
              </w:rPr>
              <w:t>全面贯彻执行中央和自治州党委关于党史工作的方针政策以及工作部署，严格履行单位职能，完成《巴音郭愣全面小康志</w:t>
            </w:r>
            <w:r>
              <w:rPr>
                <w:rFonts w:hint="eastAsia" w:ascii="宋体" w:hAnsi="宋体"/>
                <w:sz w:val="16"/>
                <w:lang w:eastAsia="zh-CN"/>
              </w:rPr>
              <w:t>》《</w:t>
            </w:r>
            <w:r>
              <w:rPr>
                <w:rFonts w:ascii="宋体" w:hAnsi="宋体" w:eastAsia="宋体"/>
                <w:sz w:val="16"/>
              </w:rPr>
              <w:t>库尔勒香梨志》和《博斯腾湖志》初稿，开展地方志业务骨干专题培训2期，推进全州党史地方志工作高质量发展，把学习贯彻习近平总书记关于党史地方志工</w:t>
            </w:r>
            <w:r>
              <w:rPr>
                <w:rFonts w:hint="eastAsia" w:ascii="宋体" w:hAnsi="宋体"/>
                <w:sz w:val="16"/>
                <w:lang w:eastAsia="zh-CN"/>
              </w:rPr>
              <w:t>作的</w:t>
            </w:r>
            <w:r>
              <w:rPr>
                <w:rFonts w:ascii="宋体" w:hAnsi="宋体" w:eastAsia="宋体"/>
                <w:sz w:val="16"/>
              </w:rPr>
              <w:t>重要论述融入修史编志日常工作，将铸牢中华民族共同体意识贯穿修史编志全过程，守好意识形态阵地，圆满完成各项工作任务。</w:t>
            </w:r>
          </w:p>
        </w:tc>
      </w:tr>
      <w:tr w14:paraId="787A73B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2051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7EF17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A8F7A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42146">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2CDF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BF6E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A448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CDE624">
            <w:pPr>
              <w:jc w:val="center"/>
            </w:pPr>
            <w:r>
              <w:rPr>
                <w:rFonts w:ascii="宋体" w:hAnsi="宋体" w:eastAsia="宋体"/>
                <w:sz w:val="16"/>
              </w:rPr>
              <w:t>得分</w:t>
            </w:r>
          </w:p>
        </w:tc>
      </w:tr>
      <w:tr w14:paraId="2670C11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1E1C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8138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2DD6C8">
            <w:pPr>
              <w:jc w:val="center"/>
            </w:pPr>
            <w:r>
              <w:rPr>
                <w:rFonts w:ascii="宋体" w:hAnsi="宋体" w:eastAsia="宋体"/>
                <w:sz w:val="16"/>
              </w:rPr>
              <w:t>完成《巴音郭楞全面小康志》初稿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A181EB">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68D88">
            <w:pPr>
              <w:jc w:val="center"/>
            </w:pPr>
            <w:r>
              <w:rPr>
                <w:rFonts w:ascii="宋体" w:hAnsi="宋体" w:eastAsia="宋体"/>
                <w:sz w:val="16"/>
              </w:rPr>
              <w:t>《自治州党委办公室自治州人民政府办公室关于做好&lt;巴音郭楞蒙古自治州全面小康志&gt;编纂工作的通知》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D4918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2522D">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03EEB">
            <w:pPr>
              <w:jc w:val="center"/>
            </w:pPr>
            <w:r>
              <w:rPr>
                <w:rFonts w:ascii="宋体" w:hAnsi="宋体" w:eastAsia="宋体"/>
                <w:sz w:val="16"/>
              </w:rPr>
              <w:t>20</w:t>
            </w:r>
          </w:p>
        </w:tc>
      </w:tr>
      <w:tr w14:paraId="2ADC02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1A7E0E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6F608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3DB8C">
            <w:pPr>
              <w:jc w:val="center"/>
            </w:pPr>
            <w:r>
              <w:rPr>
                <w:rFonts w:ascii="宋体" w:hAnsi="宋体" w:eastAsia="宋体"/>
                <w:sz w:val="16"/>
              </w:rPr>
              <w:t>完成《库尔勒香梨志》初稿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7C591B">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4F224">
            <w:pPr>
              <w:jc w:val="center"/>
            </w:pPr>
            <w:r>
              <w:rPr>
                <w:rFonts w:ascii="宋体" w:hAnsi="宋体" w:eastAsia="宋体"/>
                <w:sz w:val="16"/>
              </w:rPr>
              <w:t>《自治州党委办公室自治州人民政府办公室&lt;关于印发&lt;库尔勒香梨志&gt;&lt;博斯腾湖志&gt;编纂实施方案&gt;的通知》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EF26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26DEE">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95E98C">
            <w:pPr>
              <w:jc w:val="center"/>
            </w:pPr>
            <w:r>
              <w:rPr>
                <w:rFonts w:ascii="宋体" w:hAnsi="宋体" w:eastAsia="宋体"/>
                <w:sz w:val="16"/>
              </w:rPr>
              <w:t>20</w:t>
            </w:r>
          </w:p>
        </w:tc>
      </w:tr>
      <w:tr w14:paraId="110D2B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772CB3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3C41C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3390A8">
            <w:pPr>
              <w:jc w:val="center"/>
            </w:pPr>
            <w:r>
              <w:rPr>
                <w:rFonts w:ascii="宋体" w:hAnsi="宋体" w:eastAsia="宋体"/>
                <w:sz w:val="16"/>
              </w:rPr>
              <w:t>完成《博斯腾湖志》初稿</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7D889">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287D88">
            <w:pPr>
              <w:jc w:val="center"/>
            </w:pPr>
            <w:r>
              <w:rPr>
                <w:rFonts w:ascii="宋体" w:hAnsi="宋体" w:eastAsia="宋体"/>
                <w:sz w:val="16"/>
              </w:rPr>
              <w:t>《自治州党委办公室自治州人民政府办公室&lt;关于印发&lt;库尔勒香梨志&gt;&lt;博斯腾湖志&gt;编纂实施方案&gt;的通知》</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FDA97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84680D">
            <w:pPr>
              <w:jc w:val="center"/>
            </w:pPr>
            <w:r>
              <w:rPr>
                <w:rFonts w:ascii="宋体" w:hAnsi="宋体" w:eastAsia="宋体"/>
                <w:sz w:val="16"/>
              </w:rPr>
              <w:t>1部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FDAC8">
            <w:pPr>
              <w:jc w:val="center"/>
            </w:pPr>
            <w:r>
              <w:rPr>
                <w:rFonts w:ascii="宋体" w:hAnsi="宋体" w:eastAsia="宋体"/>
                <w:sz w:val="16"/>
              </w:rPr>
              <w:t>20</w:t>
            </w:r>
          </w:p>
        </w:tc>
      </w:tr>
      <w:tr w14:paraId="29746E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6270C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90D7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CAB743">
            <w:pPr>
              <w:jc w:val="center"/>
            </w:pPr>
            <w:r>
              <w:rPr>
                <w:rFonts w:ascii="宋体" w:hAnsi="宋体" w:eastAsia="宋体"/>
                <w:sz w:val="16"/>
              </w:rPr>
              <w:t>开展地方志业务骨干专题培训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160A09">
            <w:pPr>
              <w:jc w:val="center"/>
            </w:pPr>
            <w:r>
              <w:rPr>
                <w:rFonts w:ascii="宋体" w:hAnsi="宋体" w:eastAsia="宋体"/>
                <w:sz w:val="16"/>
              </w:rPr>
              <w:t>&gt;=2期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5C318">
            <w:pPr>
              <w:jc w:val="center"/>
            </w:pPr>
            <w:r>
              <w:rPr>
                <w:rFonts w:ascii="宋体" w:hAnsi="宋体" w:eastAsia="宋体"/>
                <w:sz w:val="16"/>
              </w:rPr>
              <w:t>巴州党委史志办2024年度业务培训计划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C7E3C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C2DA8B">
            <w:pPr>
              <w:jc w:val="center"/>
            </w:pPr>
            <w:r>
              <w:rPr>
                <w:rFonts w:ascii="宋体" w:hAnsi="宋体" w:eastAsia="宋体"/>
                <w:sz w:val="16"/>
              </w:rPr>
              <w: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5CDB58">
            <w:pPr>
              <w:jc w:val="center"/>
            </w:pPr>
            <w:r>
              <w:rPr>
                <w:rFonts w:ascii="宋体" w:hAnsi="宋体" w:eastAsia="宋体"/>
                <w:sz w:val="16"/>
              </w:rPr>
              <w:t>30</w:t>
            </w:r>
          </w:p>
        </w:tc>
      </w:tr>
    </w:tbl>
    <w:p w14:paraId="56706D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EED42B4">
        <w:tblPrEx>
          <w:tblCellMar>
            <w:top w:w="0" w:type="dxa"/>
            <w:left w:w="108" w:type="dxa"/>
            <w:bottom w:w="0" w:type="dxa"/>
            <w:right w:w="108" w:type="dxa"/>
          </w:tblCellMar>
        </w:tblPrEx>
        <w:tc>
          <w:tcPr>
            <w:tcW w:w="8848" w:type="dxa"/>
            <w:gridSpan w:val="14"/>
            <w:vAlign w:val="center"/>
          </w:tcPr>
          <w:p w14:paraId="7AC72D28">
            <w:pPr>
              <w:jc w:val="center"/>
            </w:pPr>
            <w:r>
              <w:rPr>
                <w:rFonts w:ascii="宋体" w:hAnsi="宋体" w:eastAsia="宋体"/>
                <w:sz w:val="24"/>
              </w:rPr>
              <w:t>项目支出绩效自评表</w:t>
            </w:r>
          </w:p>
        </w:tc>
      </w:tr>
      <w:tr w14:paraId="445540D2">
        <w:tblPrEx>
          <w:tblCellMar>
            <w:top w:w="0" w:type="dxa"/>
            <w:left w:w="108" w:type="dxa"/>
            <w:bottom w:w="0" w:type="dxa"/>
            <w:right w:w="108" w:type="dxa"/>
          </w:tblCellMar>
        </w:tblPrEx>
        <w:tc>
          <w:tcPr>
            <w:tcW w:w="8848" w:type="dxa"/>
            <w:gridSpan w:val="14"/>
            <w:vAlign w:val="center"/>
          </w:tcPr>
          <w:p w14:paraId="6EC8136D">
            <w:pPr>
              <w:jc w:val="center"/>
            </w:pPr>
            <w:r>
              <w:rPr>
                <w:rFonts w:ascii="宋体" w:hAnsi="宋体" w:eastAsia="宋体"/>
                <w:sz w:val="24"/>
              </w:rPr>
              <w:t>(2024年度)</w:t>
            </w:r>
          </w:p>
        </w:tc>
      </w:tr>
      <w:tr w14:paraId="5AF6C3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31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ED338C">
            <w:pPr>
              <w:jc w:val="center"/>
            </w:pPr>
            <w:r>
              <w:rPr>
                <w:rFonts w:ascii="宋体" w:hAnsi="宋体" w:eastAsia="宋体"/>
                <w:sz w:val="16"/>
              </w:rPr>
              <w:t>《巴州全面小康志》编撰、审校、出版、印刷项目</w:t>
            </w:r>
          </w:p>
        </w:tc>
      </w:tr>
      <w:tr w14:paraId="6BEAC6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7E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C4891">
            <w:pPr>
              <w:jc w:val="center"/>
            </w:pPr>
            <w:r>
              <w:rPr>
                <w:rFonts w:ascii="宋体" w:hAnsi="宋体" w:eastAsia="宋体"/>
                <w:sz w:val="16"/>
              </w:rPr>
              <w:t>新疆巴州党委党史地方志办公室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80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70A9D3">
            <w:pPr>
              <w:jc w:val="center"/>
            </w:pPr>
            <w:r>
              <w:rPr>
                <w:rFonts w:ascii="宋体" w:hAnsi="宋体" w:eastAsia="宋体"/>
                <w:sz w:val="16"/>
              </w:rPr>
              <w:t>新疆巴州党委党史地方志办公室</w:t>
            </w:r>
          </w:p>
        </w:tc>
      </w:tr>
      <w:tr w14:paraId="2A137F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972A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CC5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7F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99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84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5B987">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A9A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9D95">
            <w:pPr>
              <w:jc w:val="center"/>
            </w:pPr>
            <w:r>
              <w:rPr>
                <w:rFonts w:ascii="宋体" w:hAnsi="宋体" w:eastAsia="宋体"/>
                <w:sz w:val="16"/>
              </w:rPr>
              <w:t>得分</w:t>
            </w:r>
          </w:p>
        </w:tc>
      </w:tr>
      <w:tr w14:paraId="3F15DC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A5EC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764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606FD">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58D82">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6D806">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AF8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2734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1A1A">
            <w:pPr>
              <w:jc w:val="center"/>
            </w:pPr>
            <w:r>
              <w:rPr>
                <w:rFonts w:ascii="宋体" w:hAnsi="宋体" w:eastAsia="宋体"/>
                <w:sz w:val="16"/>
              </w:rPr>
              <w:t>10.00</w:t>
            </w:r>
          </w:p>
        </w:tc>
      </w:tr>
      <w:tr w14:paraId="78885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A0C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B3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C26D5">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72264">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5C7CF">
            <w:pPr>
              <w:jc w:val="center"/>
            </w:pPr>
            <w:r>
              <w:rPr>
                <w:rFonts w:ascii="宋体" w:hAnsi="宋体" w:eastAsia="宋体"/>
                <w:sz w:val="16"/>
              </w:rPr>
              <w:t>47.00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71B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6C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4348">
            <w:pPr>
              <w:jc w:val="center"/>
            </w:pPr>
            <w:r>
              <w:rPr>
                <w:rFonts w:ascii="宋体" w:hAnsi="宋体" w:eastAsia="宋体"/>
                <w:sz w:val="16"/>
              </w:rPr>
              <w:t>-</w:t>
            </w:r>
          </w:p>
        </w:tc>
      </w:tr>
      <w:tr w14:paraId="31D3F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C5F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E2F7F">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09F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0C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AC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897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9C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C411">
            <w:pPr>
              <w:jc w:val="center"/>
            </w:pPr>
            <w:r>
              <w:rPr>
                <w:rFonts w:ascii="宋体" w:hAnsi="宋体" w:eastAsia="宋体"/>
                <w:sz w:val="16"/>
              </w:rPr>
              <w:t>-</w:t>
            </w:r>
          </w:p>
        </w:tc>
      </w:tr>
      <w:tr w14:paraId="6CFD34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86B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BABD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57677A">
            <w:pPr>
              <w:jc w:val="center"/>
            </w:pPr>
            <w:r>
              <w:rPr>
                <w:rFonts w:ascii="宋体" w:hAnsi="宋体" w:eastAsia="宋体"/>
                <w:sz w:val="16"/>
              </w:rPr>
              <w:t>总体目标完成情况</w:t>
            </w:r>
          </w:p>
        </w:tc>
      </w:tr>
      <w:tr w14:paraId="23E2D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018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1799E">
            <w:pPr>
              <w:jc w:val="both"/>
            </w:pPr>
            <w:r>
              <w:rPr>
                <w:rFonts w:ascii="宋体" w:hAnsi="宋体" w:eastAsia="宋体"/>
                <w:sz w:val="16"/>
              </w:rPr>
              <w:t>本办认真贯彻自治区“两志”编纂推进会议安排，及时制定全面小康志编纂工作方案，经州党委、人民政府批准，适时开展《巴州全面小康志》编撰工作，计划2024年完成初稿统稿总纂，提升存史资政育人作用。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6AC185">
            <w:pPr>
              <w:jc w:val="both"/>
            </w:pPr>
            <w:r>
              <w:rPr>
                <w:rFonts w:hint="eastAsia" w:ascii="宋体" w:hAnsi="宋体"/>
                <w:sz w:val="16"/>
                <w:lang w:eastAsia="zh-CN"/>
              </w:rPr>
              <w:t>本部门</w:t>
            </w:r>
            <w:r>
              <w:rPr>
                <w:rFonts w:ascii="宋体" w:hAnsi="宋体" w:eastAsia="宋体"/>
                <w:sz w:val="16"/>
              </w:rPr>
              <w:t>根据会议安排和编纂工作方案，已及时开展《巴州全面小康志》编纂工作，完成初稿1部，排版版面120万字，志书的编纂发挥了存史鉴今功能，提升资政育人作用。</w:t>
            </w:r>
          </w:p>
        </w:tc>
      </w:tr>
      <w:tr w14:paraId="3BE694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E05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55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02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A3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37E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08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A0D9">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CCCF">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149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AD6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40A8">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54B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56B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5E90">
            <w:pPr>
              <w:jc w:val="center"/>
            </w:pPr>
            <w:r>
              <w:rPr>
                <w:rFonts w:ascii="宋体" w:hAnsi="宋体" w:eastAsia="宋体"/>
                <w:sz w:val="16"/>
              </w:rPr>
              <w:t>偏差原因分析及改进措施</w:t>
            </w:r>
          </w:p>
        </w:tc>
      </w:tr>
      <w:tr w14:paraId="6C3FED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A92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DA3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43D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C68E">
            <w:pPr>
              <w:jc w:val="center"/>
            </w:pPr>
            <w:r>
              <w:rPr>
                <w:rFonts w:ascii="宋体" w:hAnsi="宋体" w:eastAsia="宋体"/>
                <w:sz w:val="16"/>
              </w:rPr>
              <w:t>编纂《巴州全面小康志》数量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9952">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D3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BA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68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F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37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56DF">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E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3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FABA">
            <w:pPr>
              <w:jc w:val="center"/>
            </w:pPr>
          </w:p>
        </w:tc>
      </w:tr>
      <w:tr w14:paraId="15CA1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C14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3F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488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B0BB">
            <w:pPr>
              <w:jc w:val="center"/>
            </w:pPr>
            <w:r>
              <w:rPr>
                <w:rFonts w:ascii="宋体" w:hAnsi="宋体" w:eastAsia="宋体"/>
                <w:sz w:val="16"/>
              </w:rPr>
              <w:t>定稿版面字数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FF10">
            <w:pPr>
              <w:jc w:val="center"/>
            </w:pPr>
            <w:r>
              <w:rPr>
                <w:rFonts w:ascii="宋体" w:hAnsi="宋体" w:eastAsia="宋体"/>
                <w:sz w:val="16"/>
              </w:rPr>
              <w:t>&gt;=120万字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B6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FD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4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9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B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BDD0">
            <w:pPr>
              <w:jc w:val="center"/>
            </w:pPr>
            <w:r>
              <w:rPr>
                <w:rFonts w:ascii="宋体" w:hAnsi="宋体" w:eastAsia="宋体"/>
                <w:sz w:val="16"/>
              </w:rPr>
              <w:t>=120万字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A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E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5982">
            <w:pPr>
              <w:jc w:val="center"/>
            </w:pPr>
          </w:p>
        </w:tc>
      </w:tr>
      <w:tr w14:paraId="486BD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E4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BF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1E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72E8E">
            <w:pPr>
              <w:jc w:val="center"/>
            </w:pPr>
            <w:r>
              <w:rPr>
                <w:rFonts w:ascii="宋体" w:hAnsi="宋体" w:eastAsia="宋体"/>
                <w:sz w:val="16"/>
              </w:rPr>
              <w:t>编纂工作的合格率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C7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D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D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2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3A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4A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D7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9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06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033F">
            <w:pPr>
              <w:jc w:val="center"/>
            </w:pPr>
          </w:p>
        </w:tc>
      </w:tr>
      <w:tr w14:paraId="41450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B0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E8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0E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2E14">
            <w:pPr>
              <w:jc w:val="center"/>
            </w:pPr>
            <w:r>
              <w:rPr>
                <w:rFonts w:ascii="宋体" w:hAnsi="宋体" w:eastAsia="宋体"/>
                <w:sz w:val="16"/>
              </w:rPr>
              <w:t>编辑工作按期完成率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5B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4B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C9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5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C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5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6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0D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64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D64A">
            <w:pPr>
              <w:jc w:val="center"/>
            </w:pPr>
          </w:p>
        </w:tc>
      </w:tr>
      <w:tr w14:paraId="142B6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25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123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F6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15C6">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581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53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E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AC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4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C7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20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C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54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22F8">
            <w:pPr>
              <w:jc w:val="center"/>
            </w:pPr>
          </w:p>
        </w:tc>
      </w:tr>
      <w:tr w14:paraId="04ABB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D24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7FF1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0DC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26C4D">
            <w:pPr>
              <w:jc w:val="center"/>
            </w:pPr>
            <w:r>
              <w:rPr>
                <w:rFonts w:ascii="宋体" w:hAnsi="宋体" w:eastAsia="宋体"/>
                <w:sz w:val="16"/>
              </w:rPr>
              <w:t>发挥存史鉴今功能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0B11">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F7D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9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B44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B8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8E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FFFF">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4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2F9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CAD5">
            <w:pPr>
              <w:jc w:val="center"/>
            </w:pPr>
          </w:p>
        </w:tc>
      </w:tr>
      <w:tr w14:paraId="6F3CC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4B6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95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878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58F2">
            <w:pPr>
              <w:jc w:val="center"/>
            </w:pPr>
            <w:r>
              <w:rPr>
                <w:rFonts w:ascii="宋体" w:hAnsi="宋体" w:eastAsia="宋体"/>
                <w:sz w:val="16"/>
              </w:rPr>
              <w:t>提升资政育人作用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081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E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B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B30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7D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2C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DAB4">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1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AC7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E922">
            <w:pPr>
              <w:jc w:val="center"/>
            </w:pPr>
          </w:p>
        </w:tc>
      </w:tr>
      <w:tr w14:paraId="3420FC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2AFB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11F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385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368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B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86A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B9F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8785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E56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59D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522A3"/>
        </w:tc>
      </w:tr>
    </w:tbl>
    <w:p w14:paraId="656F177B">
      <w:r>
        <w:br w:type="page"/>
      </w:r>
    </w:p>
    <w:tbl>
      <w:tblPr>
        <w:tblStyle w:val="9"/>
        <w:tblW w:w="0" w:type="auto"/>
        <w:tblInd w:w="0" w:type="dxa"/>
        <w:tblLayout w:type="autofit"/>
        <w:tblCellMar>
          <w:top w:w="0" w:type="dxa"/>
          <w:left w:w="108" w:type="dxa"/>
          <w:bottom w:w="0" w:type="dxa"/>
          <w:right w:w="108" w:type="dxa"/>
        </w:tblCellMar>
      </w:tblPr>
      <w:tblGrid>
        <w:gridCol w:w="611"/>
        <w:gridCol w:w="579"/>
        <w:gridCol w:w="579"/>
        <w:gridCol w:w="856"/>
        <w:gridCol w:w="696"/>
        <w:gridCol w:w="579"/>
        <w:gridCol w:w="596"/>
        <w:gridCol w:w="596"/>
        <w:gridCol w:w="579"/>
        <w:gridCol w:w="579"/>
        <w:gridCol w:w="776"/>
        <w:gridCol w:w="776"/>
        <w:gridCol w:w="629"/>
        <w:gridCol w:w="629"/>
      </w:tblGrid>
      <w:tr w14:paraId="6F207079">
        <w:tblPrEx>
          <w:tblCellMar>
            <w:top w:w="0" w:type="dxa"/>
            <w:left w:w="108" w:type="dxa"/>
            <w:bottom w:w="0" w:type="dxa"/>
            <w:right w:w="108" w:type="dxa"/>
          </w:tblCellMar>
        </w:tblPrEx>
        <w:tc>
          <w:tcPr>
            <w:tcW w:w="8848" w:type="dxa"/>
            <w:gridSpan w:val="14"/>
            <w:vAlign w:val="center"/>
          </w:tcPr>
          <w:p w14:paraId="6DD8E620">
            <w:pPr>
              <w:jc w:val="center"/>
            </w:pPr>
            <w:r>
              <w:rPr>
                <w:rFonts w:ascii="宋体" w:hAnsi="宋体" w:eastAsia="宋体"/>
                <w:sz w:val="24"/>
              </w:rPr>
              <w:t>项目支出绩效自评表</w:t>
            </w:r>
          </w:p>
        </w:tc>
      </w:tr>
      <w:tr w14:paraId="67ADE72F">
        <w:tblPrEx>
          <w:tblCellMar>
            <w:top w:w="0" w:type="dxa"/>
            <w:left w:w="108" w:type="dxa"/>
            <w:bottom w:w="0" w:type="dxa"/>
            <w:right w:w="108" w:type="dxa"/>
          </w:tblCellMar>
        </w:tblPrEx>
        <w:tc>
          <w:tcPr>
            <w:tcW w:w="8848" w:type="dxa"/>
            <w:gridSpan w:val="14"/>
            <w:vAlign w:val="center"/>
          </w:tcPr>
          <w:p w14:paraId="7759F1AF">
            <w:pPr>
              <w:jc w:val="center"/>
            </w:pPr>
            <w:r>
              <w:rPr>
                <w:rFonts w:ascii="宋体" w:hAnsi="宋体" w:eastAsia="宋体"/>
                <w:sz w:val="24"/>
              </w:rPr>
              <w:t>(2024年度)</w:t>
            </w:r>
          </w:p>
        </w:tc>
      </w:tr>
      <w:tr w14:paraId="52FE2B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5B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57DDA8">
            <w:pPr>
              <w:jc w:val="center"/>
            </w:pPr>
            <w:r>
              <w:rPr>
                <w:rFonts w:ascii="宋体" w:hAnsi="宋体" w:eastAsia="宋体"/>
                <w:sz w:val="16"/>
              </w:rPr>
              <w:t>史志鉴书籍编撰出版及日常保障项目</w:t>
            </w:r>
          </w:p>
        </w:tc>
      </w:tr>
      <w:tr w14:paraId="34B30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F6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81359">
            <w:pPr>
              <w:jc w:val="center"/>
            </w:pPr>
            <w:r>
              <w:rPr>
                <w:rFonts w:ascii="宋体" w:hAnsi="宋体" w:eastAsia="宋体"/>
                <w:sz w:val="16"/>
              </w:rPr>
              <w:t>新疆巴州党委党史地方志办公室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D9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4C877">
            <w:pPr>
              <w:jc w:val="center"/>
            </w:pPr>
            <w:r>
              <w:rPr>
                <w:rFonts w:ascii="宋体" w:hAnsi="宋体" w:eastAsia="宋体"/>
                <w:sz w:val="16"/>
              </w:rPr>
              <w:t>新疆巴州党委党史地方志办公室</w:t>
            </w:r>
          </w:p>
        </w:tc>
      </w:tr>
      <w:tr w14:paraId="00726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C51E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8AD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8A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0E8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4C1A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ACB4B">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37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691B">
            <w:pPr>
              <w:jc w:val="center"/>
            </w:pPr>
            <w:r>
              <w:rPr>
                <w:rFonts w:ascii="宋体" w:hAnsi="宋体" w:eastAsia="宋体"/>
                <w:sz w:val="16"/>
              </w:rPr>
              <w:t>得分</w:t>
            </w:r>
          </w:p>
        </w:tc>
      </w:tr>
      <w:tr w14:paraId="38B899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0CA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C24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66CCF">
            <w:pPr>
              <w:jc w:val="center"/>
            </w:pPr>
            <w:r>
              <w:rPr>
                <w:rFonts w:ascii="宋体" w:hAnsi="宋体" w:eastAsia="宋体"/>
                <w:sz w:val="16"/>
              </w:rPr>
              <w:t>46.33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0436B">
            <w:pPr>
              <w:jc w:val="center"/>
            </w:pPr>
            <w:r>
              <w:rPr>
                <w:rFonts w:ascii="宋体" w:hAnsi="宋体" w:eastAsia="宋体"/>
                <w:sz w:val="16"/>
              </w:rPr>
              <w:t>46.33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3433">
            <w:pPr>
              <w:jc w:val="center"/>
            </w:pPr>
            <w:r>
              <w:rPr>
                <w:rFonts w:ascii="宋体" w:hAnsi="宋体" w:eastAsia="宋体"/>
                <w:sz w:val="16"/>
              </w:rPr>
              <w:t>46.33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568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BB9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FD9D">
            <w:pPr>
              <w:jc w:val="center"/>
            </w:pPr>
            <w:r>
              <w:rPr>
                <w:rFonts w:ascii="宋体" w:hAnsi="宋体" w:eastAsia="宋体"/>
                <w:sz w:val="16"/>
              </w:rPr>
              <w:t>10.00</w:t>
            </w:r>
          </w:p>
        </w:tc>
      </w:tr>
      <w:tr w14:paraId="1B27E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C11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560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0AFED">
            <w:pPr>
              <w:jc w:val="center"/>
            </w:pPr>
            <w:r>
              <w:rPr>
                <w:rFonts w:ascii="宋体" w:hAnsi="宋体" w:eastAsia="宋体"/>
                <w:sz w:val="16"/>
              </w:rPr>
              <w:t>46.33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C0EC2">
            <w:pPr>
              <w:jc w:val="center"/>
            </w:pPr>
            <w:r>
              <w:rPr>
                <w:rFonts w:ascii="宋体" w:hAnsi="宋体" w:eastAsia="宋体"/>
                <w:sz w:val="16"/>
              </w:rPr>
              <w:t>46.33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338A8">
            <w:pPr>
              <w:jc w:val="center"/>
            </w:pPr>
            <w:r>
              <w:rPr>
                <w:rFonts w:ascii="宋体" w:hAnsi="宋体" w:eastAsia="宋体"/>
                <w:sz w:val="16"/>
              </w:rPr>
              <w:t>46.33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047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9B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5880">
            <w:pPr>
              <w:jc w:val="center"/>
            </w:pPr>
            <w:r>
              <w:rPr>
                <w:rFonts w:ascii="宋体" w:hAnsi="宋体" w:eastAsia="宋体"/>
                <w:sz w:val="16"/>
              </w:rPr>
              <w:t>-</w:t>
            </w:r>
          </w:p>
        </w:tc>
      </w:tr>
      <w:tr w14:paraId="086C8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CF7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E4F0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2F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24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649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28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39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3292">
            <w:pPr>
              <w:jc w:val="center"/>
            </w:pPr>
            <w:r>
              <w:rPr>
                <w:rFonts w:ascii="宋体" w:hAnsi="宋体" w:eastAsia="宋体"/>
                <w:sz w:val="16"/>
              </w:rPr>
              <w:t>-</w:t>
            </w:r>
          </w:p>
        </w:tc>
      </w:tr>
      <w:tr w14:paraId="40AB2D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600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2139E3">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877C1">
            <w:pPr>
              <w:jc w:val="center"/>
            </w:pPr>
            <w:r>
              <w:rPr>
                <w:rFonts w:ascii="宋体" w:hAnsi="宋体" w:eastAsia="宋体"/>
                <w:sz w:val="16"/>
              </w:rPr>
              <w:t>总体目标完成情况</w:t>
            </w:r>
          </w:p>
        </w:tc>
      </w:tr>
      <w:tr w14:paraId="44362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11C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9F0A8">
            <w:pPr>
              <w:jc w:val="both"/>
            </w:pPr>
            <w:r>
              <w:rPr>
                <w:rFonts w:ascii="宋体" w:hAnsi="宋体" w:eastAsia="宋体"/>
                <w:sz w:val="16"/>
              </w:rPr>
              <w:t>1.根据中华人民共和国国务院令第467号国务院《地方志工作条例》规定，逐年编纂出版综合年鉴。 2.根据2023年4月2日巴州党委</w:t>
            </w:r>
            <w:r>
              <w:rPr>
                <w:rFonts w:hint="eastAsia" w:ascii="宋体" w:hAnsi="宋体"/>
                <w:sz w:val="16"/>
                <w:lang w:eastAsia="zh-CN"/>
              </w:rPr>
              <w:t>常委会会议</w:t>
            </w:r>
            <w:r>
              <w:rPr>
                <w:rFonts w:ascii="宋体" w:hAnsi="宋体" w:eastAsia="宋体"/>
                <w:sz w:val="16"/>
              </w:rPr>
              <w:t>精神，抽调人员开展《库尔勒香梨志》《博斯腾湖志》编纂工作，发挥地方志服务自治州特色产业发展、优势资源开发利用及生态文明建设作用，2024年形成初稿，开展评审修改工作。3.及时购置日常办公耗材4批次，保障单位日常工作正常运转，提高单位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3E4E2D">
            <w:pPr>
              <w:jc w:val="both"/>
            </w:pPr>
            <w:r>
              <w:rPr>
                <w:rFonts w:ascii="宋体" w:hAnsi="宋体" w:eastAsia="宋体"/>
                <w:sz w:val="16"/>
              </w:rPr>
              <w:t>本年度</w:t>
            </w:r>
            <w:r>
              <w:rPr>
                <w:rFonts w:hint="eastAsia" w:ascii="宋体" w:hAnsi="宋体"/>
                <w:sz w:val="16"/>
                <w:lang w:eastAsia="zh-CN"/>
              </w:rPr>
              <w:t>本部门</w:t>
            </w:r>
            <w:r>
              <w:rPr>
                <w:rFonts w:ascii="宋体" w:hAnsi="宋体" w:eastAsia="宋体"/>
                <w:sz w:val="16"/>
              </w:rPr>
              <w:t>已按照时间和计划保质、保量完成该项目。根据条例规定和单位职能完成175万字《巴音郭楞年鉴》（2019、2023）移送审定工作，按期完成特色志书稿编纂121万字，发挥地方志服务自治州特色产业发展、优势资源开发利用及生态文明建设作用，提升存史资政育人作用。及时购置办公耗材4批次，做好单位</w:t>
            </w:r>
            <w:r>
              <w:rPr>
                <w:rFonts w:hint="eastAsia" w:ascii="宋体" w:hAnsi="宋体"/>
                <w:sz w:val="16"/>
                <w:lang w:eastAsia="zh-CN"/>
              </w:rPr>
              <w:t>物资</w:t>
            </w:r>
            <w:r>
              <w:rPr>
                <w:rFonts w:ascii="宋体" w:hAnsi="宋体" w:eastAsia="宋体"/>
                <w:sz w:val="16"/>
              </w:rPr>
              <w:t>保障工作，确保7名办公人员日常工作顺利开展。</w:t>
            </w:r>
          </w:p>
        </w:tc>
      </w:tr>
      <w:tr w14:paraId="66FEAA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FD0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46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9D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57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5334">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39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3D30">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EB13">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2C8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3E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ADD1">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07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595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B93F1">
            <w:pPr>
              <w:jc w:val="center"/>
            </w:pPr>
            <w:r>
              <w:rPr>
                <w:rFonts w:ascii="宋体" w:hAnsi="宋体" w:eastAsia="宋体"/>
                <w:sz w:val="16"/>
              </w:rPr>
              <w:t>偏差原因分析及改进措施</w:t>
            </w:r>
          </w:p>
        </w:tc>
      </w:tr>
      <w:tr w14:paraId="05EC28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E30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AD1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4E6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18BE">
            <w:pPr>
              <w:jc w:val="center"/>
            </w:pPr>
            <w:r>
              <w:rPr>
                <w:rFonts w:ascii="宋体" w:hAnsi="宋体" w:eastAsia="宋体"/>
                <w:sz w:val="16"/>
              </w:rPr>
              <w:t>完成《巴音郭楞年鉴》（2019、2023）移送审定合计字数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FE74">
            <w:pPr>
              <w:jc w:val="center"/>
            </w:pPr>
            <w:r>
              <w:rPr>
                <w:rFonts w:ascii="宋体" w:hAnsi="宋体" w:eastAsia="宋体"/>
                <w:sz w:val="16"/>
              </w:rPr>
              <w:t>&gt;=150万字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8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53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79D7">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1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1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54CE">
            <w:pPr>
              <w:jc w:val="center"/>
            </w:pPr>
            <w:r>
              <w:rPr>
                <w:rFonts w:ascii="宋体" w:hAnsi="宋体" w:eastAsia="宋体"/>
                <w:sz w:val="16"/>
              </w:rPr>
              <w:t>=175万字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8B6D">
            <w:pPr>
              <w:jc w:val="center"/>
            </w:pPr>
            <w:r>
              <w:rPr>
                <w:rFonts w:ascii="宋体" w:hAnsi="宋体" w:eastAsia="宋体"/>
                <w:sz w:val="16"/>
              </w:rPr>
              <w:t>116.67%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5136">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7993">
            <w:pPr>
              <w:jc w:val="center"/>
            </w:pPr>
            <w:r>
              <w:rPr>
                <w:rFonts w:ascii="宋体" w:hAnsi="宋体" w:eastAsia="宋体"/>
                <w:sz w:val="16"/>
              </w:rPr>
              <w:t>书籍编撰具体内容由供稿单位提供的初稿决定，视各单位年度重点工作的完成情况存在浮动，较指标值高，下年度加强项目预算编制严谨性，精准设置指标值，减少偏差</w:t>
            </w:r>
          </w:p>
        </w:tc>
      </w:tr>
      <w:tr w14:paraId="7F806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072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8E5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E2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5AC7">
            <w:pPr>
              <w:jc w:val="center"/>
            </w:pPr>
            <w:r>
              <w:rPr>
                <w:rFonts w:ascii="宋体" w:hAnsi="宋体" w:eastAsia="宋体"/>
                <w:sz w:val="16"/>
              </w:rPr>
              <w:t>完成特色志书稿编纂字数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F9BD">
            <w:pPr>
              <w:jc w:val="center"/>
            </w:pPr>
            <w:r>
              <w:rPr>
                <w:rFonts w:ascii="宋体" w:hAnsi="宋体" w:eastAsia="宋体"/>
                <w:sz w:val="16"/>
              </w:rPr>
              <w:t>&gt;=200万字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2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7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751C">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3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C15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56D7">
            <w:pPr>
              <w:jc w:val="center"/>
            </w:pPr>
            <w:r>
              <w:rPr>
                <w:rFonts w:ascii="宋体" w:hAnsi="宋体" w:eastAsia="宋体"/>
                <w:sz w:val="16"/>
              </w:rPr>
              <w:t>=121万字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8BC1">
            <w:pPr>
              <w:jc w:val="center"/>
            </w:pPr>
            <w:r>
              <w:rPr>
                <w:rFonts w:ascii="宋体" w:hAnsi="宋体" w:eastAsia="宋体"/>
                <w:sz w:val="16"/>
              </w:rPr>
              <w:t>60.5%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013D">
            <w:pPr>
              <w:jc w:val="center"/>
            </w:pPr>
            <w:r>
              <w:rPr>
                <w:rFonts w:ascii="宋体" w:hAnsi="宋体" w:eastAsia="宋体"/>
                <w:sz w:val="16"/>
              </w:rPr>
              <w:t>0.06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7DA9">
            <w:pPr>
              <w:jc w:val="center"/>
            </w:pPr>
            <w:r>
              <w:rPr>
                <w:rFonts w:ascii="宋体" w:hAnsi="宋体" w:eastAsia="宋体"/>
                <w:sz w:val="16"/>
              </w:rPr>
              <w:t>按照《库尔勒香梨志》《博斯腾湖志》编纂实施方案，计划编纂2部特色志200万字。因征集的数百万字各类资料统计口径不一、出处不一，考证难度较大，先后结合各级专家审阅意见，经过多轮修改，进行资料删减，形成评审稿121万字，下年度加强项目预算编制严谨性，精准设置指标值，减少偏差</w:t>
            </w:r>
          </w:p>
        </w:tc>
      </w:tr>
      <w:tr w14:paraId="75DF8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79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A5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A1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706A">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BD6">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B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54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B34A">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A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C5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E313F">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C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A17D">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AD95">
            <w:pPr>
              <w:jc w:val="center"/>
            </w:pPr>
          </w:p>
        </w:tc>
      </w:tr>
      <w:tr w14:paraId="3D554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A1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C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97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B01F">
            <w:pPr>
              <w:jc w:val="center"/>
            </w:pPr>
            <w:r>
              <w:rPr>
                <w:rFonts w:ascii="宋体" w:hAnsi="宋体" w:eastAsia="宋体"/>
                <w:sz w:val="16"/>
              </w:rPr>
              <w:t>购置办公耗材批次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5FEC">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6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18D3">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900D">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D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8A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2584">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6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49EC">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C809B">
            <w:pPr>
              <w:jc w:val="center"/>
            </w:pPr>
          </w:p>
        </w:tc>
      </w:tr>
      <w:tr w14:paraId="6CADD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00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6F3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D57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1D0B">
            <w:pPr>
              <w:jc w:val="center"/>
            </w:pPr>
            <w:r>
              <w:rPr>
                <w:rFonts w:ascii="宋体" w:hAnsi="宋体" w:eastAsia="宋体"/>
                <w:sz w:val="16"/>
              </w:rPr>
              <w:t>修改编纂工作的合格率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FB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F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B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4748">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1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34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86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C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5FAD">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259B">
            <w:pPr>
              <w:jc w:val="center"/>
            </w:pPr>
          </w:p>
        </w:tc>
      </w:tr>
      <w:tr w14:paraId="549DC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01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D0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23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B002">
            <w:pPr>
              <w:jc w:val="center"/>
            </w:pPr>
            <w:r>
              <w:rPr>
                <w:rFonts w:ascii="宋体" w:hAnsi="宋体" w:eastAsia="宋体"/>
                <w:sz w:val="16"/>
              </w:rPr>
              <w:t>购置办公耗材质量合格率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63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69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6A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6132">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3B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53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D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9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8A12">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5A28">
            <w:pPr>
              <w:jc w:val="center"/>
            </w:pPr>
          </w:p>
        </w:tc>
      </w:tr>
      <w:tr w14:paraId="3AC35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F7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4B0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948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AF897">
            <w:pPr>
              <w:jc w:val="center"/>
            </w:pPr>
            <w:r>
              <w:rPr>
                <w:rFonts w:ascii="宋体" w:hAnsi="宋体" w:eastAsia="宋体"/>
                <w:sz w:val="16"/>
              </w:rPr>
              <w:t>编辑工作按期完成率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55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5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2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D76F">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E3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2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1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F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6250">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033C">
            <w:pPr>
              <w:jc w:val="center"/>
            </w:pPr>
          </w:p>
        </w:tc>
      </w:tr>
      <w:tr w14:paraId="0A2968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6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0F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EA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E6C2">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3C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D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C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E03F">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FA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1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C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4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95F30">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7120">
            <w:pPr>
              <w:jc w:val="center"/>
            </w:pPr>
          </w:p>
        </w:tc>
      </w:tr>
      <w:tr w14:paraId="10FEE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518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70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58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571D">
            <w:pPr>
              <w:jc w:val="center"/>
            </w:pPr>
            <w:r>
              <w:rPr>
                <w:rFonts w:ascii="宋体" w:hAnsi="宋体" w:eastAsia="宋体"/>
                <w:sz w:val="16"/>
              </w:rPr>
              <w:t>购置办公耗材及时率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CE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3A3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97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D56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5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EC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0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F4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C6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5E76">
            <w:pPr>
              <w:jc w:val="center"/>
            </w:pPr>
          </w:p>
        </w:tc>
      </w:tr>
      <w:tr w14:paraId="296FC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074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D73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E8D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67D1">
            <w:pPr>
              <w:jc w:val="center"/>
            </w:pPr>
            <w:r>
              <w:rPr>
                <w:rFonts w:ascii="宋体" w:hAnsi="宋体" w:eastAsia="宋体"/>
                <w:sz w:val="16"/>
              </w:rPr>
              <w:t>编辑史志图书费用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3D79">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4D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B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F29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53F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84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6CFF">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F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C3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7FF9">
            <w:pPr>
              <w:jc w:val="center"/>
            </w:pPr>
          </w:p>
        </w:tc>
      </w:tr>
      <w:tr w14:paraId="38314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EC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CBA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E3C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1FCE">
            <w:pPr>
              <w:jc w:val="center"/>
            </w:pPr>
            <w:r>
              <w:rPr>
                <w:rFonts w:ascii="宋体" w:hAnsi="宋体" w:eastAsia="宋体"/>
                <w:sz w:val="16"/>
              </w:rPr>
              <w:t>人均运转费用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2321">
            <w:pPr>
              <w:jc w:val="center"/>
            </w:pPr>
            <w:r>
              <w:rPr>
                <w:rFonts w:ascii="宋体" w:hAnsi="宋体" w:eastAsia="宋体"/>
                <w:sz w:val="16"/>
              </w:rPr>
              <w:t>&lt;=1.61万元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8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3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FE33">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D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19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7E26">
            <w:pPr>
              <w:jc w:val="center"/>
            </w:pPr>
            <w:r>
              <w:rPr>
                <w:rFonts w:ascii="宋体" w:hAnsi="宋体" w:eastAsia="宋体"/>
                <w:sz w:val="16"/>
              </w:rPr>
              <w:t>=1.61万元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9A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A842">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1FE1">
            <w:pPr>
              <w:jc w:val="center"/>
            </w:pPr>
          </w:p>
        </w:tc>
      </w:tr>
      <w:tr w14:paraId="6F88A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E8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EA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95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B670">
            <w:pPr>
              <w:jc w:val="center"/>
            </w:pPr>
            <w:r>
              <w:rPr>
                <w:rFonts w:ascii="宋体" w:hAnsi="宋体" w:eastAsia="宋体"/>
                <w:sz w:val="16"/>
              </w:rPr>
              <w:t>办公耗材成本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CF4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4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79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C64C">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50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90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449A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F4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351B">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060A">
            <w:pPr>
              <w:jc w:val="center"/>
            </w:pPr>
          </w:p>
        </w:tc>
      </w:tr>
      <w:tr w14:paraId="7F093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4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43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E0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49F3">
            <w:pPr>
              <w:jc w:val="center"/>
            </w:pPr>
            <w:r>
              <w:rPr>
                <w:rFonts w:ascii="宋体" w:hAnsi="宋体" w:eastAsia="宋体"/>
                <w:sz w:val="16"/>
              </w:rPr>
              <w:t>提升存史资政育人作用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D8C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B0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C2FB">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28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E4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11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7F11">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D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1F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FA05">
            <w:pPr>
              <w:jc w:val="center"/>
            </w:pPr>
          </w:p>
        </w:tc>
      </w:tr>
      <w:tr w14:paraId="06ED5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87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0D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F3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1F22">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6A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6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916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DA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8C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6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CD49">
            <w:pPr>
              <w:jc w:val="center"/>
            </w:pPr>
            <w:r>
              <w:rPr>
                <w:rFonts w:ascii="宋体" w:hAnsi="宋体" w:eastAsia="宋体"/>
                <w:sz w:val="16"/>
              </w:rPr>
              <w:t>=94.64%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0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FD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3EE3">
            <w:pPr>
              <w:jc w:val="center"/>
            </w:pPr>
          </w:p>
        </w:tc>
      </w:tr>
      <w:tr w14:paraId="0CE8045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A746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77B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B3F1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BD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49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D49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CD2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A7EA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F09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3164">
            <w:pPr>
              <w:jc w:val="center"/>
            </w:pPr>
            <w:r>
              <w:rPr>
                <w:rFonts w:ascii="宋体" w:hAnsi="宋体" w:eastAsia="宋体"/>
                <w:sz w:val="16"/>
              </w:rPr>
              <w:t>94.81分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D8941"/>
        </w:tc>
      </w:tr>
    </w:tbl>
    <w:p w14:paraId="768BB1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96"/>
        <w:gridCol w:w="632"/>
      </w:tblGrid>
      <w:tr w14:paraId="56DDF70A">
        <w:tblPrEx>
          <w:tblCellMar>
            <w:top w:w="0" w:type="dxa"/>
            <w:left w:w="108" w:type="dxa"/>
            <w:bottom w:w="0" w:type="dxa"/>
            <w:right w:w="108" w:type="dxa"/>
          </w:tblCellMar>
        </w:tblPrEx>
        <w:tc>
          <w:tcPr>
            <w:tcW w:w="8848" w:type="dxa"/>
            <w:gridSpan w:val="14"/>
            <w:vAlign w:val="center"/>
          </w:tcPr>
          <w:p w14:paraId="6A2808F8">
            <w:pPr>
              <w:jc w:val="center"/>
            </w:pPr>
            <w:r>
              <w:rPr>
                <w:rFonts w:ascii="宋体" w:hAnsi="宋体" w:eastAsia="宋体"/>
                <w:sz w:val="24"/>
              </w:rPr>
              <w:t>项目支出绩效自评表</w:t>
            </w:r>
          </w:p>
        </w:tc>
      </w:tr>
      <w:tr w14:paraId="30071556">
        <w:tblPrEx>
          <w:tblCellMar>
            <w:top w:w="0" w:type="dxa"/>
            <w:left w:w="108" w:type="dxa"/>
            <w:bottom w:w="0" w:type="dxa"/>
            <w:right w:w="108" w:type="dxa"/>
          </w:tblCellMar>
        </w:tblPrEx>
        <w:tc>
          <w:tcPr>
            <w:tcW w:w="8848" w:type="dxa"/>
            <w:gridSpan w:val="14"/>
            <w:vAlign w:val="center"/>
          </w:tcPr>
          <w:p w14:paraId="66EAC668">
            <w:pPr>
              <w:jc w:val="center"/>
            </w:pPr>
            <w:r>
              <w:rPr>
                <w:rFonts w:ascii="宋体" w:hAnsi="宋体" w:eastAsia="宋体"/>
                <w:sz w:val="24"/>
              </w:rPr>
              <w:t>(2024年度)</w:t>
            </w:r>
          </w:p>
        </w:tc>
      </w:tr>
      <w:tr w14:paraId="6F131A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2D9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E0151">
            <w:pPr>
              <w:jc w:val="center"/>
            </w:pPr>
            <w:r>
              <w:rPr>
                <w:rFonts w:ascii="宋体" w:hAnsi="宋体" w:eastAsia="宋体"/>
                <w:sz w:val="16"/>
              </w:rPr>
              <w:t>巴州七十年大事纪略经费</w:t>
            </w:r>
          </w:p>
        </w:tc>
      </w:tr>
      <w:tr w14:paraId="170598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29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2B9584">
            <w:pPr>
              <w:jc w:val="center"/>
            </w:pPr>
            <w:r>
              <w:rPr>
                <w:rFonts w:ascii="宋体" w:hAnsi="宋体" w:eastAsia="宋体"/>
                <w:sz w:val="16"/>
              </w:rPr>
              <w:t>新疆巴州党委党史地方志办公室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36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F89B47">
            <w:pPr>
              <w:jc w:val="center"/>
            </w:pPr>
            <w:r>
              <w:rPr>
                <w:rFonts w:ascii="宋体" w:hAnsi="宋体" w:eastAsia="宋体"/>
                <w:sz w:val="16"/>
              </w:rPr>
              <w:t>新疆巴州党委党史地方志办公室</w:t>
            </w:r>
          </w:p>
        </w:tc>
      </w:tr>
      <w:tr w14:paraId="23C52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9146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A79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81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00C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9B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0CF1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8CB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A2AE">
            <w:pPr>
              <w:jc w:val="center"/>
            </w:pPr>
            <w:r>
              <w:rPr>
                <w:rFonts w:ascii="宋体" w:hAnsi="宋体" w:eastAsia="宋体"/>
                <w:sz w:val="16"/>
              </w:rPr>
              <w:t>得分</w:t>
            </w:r>
          </w:p>
        </w:tc>
      </w:tr>
      <w:tr w14:paraId="55D06C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7C1F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AE5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4011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7E002">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6D5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7C1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C818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9E34">
            <w:pPr>
              <w:jc w:val="center"/>
            </w:pPr>
            <w:r>
              <w:rPr>
                <w:rFonts w:ascii="宋体" w:hAnsi="宋体" w:eastAsia="宋体"/>
                <w:sz w:val="16"/>
              </w:rPr>
              <w:t>10.00</w:t>
            </w:r>
          </w:p>
        </w:tc>
      </w:tr>
      <w:tr w14:paraId="36F0C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F2F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F3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770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9EB2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21FE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088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58F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6B0E">
            <w:pPr>
              <w:jc w:val="center"/>
            </w:pPr>
            <w:r>
              <w:rPr>
                <w:rFonts w:ascii="宋体" w:hAnsi="宋体" w:eastAsia="宋体"/>
                <w:sz w:val="16"/>
              </w:rPr>
              <w:t>-</w:t>
            </w:r>
          </w:p>
        </w:tc>
      </w:tr>
      <w:tr w14:paraId="02C76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5D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849D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DB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B12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08A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627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F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EE6A">
            <w:pPr>
              <w:jc w:val="center"/>
            </w:pPr>
            <w:r>
              <w:rPr>
                <w:rFonts w:ascii="宋体" w:hAnsi="宋体" w:eastAsia="宋体"/>
                <w:sz w:val="16"/>
              </w:rPr>
              <w:t>-</w:t>
            </w:r>
          </w:p>
        </w:tc>
      </w:tr>
      <w:tr w14:paraId="117C8D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AAB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CE41D">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EDD2F5">
            <w:pPr>
              <w:jc w:val="center"/>
            </w:pPr>
            <w:r>
              <w:rPr>
                <w:rFonts w:ascii="宋体" w:hAnsi="宋体" w:eastAsia="宋体"/>
                <w:sz w:val="16"/>
              </w:rPr>
              <w:t>总体目标完成情况</w:t>
            </w:r>
          </w:p>
        </w:tc>
      </w:tr>
      <w:tr w14:paraId="79B097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E42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502ED5">
            <w:pPr>
              <w:jc w:val="both"/>
            </w:pPr>
            <w:r>
              <w:rPr>
                <w:rFonts w:ascii="宋体" w:hAnsi="宋体" w:eastAsia="宋体"/>
                <w:sz w:val="16"/>
              </w:rPr>
              <w:t>本办主动服务大局，把握巴州成立七十年重大历史节点，经州党委、人民政府批准，联合州党委宣传部启动《巴音郭楞蒙古自治州七十年大事纪略》编纂工作，计划2024年完成初稿统稿总纂、评审，移交出版社，宣传巴州历史文化，提升存史资政育人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790A16">
            <w:pPr>
              <w:jc w:val="both"/>
            </w:pPr>
            <w:r>
              <w:rPr>
                <w:rFonts w:hint="eastAsia" w:ascii="宋体" w:hAnsi="宋体"/>
                <w:sz w:val="16"/>
                <w:lang w:eastAsia="zh-CN"/>
              </w:rPr>
              <w:t>本部门</w:t>
            </w:r>
            <w:r>
              <w:rPr>
                <w:rFonts w:ascii="宋体" w:hAnsi="宋体" w:eastAsia="宋体"/>
                <w:sz w:val="16"/>
              </w:rPr>
              <w:t>根据《自治州党史和文献工作规划（2023一2027年）》和州党委常委会研究，已及时启动开展《巴音郭楞蒙古自治州七十年大事纪略》编纂工作，完成初稿1部，定稿版面20万字，大事纪略的编纂发挥了宣传巴州历史文化、提升资政育人作用。</w:t>
            </w:r>
          </w:p>
        </w:tc>
      </w:tr>
      <w:tr w14:paraId="3E2972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FE8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42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FC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A4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553D">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74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EC5C">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E3BD">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F53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6C0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313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39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28A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CA6B">
            <w:pPr>
              <w:jc w:val="center"/>
            </w:pPr>
            <w:r>
              <w:rPr>
                <w:rFonts w:ascii="宋体" w:hAnsi="宋体" w:eastAsia="宋体"/>
                <w:sz w:val="16"/>
              </w:rPr>
              <w:t>偏差原因分析及改进措施</w:t>
            </w:r>
          </w:p>
        </w:tc>
      </w:tr>
      <w:tr w14:paraId="4F9F67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730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152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C37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C4B6">
            <w:pPr>
              <w:jc w:val="center"/>
            </w:pPr>
            <w:r>
              <w:rPr>
                <w:rFonts w:ascii="宋体" w:hAnsi="宋体" w:eastAsia="宋体"/>
                <w:sz w:val="16"/>
              </w:rPr>
              <w:t>编纂《巴音郭楞蒙古自治州七十年大事纪略》数量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1795">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0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27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72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0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B1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41C0">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9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E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1C3E">
            <w:pPr>
              <w:jc w:val="center"/>
            </w:pPr>
          </w:p>
        </w:tc>
      </w:tr>
      <w:tr w14:paraId="3207C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8D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2C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39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C6D1">
            <w:pPr>
              <w:jc w:val="center"/>
            </w:pPr>
            <w:r>
              <w:rPr>
                <w:rFonts w:ascii="宋体" w:hAnsi="宋体" w:eastAsia="宋体"/>
                <w:sz w:val="16"/>
              </w:rPr>
              <w:t>定稿版面字数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A264">
            <w:pPr>
              <w:jc w:val="center"/>
            </w:pPr>
            <w:r>
              <w:rPr>
                <w:rFonts w:ascii="宋体" w:hAnsi="宋体" w:eastAsia="宋体"/>
                <w:sz w:val="16"/>
              </w:rPr>
              <w:t>&gt;=20万字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3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39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41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E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FB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9818">
            <w:pPr>
              <w:jc w:val="center"/>
            </w:pPr>
            <w:r>
              <w:rPr>
                <w:rFonts w:ascii="宋体" w:hAnsi="宋体" w:eastAsia="宋体"/>
                <w:sz w:val="16"/>
              </w:rPr>
              <w:t>=20万字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F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2B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E3A5">
            <w:pPr>
              <w:jc w:val="center"/>
            </w:pPr>
          </w:p>
        </w:tc>
      </w:tr>
      <w:tr w14:paraId="4AA2D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4D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A2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8C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66E6">
            <w:pPr>
              <w:jc w:val="center"/>
            </w:pPr>
            <w:r>
              <w:rPr>
                <w:rFonts w:ascii="宋体" w:hAnsi="宋体" w:eastAsia="宋体"/>
                <w:sz w:val="16"/>
              </w:rPr>
              <w:t>编纂工作的合格率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AD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AC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A9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C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84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5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6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5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52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9678">
            <w:pPr>
              <w:jc w:val="center"/>
            </w:pPr>
          </w:p>
        </w:tc>
      </w:tr>
      <w:tr w14:paraId="008EA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EC2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5B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AF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8C66">
            <w:pPr>
              <w:jc w:val="center"/>
            </w:pPr>
            <w:r>
              <w:rPr>
                <w:rFonts w:ascii="宋体" w:hAnsi="宋体" w:eastAsia="宋体"/>
                <w:sz w:val="16"/>
              </w:rPr>
              <w:t>编辑工作按期完成率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040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12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0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D5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E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AF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E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4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90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F9F8">
            <w:pPr>
              <w:jc w:val="center"/>
            </w:pPr>
          </w:p>
        </w:tc>
      </w:tr>
      <w:tr w14:paraId="4A7C1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37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C6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6D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90D1">
            <w:pPr>
              <w:jc w:val="center"/>
            </w:pPr>
            <w:r>
              <w:rPr>
                <w:rFonts w:ascii="宋体" w:hAnsi="宋体" w:eastAsia="宋体"/>
                <w:sz w:val="16"/>
              </w:rPr>
              <w:t>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5EA8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E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8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CC5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A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37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B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1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46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342F">
            <w:pPr>
              <w:jc w:val="center"/>
            </w:pPr>
          </w:p>
        </w:tc>
      </w:tr>
      <w:tr w14:paraId="691F9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C81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9E87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F9A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2765">
            <w:pPr>
              <w:jc w:val="center"/>
            </w:pPr>
            <w:r>
              <w:rPr>
                <w:rFonts w:ascii="宋体" w:hAnsi="宋体" w:eastAsia="宋体"/>
                <w:sz w:val="16"/>
              </w:rPr>
              <w:t>宣传巴州历史文化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51DD">
            <w:pPr>
              <w:jc w:val="center"/>
            </w:pPr>
            <w:r>
              <w:rPr>
                <w:rFonts w:ascii="宋体" w:hAnsi="宋体" w:eastAsia="宋体"/>
                <w:sz w:val="16"/>
              </w:rPr>
              <w:t>有效发挥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C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16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52E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B9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C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2D15">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33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63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B03F">
            <w:pPr>
              <w:jc w:val="center"/>
            </w:pPr>
          </w:p>
        </w:tc>
      </w:tr>
      <w:tr w14:paraId="6582A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4B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E8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C8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7255">
            <w:pPr>
              <w:jc w:val="center"/>
            </w:pPr>
            <w:r>
              <w:rPr>
                <w:rFonts w:ascii="宋体" w:hAnsi="宋体" w:eastAsia="宋体"/>
                <w:sz w:val="16"/>
              </w:rPr>
              <w:t>提升资政育人作用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0E1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A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0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F6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39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7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452E">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5B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F6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4713">
            <w:pPr>
              <w:jc w:val="center"/>
            </w:pPr>
          </w:p>
        </w:tc>
      </w:tr>
      <w:tr w14:paraId="47CE07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9D53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9EC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9FA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05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A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4EAB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D133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4F3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2A60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310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9882DC"/>
        </w:tc>
      </w:tr>
    </w:tbl>
    <w:p w14:paraId="1055556F">
      <w:r>
        <w:br w:type="page"/>
      </w:r>
    </w:p>
    <w:p w14:paraId="15ADC40A">
      <w:pPr>
        <w:spacing w:line="640" w:lineRule="exact"/>
        <w:ind w:firstLine="640"/>
        <w:jc w:val="both"/>
        <w:outlineLvl w:val="2"/>
      </w:pPr>
      <w:r>
        <w:rPr>
          <w:rFonts w:ascii="黑体" w:hAnsi="黑体" w:eastAsia="黑体"/>
          <w:sz w:val="32"/>
        </w:rPr>
        <w:t>十二、其他需说明的事项</w:t>
      </w:r>
    </w:p>
    <w:p w14:paraId="028731E5">
      <w:pPr>
        <w:spacing w:line="580" w:lineRule="exact"/>
        <w:ind w:firstLine="640"/>
        <w:jc w:val="both"/>
      </w:pPr>
      <w:r>
        <w:rPr>
          <w:rFonts w:ascii="仿宋_GB2312" w:hAnsi="仿宋_GB2312" w:eastAsia="仿宋_GB2312"/>
          <w:b w:val="0"/>
          <w:sz w:val="32"/>
        </w:rPr>
        <w:t>本部门无其他需说明的事项。</w:t>
      </w:r>
    </w:p>
    <w:p w14:paraId="06BBBB50">
      <w:r>
        <w:br w:type="page"/>
      </w:r>
    </w:p>
    <w:p w14:paraId="7D5F5C53">
      <w:pPr>
        <w:spacing w:line="240" w:lineRule="auto"/>
        <w:jc w:val="center"/>
        <w:outlineLvl w:val="1"/>
      </w:pPr>
      <w:r>
        <w:rPr>
          <w:rFonts w:ascii="黑体" w:hAnsi="黑体" w:eastAsia="黑体"/>
          <w:sz w:val="32"/>
        </w:rPr>
        <w:t>第三部分 专业名词解释</w:t>
      </w:r>
    </w:p>
    <w:p w14:paraId="6A9C3F8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57279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DB75A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417D12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79A721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7B86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FF4E7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30837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5E536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74A2C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8E5D0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869A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1DA10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DE35FA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3AF58C">
      <w:r>
        <w:br w:type="page"/>
      </w:r>
    </w:p>
    <w:p w14:paraId="3F288B52">
      <w:pPr>
        <w:spacing w:line="240" w:lineRule="auto"/>
        <w:jc w:val="center"/>
        <w:outlineLvl w:val="1"/>
      </w:pPr>
      <w:r>
        <w:rPr>
          <w:rFonts w:ascii="黑体" w:hAnsi="黑体" w:eastAsia="黑体"/>
          <w:sz w:val="32"/>
        </w:rPr>
        <w:t>第四部分 部门决算报表（见附表）</w:t>
      </w:r>
    </w:p>
    <w:p w14:paraId="4A189684">
      <w:pPr>
        <w:spacing w:line="240" w:lineRule="auto"/>
        <w:ind w:firstLine="640"/>
        <w:jc w:val="both"/>
      </w:pPr>
      <w:r>
        <w:rPr>
          <w:rFonts w:ascii="仿宋_GB2312" w:hAnsi="仿宋_GB2312" w:eastAsia="仿宋_GB2312"/>
          <w:b w:val="0"/>
          <w:sz w:val="32"/>
        </w:rPr>
        <w:t>一、《收入支出决算总表》</w:t>
      </w:r>
    </w:p>
    <w:p w14:paraId="1F41B454">
      <w:pPr>
        <w:spacing w:line="240" w:lineRule="auto"/>
        <w:ind w:firstLine="640"/>
        <w:jc w:val="both"/>
      </w:pPr>
      <w:r>
        <w:rPr>
          <w:rFonts w:ascii="仿宋_GB2312" w:hAnsi="仿宋_GB2312" w:eastAsia="仿宋_GB2312"/>
          <w:b w:val="0"/>
          <w:sz w:val="32"/>
        </w:rPr>
        <w:t>二、《收入决算表》</w:t>
      </w:r>
    </w:p>
    <w:p w14:paraId="5FE111C5">
      <w:pPr>
        <w:spacing w:line="240" w:lineRule="auto"/>
        <w:ind w:firstLine="640"/>
        <w:jc w:val="both"/>
      </w:pPr>
      <w:r>
        <w:rPr>
          <w:rFonts w:ascii="仿宋_GB2312" w:hAnsi="仿宋_GB2312" w:eastAsia="仿宋_GB2312"/>
          <w:b w:val="0"/>
          <w:sz w:val="32"/>
        </w:rPr>
        <w:t>三、《支出决算表》</w:t>
      </w:r>
    </w:p>
    <w:p w14:paraId="6EB1C7E6">
      <w:pPr>
        <w:spacing w:line="240" w:lineRule="auto"/>
        <w:ind w:firstLine="640"/>
        <w:jc w:val="both"/>
      </w:pPr>
      <w:r>
        <w:rPr>
          <w:rFonts w:ascii="仿宋_GB2312" w:hAnsi="仿宋_GB2312" w:eastAsia="仿宋_GB2312"/>
          <w:b w:val="0"/>
          <w:sz w:val="32"/>
        </w:rPr>
        <w:t>四、《财政拨款收入支出决算总表》</w:t>
      </w:r>
    </w:p>
    <w:p w14:paraId="330EC18B">
      <w:pPr>
        <w:spacing w:line="240" w:lineRule="auto"/>
        <w:ind w:firstLine="640"/>
        <w:jc w:val="both"/>
      </w:pPr>
      <w:r>
        <w:rPr>
          <w:rFonts w:ascii="仿宋_GB2312" w:hAnsi="仿宋_GB2312" w:eastAsia="仿宋_GB2312"/>
          <w:b w:val="0"/>
          <w:sz w:val="32"/>
        </w:rPr>
        <w:t>五、《一般公共预算财政拨款支出决算表》</w:t>
      </w:r>
    </w:p>
    <w:p w14:paraId="6DC4D70A">
      <w:pPr>
        <w:spacing w:line="240" w:lineRule="auto"/>
        <w:ind w:firstLine="640"/>
        <w:jc w:val="both"/>
      </w:pPr>
      <w:r>
        <w:rPr>
          <w:rFonts w:ascii="仿宋_GB2312" w:hAnsi="仿宋_GB2312" w:eastAsia="仿宋_GB2312"/>
          <w:b w:val="0"/>
          <w:sz w:val="32"/>
        </w:rPr>
        <w:t>六、《一般公共预算财政拨款基本支出决算表》</w:t>
      </w:r>
    </w:p>
    <w:p w14:paraId="1F3607C1">
      <w:pPr>
        <w:spacing w:line="240" w:lineRule="auto"/>
        <w:ind w:firstLine="640"/>
        <w:jc w:val="both"/>
      </w:pPr>
      <w:r>
        <w:rPr>
          <w:rFonts w:ascii="仿宋_GB2312" w:hAnsi="仿宋_GB2312" w:eastAsia="仿宋_GB2312"/>
          <w:b w:val="0"/>
          <w:sz w:val="32"/>
        </w:rPr>
        <w:t>七、《政府性基金预算财政拨款收入支出决算表》</w:t>
      </w:r>
    </w:p>
    <w:p w14:paraId="6C666FC5">
      <w:pPr>
        <w:spacing w:line="240" w:lineRule="auto"/>
        <w:ind w:firstLine="640"/>
        <w:jc w:val="both"/>
      </w:pPr>
      <w:r>
        <w:rPr>
          <w:rFonts w:ascii="仿宋_GB2312" w:hAnsi="仿宋_GB2312" w:eastAsia="仿宋_GB2312"/>
          <w:b w:val="0"/>
          <w:sz w:val="32"/>
        </w:rPr>
        <w:t>八、《国有资本经营预算财政拨款收入支出决算表》</w:t>
      </w:r>
    </w:p>
    <w:p w14:paraId="09948B0A">
      <w:pPr>
        <w:spacing w:line="240" w:lineRule="auto"/>
        <w:ind w:firstLine="640"/>
        <w:jc w:val="both"/>
      </w:pPr>
      <w:r>
        <w:rPr>
          <w:rFonts w:ascii="仿宋_GB2312" w:hAnsi="仿宋_GB2312" w:eastAsia="仿宋_GB2312"/>
          <w:b w:val="0"/>
          <w:sz w:val="32"/>
        </w:rPr>
        <w:t>九、《财政拨款“三公”经费支出决算表》</w:t>
      </w:r>
    </w:p>
    <w:p w14:paraId="5B184246">
      <w:pPr>
        <w:spacing w:line="240" w:lineRule="auto"/>
        <w:ind w:firstLine="640"/>
        <w:jc w:val="both"/>
      </w:pPr>
    </w:p>
    <w:p w14:paraId="04669860">
      <w:pPr>
        <w:spacing w:line="240" w:lineRule="auto"/>
        <w:ind w:firstLine="640"/>
        <w:jc w:val="both"/>
      </w:pPr>
    </w:p>
    <w:p w14:paraId="03A54178">
      <w:pPr>
        <w:spacing w:line="240" w:lineRule="auto"/>
        <w:ind w:firstLine="640"/>
        <w:jc w:val="both"/>
      </w:pPr>
    </w:p>
    <w:p w14:paraId="7C879901">
      <w:pPr>
        <w:spacing w:line="240" w:lineRule="auto"/>
        <w:ind w:firstLine="640"/>
        <w:jc w:val="both"/>
      </w:pPr>
    </w:p>
    <w:p w14:paraId="5AFA83A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D120CD"/>
    <w:rsid w:val="36DF21D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5058</Words>
  <Characters>5740</Characters>
  <Lines>0</Lines>
  <Paragraphs>0</Paragraphs>
  <TotalTime>1</TotalTime>
  <ScaleCrop>false</ScaleCrop>
  <LinksUpToDate>false</LinksUpToDate>
  <CharactersWithSpaces>5748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2025-09-10T11:54:41Z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