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巴音郭楞蒙古自治州人民政府外事办公室2024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0D7C7FD">
      <w:r>
        <w:br w:type="page"/>
      </w:r>
    </w:p>
    <w:p w14:paraId="53B4EB7B">
      <w:pPr>
        <w:spacing w:line="640" w:lineRule="exact"/>
        <w:jc w:val="center"/>
        <w:outlineLvl w:val="1"/>
      </w:pPr>
      <w:r>
        <w:rPr>
          <w:rFonts w:ascii="黑体" w:hAnsi="黑体" w:eastAsia="黑体"/>
          <w:sz w:val="32"/>
        </w:rPr>
        <w:t>第一部分 部门概况</w:t>
      </w:r>
    </w:p>
    <w:p w14:paraId="26A52022">
      <w:pPr>
        <w:spacing w:line="640" w:lineRule="exact"/>
        <w:ind w:firstLine="640"/>
        <w:jc w:val="both"/>
        <w:outlineLvl w:val="2"/>
      </w:pPr>
      <w:r>
        <w:rPr>
          <w:rFonts w:ascii="黑体" w:hAnsi="黑体" w:eastAsia="黑体"/>
          <w:sz w:val="32"/>
        </w:rPr>
        <w:t>一、主要职能</w:t>
      </w:r>
    </w:p>
    <w:p w14:paraId="6BAAAE57">
      <w:pPr>
        <w:spacing w:line="580" w:lineRule="exact"/>
        <w:ind w:firstLine="640"/>
        <w:jc w:val="both"/>
      </w:pPr>
      <w:r>
        <w:rPr>
          <w:rFonts w:ascii="仿宋_GB2312" w:hAnsi="仿宋_GB2312" w:eastAsia="仿宋_GB2312"/>
          <w:sz w:val="32"/>
        </w:rPr>
        <w:t>贯彻执行党和国家外事、法律法规，上级主管部门及州委、</w:t>
      </w:r>
      <w:r>
        <w:rPr>
          <w:rFonts w:hint="eastAsia" w:ascii="仿宋_GB2312" w:hAnsi="仿宋_GB2312" w:eastAsia="仿宋_GB2312"/>
          <w:sz w:val="32"/>
          <w:lang w:eastAsia="zh-CN"/>
        </w:rPr>
        <w:t>州政府决</w:t>
      </w:r>
      <w:r>
        <w:rPr>
          <w:rFonts w:ascii="仿宋_GB2312" w:hAnsi="仿宋_GB2312" w:eastAsia="仿宋_GB2312"/>
          <w:sz w:val="32"/>
        </w:rPr>
        <w:t>定、研究自治州外事的重大问题，负责因公临时出国（境）管理工作；负责组织接待来自治州访问的国宾、党宾和其他重要外宾以及港澳地区和海外华侨、华人的重要人士；统筹安排自治州党政领导的外事活动、公务出访及对外交往活动、承办全州因公出国人员的护照、签证和应邀来访人员的审核、申报工作；配合纪检、监察和国家安全、保密部门检查外事纪律及国家安全、保密制度的执行情况，及时向有关部门提出违反外事纪律问题的处理意见和建议。</w:t>
      </w:r>
    </w:p>
    <w:p w14:paraId="302EE825">
      <w:pPr>
        <w:spacing w:line="640" w:lineRule="exact"/>
        <w:ind w:firstLine="640"/>
        <w:jc w:val="both"/>
        <w:outlineLvl w:val="2"/>
      </w:pPr>
      <w:r>
        <w:rPr>
          <w:rFonts w:ascii="黑体" w:hAnsi="黑体" w:eastAsia="黑体"/>
          <w:sz w:val="32"/>
        </w:rPr>
        <w:t>二、机构设置及人员情况</w:t>
      </w:r>
    </w:p>
    <w:p w14:paraId="11F3CA57">
      <w:pPr>
        <w:spacing w:line="580" w:lineRule="exact"/>
        <w:ind w:firstLine="640"/>
        <w:jc w:val="both"/>
      </w:pPr>
      <w:r>
        <w:rPr>
          <w:rFonts w:ascii="仿宋_GB2312" w:hAnsi="仿宋_GB2312" w:eastAsia="仿宋_GB2312"/>
          <w:sz w:val="32"/>
        </w:rPr>
        <w:t>巴音郭楞蒙古自治州人民政府外事办公室2024年度，实有人数21人，其中：在职人员13人，增加2人；离休人员0人，增加0人；退休人员8人,增加0人。</w:t>
      </w:r>
    </w:p>
    <w:p w14:paraId="210039C6">
      <w:pPr>
        <w:spacing w:line="580" w:lineRule="exact"/>
        <w:ind w:firstLine="640"/>
        <w:jc w:val="both"/>
      </w:pPr>
      <w:r>
        <w:rPr>
          <w:rFonts w:ascii="仿宋_GB2312" w:hAnsi="仿宋_GB2312" w:eastAsia="仿宋_GB2312"/>
          <w:sz w:val="32"/>
        </w:rPr>
        <w:t>巴音郭楞蒙古自治州人民政府外事办公室无下属预算单位，下设2个科室，分别是：综合协调科、外事科。</w:t>
      </w:r>
    </w:p>
    <w:p w14:paraId="727AF5AF">
      <w:r>
        <w:br w:type="page"/>
      </w:r>
    </w:p>
    <w:p w14:paraId="6F24E05D">
      <w:pPr>
        <w:spacing w:line="240" w:lineRule="auto"/>
        <w:jc w:val="center"/>
        <w:outlineLvl w:val="1"/>
      </w:pPr>
      <w:r>
        <w:rPr>
          <w:rFonts w:ascii="黑体" w:hAnsi="黑体" w:eastAsia="黑体"/>
          <w:sz w:val="32"/>
        </w:rPr>
        <w:t>第二部分 部门决算情况说明</w:t>
      </w:r>
    </w:p>
    <w:p w14:paraId="7A6F0D5E">
      <w:pPr>
        <w:spacing w:line="640" w:lineRule="exact"/>
        <w:ind w:firstLine="640"/>
        <w:jc w:val="both"/>
        <w:outlineLvl w:val="2"/>
      </w:pPr>
      <w:r>
        <w:rPr>
          <w:rFonts w:ascii="黑体" w:hAnsi="黑体" w:eastAsia="黑体"/>
          <w:sz w:val="32"/>
        </w:rPr>
        <w:t>一、收入支出决算总体情况说明</w:t>
      </w:r>
    </w:p>
    <w:p w14:paraId="5DC3A254">
      <w:pPr>
        <w:spacing w:line="580" w:lineRule="exact"/>
        <w:ind w:firstLine="640"/>
        <w:jc w:val="both"/>
      </w:pPr>
      <w:r>
        <w:rPr>
          <w:rFonts w:ascii="仿宋_GB2312" w:hAnsi="仿宋_GB2312" w:eastAsia="仿宋_GB2312"/>
          <w:b/>
          <w:sz w:val="32"/>
        </w:rPr>
        <w:t>2024年度收入总计338.35万元，</w:t>
      </w:r>
      <w:r>
        <w:rPr>
          <w:rFonts w:ascii="仿宋_GB2312" w:hAnsi="仿宋_GB2312" w:eastAsia="仿宋_GB2312"/>
          <w:b w:val="0"/>
          <w:sz w:val="32"/>
        </w:rPr>
        <w:t>其中：本年收入合计338.24万元，使用非财政拨款结余（含专用结余）0.00万元，年初结转和结余0.11万元。</w:t>
      </w:r>
    </w:p>
    <w:p w14:paraId="74285FFD">
      <w:pPr>
        <w:spacing w:line="580" w:lineRule="exact"/>
        <w:ind w:firstLine="640"/>
        <w:jc w:val="both"/>
      </w:pPr>
      <w:r>
        <w:rPr>
          <w:rFonts w:ascii="仿宋_GB2312" w:hAnsi="仿宋_GB2312" w:eastAsia="仿宋_GB2312"/>
          <w:b/>
          <w:sz w:val="32"/>
        </w:rPr>
        <w:t>2024年度支出总计338.35万元，</w:t>
      </w:r>
      <w:r>
        <w:rPr>
          <w:rFonts w:ascii="仿宋_GB2312" w:hAnsi="仿宋_GB2312" w:eastAsia="仿宋_GB2312"/>
          <w:b w:val="0"/>
          <w:sz w:val="32"/>
        </w:rPr>
        <w:t>其中：本年支出合计338.23万元，结余分配0.00万元，年末结转和结余0.12万元。</w:t>
      </w:r>
    </w:p>
    <w:p w14:paraId="2DAB9708">
      <w:pPr>
        <w:spacing w:line="580" w:lineRule="exact"/>
        <w:ind w:firstLine="640"/>
        <w:jc w:val="both"/>
      </w:pPr>
      <w:r>
        <w:rPr>
          <w:rFonts w:ascii="仿宋_GB2312" w:hAnsi="仿宋_GB2312" w:eastAsia="仿宋_GB2312"/>
          <w:b w:val="0"/>
          <w:sz w:val="32"/>
        </w:rPr>
        <w:t>收入支出总体与上年相比，增加45.97万元，增长15.72%，主要原因是：本年在职人员增加，在职人员工资调增、公积金基数调增，人员经费增加；本年增加外事工作经费、为民办实事项目。</w:t>
      </w:r>
    </w:p>
    <w:p w14:paraId="6EECB35D">
      <w:pPr>
        <w:spacing w:line="640" w:lineRule="exact"/>
        <w:ind w:firstLine="640"/>
        <w:jc w:val="both"/>
        <w:outlineLvl w:val="2"/>
      </w:pPr>
      <w:r>
        <w:rPr>
          <w:rFonts w:ascii="黑体" w:hAnsi="黑体" w:eastAsia="黑体"/>
          <w:sz w:val="32"/>
        </w:rPr>
        <w:t>二、收入决算情况说明</w:t>
      </w:r>
    </w:p>
    <w:p w14:paraId="503414D1">
      <w:pPr>
        <w:spacing w:line="580" w:lineRule="exact"/>
        <w:ind w:firstLine="640"/>
        <w:jc w:val="both"/>
      </w:pPr>
      <w:r>
        <w:rPr>
          <w:rFonts w:ascii="仿宋_GB2312" w:hAnsi="仿宋_GB2312" w:eastAsia="仿宋_GB2312"/>
          <w:b/>
          <w:sz w:val="32"/>
        </w:rPr>
        <w:t>本年收入338.24万元，</w:t>
      </w:r>
      <w:r>
        <w:rPr>
          <w:rFonts w:ascii="仿宋_GB2312" w:hAnsi="仿宋_GB2312" w:eastAsia="仿宋_GB2312"/>
          <w:b w:val="0"/>
          <w:sz w:val="32"/>
        </w:rPr>
        <w:t>其中：财政拨款收入338.23万元，占100.00%；上级补助收入0.00万元，占0.00%；事业收入0.00万元，占0.00%；经营收入0.00万元，占0.00%；附属单位上缴收入0.00万元，占0.00%；其他收入0.01万元，占0.003%。</w:t>
      </w:r>
    </w:p>
    <w:p w14:paraId="17FC997F">
      <w:pPr>
        <w:spacing w:line="640" w:lineRule="exact"/>
        <w:ind w:firstLine="640"/>
        <w:jc w:val="both"/>
        <w:outlineLvl w:val="2"/>
      </w:pPr>
      <w:r>
        <w:rPr>
          <w:rFonts w:ascii="黑体" w:hAnsi="黑体" w:eastAsia="黑体"/>
          <w:sz w:val="32"/>
        </w:rPr>
        <w:t>三、支出决算情况说明</w:t>
      </w:r>
    </w:p>
    <w:p w14:paraId="37E319D5">
      <w:pPr>
        <w:spacing w:line="580" w:lineRule="exact"/>
        <w:ind w:firstLine="640"/>
        <w:jc w:val="both"/>
      </w:pPr>
      <w:r>
        <w:rPr>
          <w:rFonts w:ascii="仿宋_GB2312" w:hAnsi="仿宋_GB2312" w:eastAsia="仿宋_GB2312"/>
          <w:b/>
          <w:sz w:val="32"/>
        </w:rPr>
        <w:t>本年支出338.23万元，</w:t>
      </w:r>
      <w:r>
        <w:rPr>
          <w:rFonts w:ascii="仿宋_GB2312" w:hAnsi="仿宋_GB2312" w:eastAsia="仿宋_GB2312"/>
          <w:b w:val="0"/>
          <w:sz w:val="32"/>
        </w:rPr>
        <w:t>其中：基本支出280.24万元，占82.85%；项目支出57.99万元，占17.15%；上缴上级支出0.00万元，占0.00%；经营支出0.00万元，占0.00%；对附属单位补助支出0.00万元，占0.00%。</w:t>
      </w:r>
    </w:p>
    <w:p w14:paraId="438E394B">
      <w:pPr>
        <w:spacing w:line="640" w:lineRule="exact"/>
        <w:ind w:firstLine="640"/>
        <w:jc w:val="both"/>
        <w:outlineLvl w:val="2"/>
      </w:pPr>
      <w:r>
        <w:rPr>
          <w:rFonts w:ascii="黑体" w:hAnsi="黑体" w:eastAsia="黑体"/>
          <w:sz w:val="32"/>
        </w:rPr>
        <w:t>四、财政拨款收入支出决算总体情况说明</w:t>
      </w:r>
    </w:p>
    <w:p w14:paraId="1E853D77">
      <w:pPr>
        <w:spacing w:line="580" w:lineRule="exact"/>
        <w:ind w:firstLine="640"/>
        <w:jc w:val="both"/>
      </w:pPr>
      <w:r>
        <w:rPr>
          <w:rFonts w:ascii="仿宋_GB2312" w:hAnsi="仿宋_GB2312" w:eastAsia="仿宋_GB2312"/>
          <w:b/>
          <w:sz w:val="32"/>
        </w:rPr>
        <w:t>2024年度财政拨款收入总计338.23万元，</w:t>
      </w:r>
      <w:r>
        <w:rPr>
          <w:rFonts w:ascii="仿宋_GB2312" w:hAnsi="仿宋_GB2312" w:eastAsia="仿宋_GB2312"/>
          <w:b w:val="0"/>
          <w:sz w:val="32"/>
        </w:rPr>
        <w:t>其中：年初财政拨款结转和结余0.00万元，本年财政拨款收入338.23万元。</w:t>
      </w:r>
      <w:r>
        <w:rPr>
          <w:rFonts w:ascii="仿宋_GB2312" w:hAnsi="仿宋_GB2312" w:eastAsia="仿宋_GB2312"/>
          <w:b/>
          <w:sz w:val="32"/>
        </w:rPr>
        <w:t>财政拨款支出总计338.23万元，</w:t>
      </w:r>
      <w:r>
        <w:rPr>
          <w:rFonts w:ascii="仿宋_GB2312" w:hAnsi="仿宋_GB2312" w:eastAsia="仿宋_GB2312"/>
          <w:b w:val="0"/>
          <w:sz w:val="32"/>
        </w:rPr>
        <w:t>其中：年末财政拨款结转和结余0.00万元，本年财政拨款支出338.23万元。</w:t>
      </w:r>
    </w:p>
    <w:p w14:paraId="2D1EAA8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增加45.96万元，增长15.73%，主要原因是：本年在职人员增加，在职人员工资调增、公积金基数调增，人员经费增加；本年增加外事工作经费、为民办实事项目。</w:t>
      </w:r>
      <w:r>
        <w:rPr>
          <w:rFonts w:ascii="仿宋_GB2312" w:hAnsi="仿宋_GB2312" w:eastAsia="仿宋_GB2312"/>
          <w:b/>
          <w:sz w:val="32"/>
        </w:rPr>
        <w:t>与年初预算相比，</w:t>
      </w:r>
      <w:r>
        <w:rPr>
          <w:rFonts w:ascii="仿宋_GB2312" w:hAnsi="仿宋_GB2312" w:eastAsia="仿宋_GB2312"/>
          <w:b w:val="0"/>
          <w:sz w:val="32"/>
        </w:rPr>
        <w:t>年初预算数280.79万元，决算数338.23万元，预决算差异率20.46%，主要原因是：本年在职人员增加，年中追加人员经费及人员工资、公积金基数调增部分资金；年中追加外事工作专班项目经费、为民办实事项目经费，导致预决算存在差异。</w:t>
      </w:r>
    </w:p>
    <w:p w14:paraId="59A77348">
      <w:pPr>
        <w:spacing w:line="640" w:lineRule="exact"/>
        <w:ind w:firstLine="640"/>
        <w:jc w:val="both"/>
        <w:outlineLvl w:val="2"/>
      </w:pPr>
      <w:r>
        <w:rPr>
          <w:rFonts w:ascii="黑体" w:hAnsi="黑体" w:eastAsia="黑体"/>
          <w:sz w:val="32"/>
        </w:rPr>
        <w:t>五、一般公共预算财政拨款支出决算情况说明</w:t>
      </w:r>
    </w:p>
    <w:p w14:paraId="72A84E17">
      <w:pPr>
        <w:spacing w:line="640" w:lineRule="exact"/>
        <w:ind w:firstLine="640"/>
        <w:jc w:val="both"/>
        <w:outlineLvl w:val="3"/>
      </w:pPr>
      <w:r>
        <w:rPr>
          <w:rFonts w:ascii="楷体_GB2312" w:hAnsi="楷体_GB2312" w:eastAsia="楷体_GB2312"/>
          <w:b/>
          <w:sz w:val="32"/>
        </w:rPr>
        <w:t>（一）一般公共预算财政拨款支出决算总体情况</w:t>
      </w:r>
    </w:p>
    <w:p w14:paraId="228CDD47">
      <w:pPr>
        <w:spacing w:line="580" w:lineRule="exact"/>
        <w:ind w:firstLine="640"/>
        <w:jc w:val="both"/>
      </w:pPr>
      <w:r>
        <w:rPr>
          <w:rFonts w:ascii="仿宋_GB2312" w:hAnsi="仿宋_GB2312" w:eastAsia="仿宋_GB2312"/>
          <w:b/>
          <w:sz w:val="32"/>
        </w:rPr>
        <w:t>2024年度一般公共预算财政拨款支出338.23万元，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增加45.96万元，增长15.73%，主要原因是：本年在职人员增加，在职人员工资调增、公积金基数调增，人员经费增加；本年增加外事工作经费、为民办实事项目。</w:t>
      </w:r>
      <w:r>
        <w:rPr>
          <w:rFonts w:ascii="仿宋_GB2312" w:hAnsi="仿宋_GB2312" w:eastAsia="仿宋_GB2312"/>
          <w:b/>
          <w:sz w:val="32"/>
        </w:rPr>
        <w:t>与年初预算相比,</w:t>
      </w:r>
      <w:r>
        <w:rPr>
          <w:rFonts w:ascii="仿宋_GB2312" w:hAnsi="仿宋_GB2312" w:eastAsia="仿宋_GB2312"/>
          <w:b w:val="0"/>
          <w:sz w:val="32"/>
        </w:rPr>
        <w:t>年初预算数280.79万元，决算数338.23万元，预决算差异率20.46%，主要原因是：本年在职人员增加，年中追加人员经费及人员工资、社保、公积金基数调增部分资金；年中追加外事工作专班项目经费、为民办实事项目经费，导致预决算存在差异。</w:t>
      </w:r>
    </w:p>
    <w:p w14:paraId="23087DA5">
      <w:pPr>
        <w:spacing w:line="640" w:lineRule="exact"/>
        <w:ind w:firstLine="640"/>
        <w:jc w:val="both"/>
        <w:outlineLvl w:val="3"/>
      </w:pPr>
      <w:r>
        <w:rPr>
          <w:rFonts w:ascii="楷体_GB2312" w:hAnsi="楷体_GB2312" w:eastAsia="楷体_GB2312"/>
          <w:b/>
          <w:sz w:val="32"/>
        </w:rPr>
        <w:t>（二）一般公共预算财政拨款支出决算结构情况</w:t>
      </w:r>
    </w:p>
    <w:p w14:paraId="06524174">
      <w:pPr>
        <w:spacing w:line="580" w:lineRule="exact"/>
        <w:ind w:firstLine="640"/>
        <w:jc w:val="both"/>
      </w:pPr>
      <w:r>
        <w:rPr>
          <w:rFonts w:ascii="仿宋_GB2312" w:hAnsi="仿宋_GB2312" w:eastAsia="仿宋_GB2312"/>
          <w:b w:val="0"/>
          <w:sz w:val="32"/>
        </w:rPr>
        <w:t>1.一般公共服务支出(类)237.99万元,占70.36%。</w:t>
      </w:r>
    </w:p>
    <w:p w14:paraId="778172FD">
      <w:pPr>
        <w:spacing w:line="580" w:lineRule="exact"/>
        <w:ind w:firstLine="640"/>
        <w:jc w:val="both"/>
      </w:pPr>
      <w:r>
        <w:rPr>
          <w:rFonts w:ascii="仿宋_GB2312" w:hAnsi="仿宋_GB2312" w:eastAsia="仿宋_GB2312"/>
          <w:b w:val="0"/>
          <w:sz w:val="32"/>
        </w:rPr>
        <w:t>2.教育支出(类)0.66万元,占0.20%。</w:t>
      </w:r>
    </w:p>
    <w:p w14:paraId="3520B47A">
      <w:pPr>
        <w:spacing w:line="580" w:lineRule="exact"/>
        <w:ind w:firstLine="640"/>
        <w:jc w:val="both"/>
      </w:pPr>
      <w:r>
        <w:rPr>
          <w:rFonts w:ascii="仿宋_GB2312" w:hAnsi="仿宋_GB2312" w:eastAsia="仿宋_GB2312"/>
          <w:b w:val="0"/>
          <w:sz w:val="32"/>
        </w:rPr>
        <w:t>3.社会保障和就业支出(类)63.62万元,占18.81%。</w:t>
      </w:r>
    </w:p>
    <w:p w14:paraId="23F257AA">
      <w:pPr>
        <w:spacing w:line="580" w:lineRule="exact"/>
        <w:ind w:firstLine="640"/>
        <w:jc w:val="both"/>
      </w:pPr>
      <w:r>
        <w:rPr>
          <w:rFonts w:ascii="仿宋_GB2312" w:hAnsi="仿宋_GB2312" w:eastAsia="仿宋_GB2312"/>
          <w:b w:val="0"/>
          <w:sz w:val="32"/>
        </w:rPr>
        <w:t>4.卫生健康支出(类)13.76万元,占4.07%。</w:t>
      </w:r>
    </w:p>
    <w:p w14:paraId="123E3010">
      <w:pPr>
        <w:spacing w:line="580" w:lineRule="exact"/>
        <w:ind w:firstLine="640"/>
        <w:jc w:val="both"/>
      </w:pPr>
      <w:r>
        <w:rPr>
          <w:rFonts w:ascii="仿宋_GB2312" w:hAnsi="仿宋_GB2312" w:eastAsia="仿宋_GB2312"/>
          <w:b w:val="0"/>
          <w:sz w:val="32"/>
        </w:rPr>
        <w:t>5.住房保障支出(类)22.2万元,占6.56%。</w:t>
      </w:r>
    </w:p>
    <w:p w14:paraId="4B007BAF">
      <w:pPr>
        <w:spacing w:line="640" w:lineRule="exact"/>
        <w:ind w:firstLine="640"/>
        <w:jc w:val="both"/>
        <w:outlineLvl w:val="3"/>
      </w:pPr>
      <w:r>
        <w:rPr>
          <w:rFonts w:ascii="楷体_GB2312" w:hAnsi="楷体_GB2312" w:eastAsia="楷体_GB2312"/>
          <w:b/>
          <w:sz w:val="32"/>
        </w:rPr>
        <w:t>（三）一般公共预算财政拨款支出决算具体情况</w:t>
      </w:r>
    </w:p>
    <w:p w14:paraId="1A9139EA">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1.一般公共服务支出(类)政府办公厅（室）及相关机构事务(款)行政运行(项):支出决算数为180.01万元，比上年决算减少0.28万元，下降0.16%,主要原因是：本年办公费减少，相应行政运行经费减少。</w:t>
      </w:r>
    </w:p>
    <w:p w14:paraId="6374747E">
      <w:pPr>
        <w:spacing w:line="580" w:lineRule="exact"/>
        <w:ind w:firstLine="640"/>
        <w:jc w:val="both"/>
      </w:pPr>
      <w:r>
        <w:rPr>
          <w:rFonts w:ascii="仿宋_GB2312" w:hAnsi="仿宋_GB2312" w:eastAsia="仿宋_GB2312"/>
          <w:b w:val="0"/>
          <w:sz w:val="32"/>
        </w:rPr>
        <w:t>2.一般公共服务支出(类)政府办公厅（室）及相关机构事务(款)一般行政管理事务(项):支出决算数为57.99万元，比上年决算增加3.37万元，增长6.17%,主要原因是：本年增加外事工作专班项目、为民办实事项目。</w:t>
      </w:r>
    </w:p>
    <w:p w14:paraId="7C886B97">
      <w:pPr>
        <w:spacing w:line="580" w:lineRule="exact"/>
        <w:ind w:firstLine="640"/>
        <w:jc w:val="both"/>
      </w:pPr>
      <w:r>
        <w:rPr>
          <w:rFonts w:ascii="仿宋_GB2312" w:hAnsi="仿宋_GB2312" w:eastAsia="仿宋_GB2312"/>
          <w:b w:val="0"/>
          <w:sz w:val="32"/>
        </w:rPr>
        <w:t>3.教育支出(类)进修及培训(款)培训支出(项):支出决算数为0.66万元，比上年决算减少0.15万元，下降18.52%,主要原因是：本年外出培训业务减少，导致培训经费减少。</w:t>
      </w:r>
    </w:p>
    <w:p w14:paraId="11D84EB1">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4.社会保障和就业支出(类)行政事业单位养老支出(款)行政单位离退休(项):支出决算数为26.29万元，比上年决算增加19.75万元，增长301.99%,主要原因是：本年发放去世人员抚恤金，导致经费增加。</w:t>
      </w:r>
    </w:p>
    <w:p w14:paraId="43CDB5F6">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6.6万元，比上年决算增加6.60万元，增长100.00%,主要原因是：本年功能科目调整，退休人员奖励金上年在行政单位离退休科目列支，本年在事业单位离退休科目列支，相应经费增加。</w:t>
      </w:r>
    </w:p>
    <w:p w14:paraId="33320485">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21.77万元，比上年决算增加0.26万元，增长1.21%,主要原因是：本年在职人员工资基数调增，养老缴费基数上涨，相应支出增加。</w:t>
      </w:r>
    </w:p>
    <w:p w14:paraId="22183B48">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7.社会保障和就业支出(类)行政事业单位养老支出(款)机关事业单位职业年金缴费支出(项):支出决算数为8.96万元，比上年决算增加8.96万元，增长100.00%,主要原因是：本年补发退休人员职业年金，导致经费增加。</w:t>
      </w:r>
    </w:p>
    <w:p w14:paraId="4E2E33CA">
      <w:pPr>
        <w:spacing w:line="580" w:lineRule="exact"/>
        <w:ind w:firstLine="640"/>
        <w:jc w:val="both"/>
      </w:pPr>
      <w:r>
        <w:rPr>
          <w:rFonts w:ascii="仿宋_GB2312" w:hAnsi="仿宋_GB2312" w:eastAsia="仿宋_GB2312"/>
          <w:b w:val="0"/>
          <w:sz w:val="32"/>
        </w:rPr>
        <w:t>8.卫生健康支出(类)行政事业单位医疗(款)行政单位医疗(项):支出决算数为10.68万元，比上年决算增加1.07万元，增长11.13%,主要原因是：本年在职人员工资基数调增，医疗缴费基数上涨，相应支出增加。</w:t>
      </w:r>
    </w:p>
    <w:p w14:paraId="76309E51">
      <w:pPr>
        <w:spacing w:line="580" w:lineRule="exact"/>
        <w:ind w:firstLine="640"/>
        <w:jc w:val="both"/>
      </w:pPr>
      <w:r>
        <w:rPr>
          <w:rFonts w:ascii="仿宋_GB2312" w:hAnsi="仿宋_GB2312" w:eastAsia="仿宋_GB2312"/>
          <w:b w:val="0"/>
          <w:sz w:val="32"/>
        </w:rPr>
        <w:t>9.卫生健康支出(类)行政事业单位医疗(款)事业单位医疗(项):支出决算数为0.25万元，比上年决算减少0.45万元，下降64.29%,主要原因是：本年在职人员调入调出，人员职级不同，缴费基数不同，导致事业单位医疗较上年减少。</w:t>
      </w:r>
    </w:p>
    <w:p w14:paraId="5EF29E8A">
      <w:pPr>
        <w:spacing w:line="580" w:lineRule="exact"/>
        <w:ind w:firstLine="640"/>
        <w:jc w:val="both"/>
      </w:pPr>
      <w:r>
        <w:rPr>
          <w:rFonts w:ascii="仿宋_GB2312" w:hAnsi="仿宋_GB2312" w:eastAsia="仿宋_GB2312"/>
          <w:b w:val="0"/>
          <w:sz w:val="32"/>
        </w:rPr>
        <w:t>10.卫生健康支出(类)行政事业单位医疗(款)公务员医疗补助(项):支出决算数为2.67万元，比上年决算减少0.76万元，下降22.16%,主要原因是：本年在职人员调入调出，人员职级不同，缴费基数不同，导致公务员医疗补助较上年减少。</w:t>
      </w:r>
    </w:p>
    <w:p w14:paraId="230F2E45">
      <w:pPr>
        <w:spacing w:line="580" w:lineRule="exact"/>
        <w:ind w:firstLine="640"/>
        <w:jc w:val="both"/>
      </w:pPr>
      <w:r>
        <w:rPr>
          <w:rFonts w:ascii="仿宋_GB2312" w:hAnsi="仿宋_GB2312" w:eastAsia="仿宋_GB2312"/>
          <w:b w:val="0"/>
          <w:sz w:val="32"/>
        </w:rPr>
        <w:t>11.卫生健康支出(类)行政事业单位医疗(款)其他行政事业单位医疗支出(项):支出决算数为0.15万元，比上年决算减少0.26万元，下降63.41%,主要原因是：本年在职人员调入调出，人员职级不同，缴费基数不同，导致其他行政事业单位医疗较上年减少。</w:t>
      </w:r>
    </w:p>
    <w:p w14:paraId="1BCF7A86">
      <w:pPr>
        <w:spacing w:line="580" w:lineRule="exact"/>
        <w:ind w:firstLine="640"/>
        <w:jc w:val="both"/>
      </w:pPr>
      <w:r>
        <w:rPr>
          <w:rFonts w:ascii="仿宋_GB2312" w:hAnsi="仿宋_GB2312" w:eastAsia="仿宋_GB2312"/>
          <w:b w:val="0"/>
          <w:sz w:val="32"/>
        </w:rPr>
        <w:t>12.住房保障支出(类)住房改革支出(款)住房公积金(项):支出决算数为22.2万元，比上年决算增加7.83万元，增长54.49%,主要原因是：本年在职人员工资基数调增，公积金缴费基数上涨，相应支出增加。</w:t>
      </w:r>
    </w:p>
    <w:p w14:paraId="17D8B041">
      <w:pPr>
        <w:spacing w:line="640" w:lineRule="exact"/>
        <w:ind w:firstLine="640"/>
        <w:jc w:val="both"/>
        <w:outlineLvl w:val="2"/>
      </w:pPr>
      <w:r>
        <w:rPr>
          <w:rFonts w:ascii="黑体" w:hAnsi="黑体" w:eastAsia="黑体"/>
          <w:sz w:val="32"/>
        </w:rPr>
        <w:t>六、一般公共预算财政拨款基本支出决算情况说明</w:t>
      </w:r>
    </w:p>
    <w:p w14:paraId="51982D45">
      <w:pPr>
        <w:spacing w:line="580" w:lineRule="exact"/>
        <w:ind w:firstLine="640"/>
        <w:jc w:val="both"/>
      </w:pPr>
      <w:r>
        <w:rPr>
          <w:rFonts w:ascii="仿宋_GB2312" w:hAnsi="仿宋_GB2312" w:eastAsia="仿宋_GB2312"/>
          <w:b w:val="0"/>
          <w:sz w:val="32"/>
        </w:rPr>
        <w:t>2024年度一般公共预算财政拨款基本支出280.24万元，其中：</w:t>
      </w:r>
      <w:r>
        <w:rPr>
          <w:rFonts w:ascii="仿宋_GB2312" w:hAnsi="仿宋_GB2312" w:eastAsia="仿宋_GB2312"/>
          <w:b/>
          <w:sz w:val="32"/>
        </w:rPr>
        <w:t>人员经费261.32万元，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退休费、抚恤金、生活补助、奖励金。</w:t>
      </w:r>
    </w:p>
    <w:p w14:paraId="6B689AE1">
      <w:pPr>
        <w:spacing w:line="580" w:lineRule="exact"/>
        <w:ind w:firstLine="640"/>
        <w:jc w:val="both"/>
      </w:pPr>
      <w:r>
        <w:rPr>
          <w:rFonts w:ascii="仿宋_GB2312" w:hAnsi="仿宋_GB2312" w:eastAsia="仿宋_GB2312"/>
          <w:b/>
          <w:sz w:val="32"/>
        </w:rPr>
        <w:t>公用经费18.93万元，</w:t>
      </w:r>
      <w:r>
        <w:rPr>
          <w:rFonts w:ascii="仿宋_GB2312" w:hAnsi="仿宋_GB2312" w:eastAsia="仿宋_GB2312"/>
          <w:b w:val="0"/>
          <w:sz w:val="32"/>
        </w:rPr>
        <w:t>包括：办公费、邮电费、取暖费、物业管理费、差旅费、培训费、劳务费、工会经费、福利费、公务用车运行维护费、其他商品和服务支出。</w:t>
      </w:r>
    </w:p>
    <w:p w14:paraId="05A53443">
      <w:pPr>
        <w:spacing w:line="640" w:lineRule="exact"/>
        <w:ind w:firstLine="640"/>
        <w:jc w:val="both"/>
        <w:outlineLvl w:val="2"/>
      </w:pPr>
      <w:r>
        <w:rPr>
          <w:rFonts w:ascii="黑体" w:hAnsi="黑体" w:eastAsia="黑体"/>
          <w:sz w:val="32"/>
        </w:rPr>
        <w:t>七、政府性基金预算财政拨款收入支出决算情况说明</w:t>
      </w:r>
    </w:p>
    <w:p w14:paraId="24B3AA92">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2A66736C">
      <w:pPr>
        <w:spacing w:line="640" w:lineRule="exact"/>
        <w:ind w:firstLine="640"/>
        <w:jc w:val="both"/>
        <w:outlineLvl w:val="2"/>
      </w:pPr>
      <w:r>
        <w:rPr>
          <w:rFonts w:ascii="黑体" w:hAnsi="黑体" w:eastAsia="黑体"/>
          <w:sz w:val="32"/>
        </w:rPr>
        <w:t>八、国有资本经营预算财政拨款收入支出决算情况说明</w:t>
      </w:r>
    </w:p>
    <w:p w14:paraId="6C1CFB70">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25F3FA19">
      <w:pPr>
        <w:spacing w:line="640" w:lineRule="exact"/>
        <w:ind w:firstLine="640"/>
        <w:jc w:val="both"/>
        <w:outlineLvl w:val="2"/>
      </w:pPr>
      <w:r>
        <w:rPr>
          <w:rFonts w:ascii="黑体" w:hAnsi="黑体" w:eastAsia="黑体"/>
          <w:sz w:val="32"/>
        </w:rPr>
        <w:t>九、财政拨款“三公”经费支出决算情况说明</w:t>
      </w:r>
    </w:p>
    <w:p w14:paraId="5E70B4B9">
      <w:pPr>
        <w:spacing w:line="580" w:lineRule="exact"/>
        <w:ind w:firstLine="640"/>
        <w:jc w:val="both"/>
      </w:pPr>
      <w:r>
        <w:rPr>
          <w:rFonts w:ascii="仿宋_GB2312" w:hAnsi="仿宋_GB2312" w:eastAsia="仿宋_GB2312"/>
          <w:b/>
          <w:sz w:val="32"/>
        </w:rPr>
        <w:t>2024年度财政拨款“三公”经费支出4.63万元，</w:t>
      </w:r>
      <w:r>
        <w:rPr>
          <w:rFonts w:ascii="仿宋_GB2312" w:hAnsi="仿宋_GB2312" w:eastAsia="仿宋_GB2312"/>
          <w:b w:val="0"/>
          <w:sz w:val="32"/>
        </w:rPr>
        <w:t>比上年增加1.65万元，增长55.37%，主要原因是：本年因业务需求，增加因公出国（境）费；用车次数增加，燃油费增加，导致公务用车运行维护费较上年增加。其中：因公出国（境）费支出1.64万元，占35.42%，比上年增加1.64万元，增长100.00%，主要原因是：本年因业务需求，增加因公出国（境）费。公务用车购置及运行维护费支出2.99万元，占64.58%，比上年增加0.01万元，增长0.34%，主要原因是：本年因业务需求，用车次数增加，燃油费增加，导致公务用车运行维护费较上年增加。公务接待费支出0.00万元，占0.00%，比上年增加0.00万元，增长0.00%，主要原因是：2023年与2024年均未安排公务接待费支出。</w:t>
      </w:r>
    </w:p>
    <w:p w14:paraId="5EBD60A0">
      <w:pPr>
        <w:spacing w:line="580" w:lineRule="exact"/>
        <w:ind w:firstLine="640"/>
        <w:jc w:val="both"/>
      </w:pPr>
      <w:r>
        <w:rPr>
          <w:rFonts w:ascii="仿宋_GB2312" w:hAnsi="仿宋_GB2312" w:eastAsia="仿宋_GB2312"/>
          <w:b/>
          <w:sz w:val="32"/>
        </w:rPr>
        <w:t>具体情况如下：</w:t>
      </w:r>
    </w:p>
    <w:p w14:paraId="1E7553E4">
      <w:pPr>
        <w:spacing w:line="580" w:lineRule="exact"/>
        <w:ind w:firstLine="640"/>
        <w:jc w:val="both"/>
      </w:pPr>
      <w:r>
        <w:rPr>
          <w:rFonts w:ascii="仿宋_GB2312" w:hAnsi="仿宋_GB2312" w:eastAsia="仿宋_GB2312"/>
          <w:b w:val="0"/>
          <w:sz w:val="32"/>
        </w:rPr>
        <w:t>因公出国（境）费支出1.64万元，开支内容包括因工作需要，去哈萨克斯坦进行贸易访问产生的交通费、住宿费、伙食费。部门全年安排的因公出国（境）团组1个，因公出国（境）1人次。</w:t>
      </w:r>
    </w:p>
    <w:p w14:paraId="4A285167">
      <w:pPr>
        <w:spacing w:line="580" w:lineRule="exact"/>
        <w:ind w:firstLine="640"/>
        <w:jc w:val="both"/>
      </w:pPr>
      <w:r>
        <w:rPr>
          <w:rFonts w:ascii="仿宋_GB2312" w:hAnsi="仿宋_GB2312" w:eastAsia="仿宋_GB2312"/>
          <w:b w:val="0"/>
          <w:sz w:val="32"/>
        </w:rPr>
        <w:t>公务用车购置及运行维护费2.99万元，其中：公务用车购置费0.00万元，公务用车运行维护费2.99万元。公务用车运行维护费开支内容包括车辆加油费、维修费、保险费、过路费。公务用车购置数0辆，公务用车保有量1辆。国有资产占用情况中固定资产车辆1辆，与公务用车保有量差异原因是：本部门固定资产车辆与公务用车保有量一致无差异。</w:t>
      </w:r>
    </w:p>
    <w:p w14:paraId="4EEF5A9D">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17D9F2A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4.63万元，决算数4.63万元，预决算差异率0.00%，主要原因是：严格按照预算执行，预决算无差异。其中：因公出国（境）费全年预算数1.64万元，决算数1.64万元，预决算差异率0.00%，主要原因是：严格按照预算执行，预决算无差异。公务用车购置费全年预算数0.00万元，决算数0.00万元，预决算差异率0.00%，主要原因是：本部门无公务用车购置费。公务用车运行维护费全年预算数2.99万元，决算数2.99万元，预决算差异率0.00%，主要原因是：严格按照预算执行，预决算无差异。公务接待费全年预算数0.00万元，决算数0.00万元，预决算差异率0.00%，主要原因是：本部门无公务接待费。</w:t>
      </w:r>
    </w:p>
    <w:p w14:paraId="3589982C">
      <w:pPr>
        <w:spacing w:line="640" w:lineRule="exact"/>
        <w:ind w:firstLine="640"/>
        <w:jc w:val="both"/>
        <w:outlineLvl w:val="2"/>
      </w:pPr>
      <w:r>
        <w:rPr>
          <w:rFonts w:ascii="黑体" w:hAnsi="黑体" w:eastAsia="黑体"/>
          <w:sz w:val="32"/>
        </w:rPr>
        <w:t>十、其他重要事项的情况说明</w:t>
      </w:r>
    </w:p>
    <w:p w14:paraId="4A3A1856">
      <w:pPr>
        <w:spacing w:line="640" w:lineRule="exact"/>
        <w:ind w:firstLine="640"/>
        <w:jc w:val="both"/>
        <w:outlineLvl w:val="3"/>
      </w:pPr>
      <w:r>
        <w:rPr>
          <w:rFonts w:ascii="楷体_GB2312" w:hAnsi="楷体_GB2312" w:eastAsia="楷体_GB2312"/>
          <w:b/>
          <w:sz w:val="32"/>
        </w:rPr>
        <w:t>（一）机关运行经费及公用经费支出情况</w:t>
      </w:r>
    </w:p>
    <w:p w14:paraId="6F1BE0F6">
      <w:pPr>
        <w:spacing w:line="580" w:lineRule="exact"/>
        <w:ind w:firstLine="640"/>
        <w:jc w:val="both"/>
      </w:pPr>
      <w:r>
        <w:rPr>
          <w:rFonts w:ascii="仿宋_GB2312" w:hAnsi="仿宋_GB2312" w:eastAsia="仿宋_GB2312"/>
          <w:b w:val="0"/>
          <w:sz w:val="32"/>
        </w:rPr>
        <w:t>2024年度巴音郭楞蒙古自治州</w:t>
      </w:r>
      <w:bookmarkStart w:id="0" w:name="_GoBack"/>
      <w:r>
        <w:rPr>
          <w:rFonts w:ascii="仿宋_GB2312" w:hAnsi="仿宋_GB2312" w:eastAsia="仿宋_GB2312"/>
          <w:b w:val="0"/>
          <w:sz w:val="32"/>
        </w:rPr>
        <w:t>人民政府外事办公室</w:t>
      </w:r>
      <w:bookmarkEnd w:id="0"/>
      <w:r>
        <w:rPr>
          <w:rFonts w:ascii="仿宋_GB2312" w:hAnsi="仿宋_GB2312" w:eastAsia="仿宋_GB2312"/>
          <w:b w:val="0"/>
          <w:sz w:val="32"/>
        </w:rPr>
        <w:t>（行政单位和参照公务员法管理事业单位）机关运行经费支出18.93万元，比上年增加6.87万元，增长56.97%，主要原因是：本年更新、维护补充办公用品，导致机关运行经费较上年增加。</w:t>
      </w:r>
    </w:p>
    <w:p w14:paraId="36FBD400">
      <w:pPr>
        <w:spacing w:line="640" w:lineRule="exact"/>
        <w:ind w:firstLine="640"/>
        <w:jc w:val="both"/>
        <w:outlineLvl w:val="3"/>
      </w:pPr>
      <w:r>
        <w:rPr>
          <w:rFonts w:ascii="楷体_GB2312" w:hAnsi="楷体_GB2312" w:eastAsia="楷体_GB2312"/>
          <w:b/>
          <w:sz w:val="32"/>
        </w:rPr>
        <w:t>（二）政府采购情况</w:t>
      </w:r>
    </w:p>
    <w:p w14:paraId="1D684544">
      <w:pPr>
        <w:spacing w:line="580" w:lineRule="exact"/>
        <w:ind w:firstLine="640"/>
        <w:jc w:val="both"/>
      </w:pPr>
      <w:r>
        <w:rPr>
          <w:rFonts w:ascii="仿宋_GB2312" w:hAnsi="仿宋_GB2312" w:eastAsia="仿宋_GB2312"/>
          <w:b w:val="0"/>
          <w:sz w:val="32"/>
        </w:rPr>
        <w:t>2024年度政府采购支出总额1.67万元，其中：政府采购货物支出0.00万元、政府采购工程支出0.00万元、政府采购服务支出1.67万元。</w:t>
      </w:r>
    </w:p>
    <w:p w14:paraId="329AC2F6">
      <w:pPr>
        <w:spacing w:line="580" w:lineRule="exact"/>
        <w:ind w:firstLine="640"/>
        <w:jc w:val="both"/>
      </w:pPr>
      <w:r>
        <w:rPr>
          <w:rFonts w:ascii="仿宋_GB2312" w:hAnsi="仿宋_GB2312" w:eastAsia="仿宋_GB2312"/>
          <w:b w:val="0"/>
          <w:sz w:val="32"/>
        </w:rPr>
        <w:t>授予中小企业合同金额1.67万元，占政府采购支出总额的100.00%，其中：授予小微企业合同金额1.28万元，占政府采购支出总额的76.65%。</w:t>
      </w:r>
    </w:p>
    <w:p w14:paraId="0B3FD703">
      <w:pPr>
        <w:spacing w:line="640" w:lineRule="exact"/>
        <w:ind w:firstLine="640"/>
        <w:jc w:val="both"/>
        <w:outlineLvl w:val="3"/>
      </w:pPr>
      <w:r>
        <w:rPr>
          <w:rFonts w:ascii="楷体_GB2312" w:hAnsi="楷体_GB2312" w:eastAsia="楷体_GB2312"/>
          <w:b/>
          <w:sz w:val="32"/>
        </w:rPr>
        <w:t>（三）国有资产占用情况说明</w:t>
      </w:r>
    </w:p>
    <w:p w14:paraId="7E629FF8">
      <w:pPr>
        <w:spacing w:line="580" w:lineRule="exact"/>
        <w:ind w:firstLine="640"/>
        <w:jc w:val="both"/>
      </w:pPr>
      <w:r>
        <w:rPr>
          <w:rFonts w:ascii="仿宋_GB2312" w:hAnsi="仿宋_GB2312" w:eastAsia="仿宋_GB2312"/>
          <w:b w:val="0"/>
          <w:sz w:val="32"/>
        </w:rPr>
        <w:t>截至2024年12月31日，房屋0.00平方米，价值0.00万元。车辆1辆，价值4.50万元，其中：副部（省）级及以上领导用车0辆、主要负责人用车0辆、机要通信用车0辆、应急保障用车0辆、执法执勤用车0辆、特种专业技术用车0辆、离退休干部服务用车0辆、其他用车1辆，其他用车主要是：外出调研业务用车。单价100万元（含）以上设备（不含车辆）0台（套）。</w:t>
      </w:r>
    </w:p>
    <w:p w14:paraId="50094C09">
      <w:pPr>
        <w:spacing w:line="640" w:lineRule="exact"/>
        <w:ind w:firstLine="640"/>
        <w:jc w:val="both"/>
        <w:outlineLvl w:val="2"/>
      </w:pPr>
      <w:r>
        <w:rPr>
          <w:rFonts w:ascii="黑体" w:hAnsi="黑体" w:eastAsia="黑体"/>
          <w:sz w:val="32"/>
        </w:rPr>
        <w:t>十一、预算绩效的情况说明</w:t>
      </w:r>
    </w:p>
    <w:p w14:paraId="01C00327">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338.35万元，实际执行总额338.23万元；预算绩效评价项目1个，全年预算数32.00万元，全年执行数32.00万元。预算绩效管理取得的成效：为加强预算管理，规范财务行为，已制定各项管理制度，有效保障了高效履行工作职能，加强了制度建设，打牢绩效管理工作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部门整体支出绩效自评表，项目支出绩效自评表和部门评价报告。</w:t>
      </w:r>
    </w:p>
    <w:p w14:paraId="751EF899">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58C996E">
        <w:tblPrEx>
          <w:tblCellMar>
            <w:top w:w="0" w:type="dxa"/>
            <w:left w:w="108" w:type="dxa"/>
            <w:bottom w:w="0" w:type="dxa"/>
            <w:right w:w="108" w:type="dxa"/>
          </w:tblCellMar>
        </w:tblPrEx>
        <w:tc>
          <w:tcPr>
            <w:tcW w:w="8840" w:type="dxa"/>
            <w:gridSpan w:val="8"/>
            <w:vAlign w:val="center"/>
          </w:tcPr>
          <w:p w14:paraId="00015E5C">
            <w:pPr>
              <w:jc w:val="center"/>
            </w:pPr>
            <w:r>
              <w:rPr>
                <w:rFonts w:ascii="宋体" w:hAnsi="宋体" w:eastAsia="宋体"/>
                <w:sz w:val="24"/>
              </w:rPr>
              <w:t>部门整体支出绩效自评表</w:t>
            </w:r>
          </w:p>
        </w:tc>
      </w:tr>
      <w:tr w14:paraId="2737130E">
        <w:tblPrEx>
          <w:tblCellMar>
            <w:top w:w="0" w:type="dxa"/>
            <w:left w:w="108" w:type="dxa"/>
            <w:bottom w:w="0" w:type="dxa"/>
            <w:right w:w="108" w:type="dxa"/>
          </w:tblCellMar>
        </w:tblPrEx>
        <w:tc>
          <w:tcPr>
            <w:tcW w:w="8840" w:type="dxa"/>
            <w:gridSpan w:val="8"/>
            <w:vAlign w:val="center"/>
          </w:tcPr>
          <w:p w14:paraId="309B621E">
            <w:pPr>
              <w:jc w:val="center"/>
            </w:pPr>
            <w:r>
              <w:rPr>
                <w:rFonts w:ascii="宋体" w:hAnsi="宋体" w:eastAsia="宋体"/>
                <w:sz w:val="24"/>
              </w:rPr>
              <w:t>（2024年度）</w:t>
            </w:r>
          </w:p>
        </w:tc>
      </w:tr>
      <w:tr w14:paraId="7FF4F1A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992D76">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3BAFA2">
            <w:pPr>
              <w:jc w:val="center"/>
            </w:pPr>
            <w:r>
              <w:rPr>
                <w:rFonts w:ascii="宋体" w:hAnsi="宋体" w:eastAsia="宋体"/>
                <w:sz w:val="16"/>
              </w:rPr>
              <w:t>巴音郭楞蒙古自治州人民政府外事办公室</w:t>
            </w:r>
          </w:p>
        </w:tc>
      </w:tr>
      <w:tr w14:paraId="0518029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FF49FC">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8F7DF6">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345799">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79AA26">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E473C2">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8BCC6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0D1668">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1126A0">
            <w:pPr>
              <w:jc w:val="center"/>
            </w:pPr>
            <w:r>
              <w:rPr>
                <w:rFonts w:ascii="宋体" w:hAnsi="宋体" w:eastAsia="宋体"/>
                <w:sz w:val="16"/>
              </w:rPr>
              <w:t>得分</w:t>
            </w:r>
          </w:p>
        </w:tc>
      </w:tr>
      <w:tr w14:paraId="6C5105C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9FB27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A8E579">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9B7CC4">
            <w:pPr>
              <w:jc w:val="center"/>
            </w:pPr>
            <w:r>
              <w:rPr>
                <w:rFonts w:ascii="宋体" w:hAnsi="宋体" w:eastAsia="宋体"/>
                <w:sz w:val="16"/>
              </w:rPr>
              <w:t>261.66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944852">
            <w:pPr>
              <w:jc w:val="center"/>
            </w:pPr>
            <w:r>
              <w:rPr>
                <w:rFonts w:ascii="宋体" w:hAnsi="宋体" w:eastAsia="宋体"/>
                <w:sz w:val="16"/>
              </w:rPr>
              <w:t>338.35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5335AE">
            <w:pPr>
              <w:jc w:val="center"/>
            </w:pPr>
            <w:r>
              <w:rPr>
                <w:rFonts w:ascii="宋体" w:hAnsi="宋体" w:eastAsia="宋体"/>
                <w:sz w:val="16"/>
              </w:rPr>
              <w:t>338.23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52BDC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DC2E92">
            <w:pPr>
              <w:jc w:val="center"/>
            </w:pPr>
            <w:r>
              <w:rPr>
                <w:rFonts w:ascii="宋体" w:hAnsi="宋体" w:eastAsia="宋体"/>
                <w:sz w:val="16"/>
              </w:rPr>
              <w:t>99.96%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C0BA96">
            <w:pPr>
              <w:jc w:val="center"/>
            </w:pPr>
            <w:r>
              <w:rPr>
                <w:rFonts w:ascii="宋体" w:hAnsi="宋体" w:eastAsia="宋体"/>
                <w:sz w:val="16"/>
              </w:rPr>
              <w:t>9.99</w:t>
            </w:r>
          </w:p>
        </w:tc>
      </w:tr>
      <w:tr w14:paraId="5B80F1B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F1EF1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E26454">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7D04B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CC41D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EB767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A0C19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B0BAC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FDD824">
            <w:pPr>
              <w:jc w:val="center"/>
            </w:pPr>
            <w:r>
              <w:rPr>
                <w:rFonts w:ascii="宋体" w:hAnsi="宋体" w:eastAsia="宋体"/>
                <w:sz w:val="16"/>
              </w:rPr>
              <w:t>-</w:t>
            </w:r>
          </w:p>
        </w:tc>
      </w:tr>
      <w:tr w14:paraId="2DA7316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75C1E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BB77E3">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7D35A0">
            <w:pPr>
              <w:jc w:val="center"/>
            </w:pPr>
            <w:r>
              <w:rPr>
                <w:rFonts w:ascii="宋体" w:hAnsi="宋体" w:eastAsia="宋体"/>
                <w:sz w:val="16"/>
              </w:rPr>
              <w:t>261.66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0ABED4">
            <w:pPr>
              <w:jc w:val="center"/>
            </w:pPr>
            <w:r>
              <w:rPr>
                <w:rFonts w:ascii="宋体" w:hAnsi="宋体" w:eastAsia="宋体"/>
                <w:sz w:val="16"/>
              </w:rPr>
              <w:t>338.35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E020A2">
            <w:pPr>
              <w:jc w:val="center"/>
            </w:pPr>
            <w:r>
              <w:rPr>
                <w:rFonts w:ascii="宋体" w:hAnsi="宋体" w:eastAsia="宋体"/>
                <w:sz w:val="16"/>
              </w:rPr>
              <w:t>338.23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F6806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F022E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5998C3">
            <w:pPr>
              <w:jc w:val="center"/>
            </w:pPr>
            <w:r>
              <w:rPr>
                <w:rFonts w:ascii="宋体" w:hAnsi="宋体" w:eastAsia="宋体"/>
                <w:sz w:val="16"/>
              </w:rPr>
              <w:t>-</w:t>
            </w:r>
          </w:p>
        </w:tc>
      </w:tr>
      <w:tr w14:paraId="77C1727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000EE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A2FD35">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E66CA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5A87D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44EB8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F65F2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03EA1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7F7315">
            <w:pPr>
              <w:jc w:val="center"/>
            </w:pPr>
            <w:r>
              <w:rPr>
                <w:rFonts w:ascii="宋体" w:hAnsi="宋体" w:eastAsia="宋体"/>
                <w:sz w:val="16"/>
              </w:rPr>
              <w:t>-</w:t>
            </w:r>
          </w:p>
        </w:tc>
      </w:tr>
      <w:tr w14:paraId="1A683B8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C867F">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E24565">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BE3267">
            <w:pPr>
              <w:jc w:val="center"/>
            </w:pPr>
            <w:r>
              <w:rPr>
                <w:rFonts w:ascii="宋体" w:hAnsi="宋体" w:eastAsia="宋体"/>
                <w:sz w:val="16"/>
              </w:rPr>
              <w:t>实际完成情况</w:t>
            </w:r>
          </w:p>
        </w:tc>
      </w:tr>
      <w:tr w14:paraId="325807D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DD21A0"/>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45C5AF">
            <w:pPr>
              <w:jc w:val="both"/>
            </w:pPr>
            <w:r>
              <w:rPr>
                <w:rFonts w:ascii="宋体" w:hAnsi="宋体" w:eastAsia="宋体"/>
                <w:sz w:val="16"/>
              </w:rPr>
              <w:t>2024年我办将坚持以习近平新时代中国特色社会主义思想和习近平外交思想为指导，认真贯彻落实以习近平同志为核心的党中央关于外事工作的决策部署，贯彻落实中央外事工作会议精神，紧紧围绕新时代党的治疆方略、特别是社会稳定和长治久安总目标，自觉服从服务于国家总体外交大局。一是进一步加强党对外事工作的集中统一领导。二是根据党中央和自治区、自治州党委、政府决策部署，认真履行职能，积极开展业务指导、督促抓好工作落实。三是加强因公出国（境）管理。不断强化执行计划出访的严肃性和纪律性。四是认真做好来我州访问的党宾、国宾和其他重要外宾接待服务工作。五是按照上级统一部署，加强群团组织对外交往活动的指导、协调和管理。六是不断拓宽对外交往渠道。加快友城缔结工作，推动友城建设。</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3F9D5F">
            <w:pPr>
              <w:jc w:val="both"/>
            </w:pPr>
            <w:r>
              <w:rPr>
                <w:rFonts w:ascii="宋体" w:hAnsi="宋体" w:eastAsia="宋体"/>
                <w:sz w:val="16"/>
              </w:rPr>
              <w:t>2024年我办认真贯彻落实以习近平同志为核心的党中央关于外事工作的决策部署，贯彻落实中央外事工作会议精神，紧紧围绕新时代党的治疆方略、特别是社会稳定和长治久安总目标，自觉服从服务于国家总体外交大局。一是完成8项外事工作任务，根据党中央和自治区、自治州党委、政府决策部署，认真履行职能，积极开展业务指导、督促抓好工作落实。认真做好接待3次来我州访问的党宾、国宾和其他重要外宾接待服务工作。三是因公出国4次，不断强化执行计划出访的严肃性和纪律性，有效推动外事工作。</w:t>
            </w:r>
          </w:p>
        </w:tc>
      </w:tr>
      <w:tr w14:paraId="0B746CE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6ACB8F">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289029">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1E30A9">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C4411E">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3CF286">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2742B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2AC49E">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9D0E22">
            <w:pPr>
              <w:jc w:val="center"/>
            </w:pPr>
            <w:r>
              <w:rPr>
                <w:rFonts w:ascii="宋体" w:hAnsi="宋体" w:eastAsia="宋体"/>
                <w:sz w:val="16"/>
              </w:rPr>
              <w:t>得分</w:t>
            </w:r>
          </w:p>
        </w:tc>
      </w:tr>
      <w:tr w14:paraId="043D315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F770F">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1D535">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885210">
            <w:pPr>
              <w:jc w:val="center"/>
            </w:pPr>
            <w:r>
              <w:rPr>
                <w:rFonts w:ascii="宋体" w:hAnsi="宋体" w:eastAsia="宋体"/>
                <w:sz w:val="16"/>
              </w:rPr>
              <w:t>完成交办各项外事工作任务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B2BD1E">
            <w:pPr>
              <w:jc w:val="center"/>
            </w:pPr>
            <w:r>
              <w:rPr>
                <w:rFonts w:ascii="宋体" w:hAnsi="宋体" w:eastAsia="宋体"/>
                <w:sz w:val="16"/>
              </w:rPr>
              <w:t>&gt;=8项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B7C36C">
            <w:pPr>
              <w:jc w:val="center"/>
            </w:pPr>
            <w:r>
              <w:rPr>
                <w:rFonts w:ascii="宋体" w:hAnsi="宋体" w:eastAsia="宋体"/>
                <w:sz w:val="16"/>
              </w:rPr>
              <w:t>2024年外事工作计划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930B74">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6B6EE2">
            <w:pPr>
              <w:jc w:val="center"/>
            </w:pPr>
            <w:r>
              <w:rPr>
                <w:rFonts w:ascii="宋体" w:hAnsi="宋体" w:eastAsia="宋体"/>
                <w:sz w:val="16"/>
              </w:rPr>
              <w:t>=8项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72AFBD">
            <w:pPr>
              <w:jc w:val="center"/>
            </w:pPr>
            <w:r>
              <w:rPr>
                <w:rFonts w:ascii="宋体" w:hAnsi="宋体" w:eastAsia="宋体"/>
                <w:sz w:val="16"/>
              </w:rPr>
              <w:t>30</w:t>
            </w:r>
          </w:p>
        </w:tc>
      </w:tr>
      <w:tr w14:paraId="61E73CB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72FF9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C2CB9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D12495">
            <w:pPr>
              <w:jc w:val="center"/>
            </w:pPr>
            <w:r>
              <w:rPr>
                <w:rFonts w:ascii="宋体" w:hAnsi="宋体" w:eastAsia="宋体"/>
                <w:sz w:val="16"/>
              </w:rPr>
              <w:t>接待外宾访州次数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51BA33">
            <w:pPr>
              <w:jc w:val="center"/>
            </w:pPr>
            <w:r>
              <w:rPr>
                <w:rFonts w:ascii="宋体" w:hAnsi="宋体" w:eastAsia="宋体"/>
                <w:sz w:val="16"/>
              </w:rPr>
              <w:t>&gt;=3次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E07A4B">
            <w:pPr>
              <w:jc w:val="center"/>
            </w:pPr>
            <w:r>
              <w:rPr>
                <w:rFonts w:ascii="宋体" w:hAnsi="宋体" w:eastAsia="宋体"/>
                <w:sz w:val="16"/>
              </w:rPr>
              <w:t>2024年外事工作计划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6AA8C5">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2F258C">
            <w:pPr>
              <w:jc w:val="center"/>
            </w:pPr>
            <w:r>
              <w:rPr>
                <w:rFonts w:ascii="宋体" w:hAnsi="宋体" w:eastAsia="宋体"/>
                <w:sz w:val="16"/>
              </w:rPr>
              <w:tab/>
            </w:r>
            <w:r>
              <w:rPr>
                <w:rFonts w:ascii="宋体" w:hAnsi="宋体" w:eastAsia="宋体"/>
                <w:sz w:val="16"/>
              </w:rPr>
              <w: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1B0E4E">
            <w:pPr>
              <w:jc w:val="center"/>
            </w:pPr>
            <w:r>
              <w:rPr>
                <w:rFonts w:ascii="宋体" w:hAnsi="宋体" w:eastAsia="宋体"/>
                <w:sz w:val="16"/>
              </w:rPr>
              <w:t>30</w:t>
            </w:r>
          </w:p>
        </w:tc>
      </w:tr>
      <w:tr w14:paraId="0CE3853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2BDB2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B7DA2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1FE543">
            <w:pPr>
              <w:jc w:val="center"/>
            </w:pPr>
            <w:r>
              <w:rPr>
                <w:rFonts w:ascii="宋体" w:hAnsi="宋体" w:eastAsia="宋体"/>
                <w:sz w:val="16"/>
              </w:rPr>
              <w:t>因公出国次数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5ABEF9">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F1E043">
            <w:pPr>
              <w:jc w:val="center"/>
            </w:pPr>
            <w:r>
              <w:rPr>
                <w:rFonts w:ascii="宋体" w:hAnsi="宋体" w:eastAsia="宋体"/>
                <w:sz w:val="16"/>
              </w:rPr>
              <w:t>2024年外事工作计划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BFF52B">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0525B8">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859603">
            <w:pPr>
              <w:jc w:val="center"/>
            </w:pPr>
            <w:r>
              <w:rPr>
                <w:rFonts w:ascii="宋体" w:hAnsi="宋体" w:eastAsia="宋体"/>
                <w:sz w:val="16"/>
              </w:rPr>
              <w:t>30</w:t>
            </w:r>
          </w:p>
        </w:tc>
      </w:tr>
    </w:tbl>
    <w:p w14:paraId="0324859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067F8E1B">
        <w:tblPrEx>
          <w:tblCellMar>
            <w:top w:w="0" w:type="dxa"/>
            <w:left w:w="108" w:type="dxa"/>
            <w:bottom w:w="0" w:type="dxa"/>
            <w:right w:w="108" w:type="dxa"/>
          </w:tblCellMar>
        </w:tblPrEx>
        <w:tc>
          <w:tcPr>
            <w:tcW w:w="8848" w:type="dxa"/>
            <w:gridSpan w:val="14"/>
            <w:vAlign w:val="center"/>
          </w:tcPr>
          <w:p w14:paraId="41307AE2">
            <w:pPr>
              <w:jc w:val="center"/>
            </w:pPr>
            <w:r>
              <w:rPr>
                <w:rFonts w:ascii="宋体" w:hAnsi="宋体" w:eastAsia="宋体"/>
                <w:sz w:val="24"/>
              </w:rPr>
              <w:t>项目支出绩效自评表</w:t>
            </w:r>
          </w:p>
        </w:tc>
      </w:tr>
      <w:tr w14:paraId="78D94BAD">
        <w:tblPrEx>
          <w:tblCellMar>
            <w:top w:w="0" w:type="dxa"/>
            <w:left w:w="108" w:type="dxa"/>
            <w:bottom w:w="0" w:type="dxa"/>
            <w:right w:w="108" w:type="dxa"/>
          </w:tblCellMar>
        </w:tblPrEx>
        <w:tc>
          <w:tcPr>
            <w:tcW w:w="8848" w:type="dxa"/>
            <w:gridSpan w:val="14"/>
            <w:vAlign w:val="center"/>
          </w:tcPr>
          <w:p w14:paraId="74A0E2EA">
            <w:pPr>
              <w:jc w:val="center"/>
            </w:pPr>
            <w:r>
              <w:rPr>
                <w:rFonts w:ascii="宋体" w:hAnsi="宋体" w:eastAsia="宋体"/>
                <w:sz w:val="24"/>
              </w:rPr>
              <w:t>(2024年度)</w:t>
            </w:r>
          </w:p>
        </w:tc>
      </w:tr>
      <w:tr w14:paraId="340666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3C2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F5F9B1">
            <w:pPr>
              <w:jc w:val="center"/>
            </w:pPr>
            <w:r>
              <w:rPr>
                <w:rFonts w:ascii="宋体" w:hAnsi="宋体" w:eastAsia="宋体"/>
                <w:sz w:val="16"/>
              </w:rPr>
              <w:t>为民办实事经费</w:t>
            </w:r>
          </w:p>
        </w:tc>
      </w:tr>
      <w:tr w14:paraId="46F283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BB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4CA2EE">
            <w:pPr>
              <w:jc w:val="center"/>
            </w:pPr>
            <w:r>
              <w:rPr>
                <w:rFonts w:ascii="宋体" w:hAnsi="宋体" w:eastAsia="宋体"/>
                <w:sz w:val="16"/>
              </w:rPr>
              <w:t>巴音郭楞蒙古自治州人民政府外事办公室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FB06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9B6A44">
            <w:pPr>
              <w:jc w:val="center"/>
            </w:pPr>
            <w:r>
              <w:rPr>
                <w:rFonts w:ascii="宋体" w:hAnsi="宋体" w:eastAsia="宋体"/>
                <w:sz w:val="16"/>
              </w:rPr>
              <w:t>巴音郭楞蒙古自治州人民政府外事办公室</w:t>
            </w:r>
          </w:p>
        </w:tc>
      </w:tr>
      <w:tr w14:paraId="4C0E33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B83B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3AB1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48B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87E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B94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6403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8E2A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8ED5">
            <w:pPr>
              <w:jc w:val="center"/>
            </w:pPr>
            <w:r>
              <w:rPr>
                <w:rFonts w:ascii="宋体" w:hAnsi="宋体" w:eastAsia="宋体"/>
                <w:sz w:val="16"/>
              </w:rPr>
              <w:t>得分</w:t>
            </w:r>
          </w:p>
        </w:tc>
      </w:tr>
      <w:tr w14:paraId="53CCE2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0DF4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9210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018DD">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B35F8">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50783">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7C2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0BE3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4DC3">
            <w:pPr>
              <w:jc w:val="center"/>
            </w:pPr>
            <w:r>
              <w:rPr>
                <w:rFonts w:ascii="宋体" w:hAnsi="宋体" w:eastAsia="宋体"/>
                <w:sz w:val="16"/>
              </w:rPr>
              <w:t>10.00</w:t>
            </w:r>
          </w:p>
        </w:tc>
      </w:tr>
      <w:tr w14:paraId="69EAEE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B7B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322B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8510D">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925AD">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24183">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FBC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21A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AD6E0">
            <w:pPr>
              <w:jc w:val="center"/>
            </w:pPr>
            <w:r>
              <w:rPr>
                <w:rFonts w:ascii="宋体" w:hAnsi="宋体" w:eastAsia="宋体"/>
                <w:sz w:val="16"/>
              </w:rPr>
              <w:t>-</w:t>
            </w:r>
          </w:p>
        </w:tc>
      </w:tr>
      <w:tr w14:paraId="4A1A08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936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6412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CB8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3A8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A5E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E9F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C48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AD55A">
            <w:pPr>
              <w:jc w:val="center"/>
            </w:pPr>
            <w:r>
              <w:rPr>
                <w:rFonts w:ascii="宋体" w:hAnsi="宋体" w:eastAsia="宋体"/>
                <w:sz w:val="16"/>
              </w:rPr>
              <w:t>-</w:t>
            </w:r>
          </w:p>
        </w:tc>
      </w:tr>
      <w:tr w14:paraId="1E81D2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8CD7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96013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01C178">
            <w:pPr>
              <w:jc w:val="center"/>
            </w:pPr>
            <w:r>
              <w:rPr>
                <w:rFonts w:ascii="宋体" w:hAnsi="宋体" w:eastAsia="宋体"/>
                <w:sz w:val="16"/>
              </w:rPr>
              <w:t>总体目标完成情况</w:t>
            </w:r>
          </w:p>
        </w:tc>
      </w:tr>
      <w:tr w14:paraId="264175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375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83DC57">
            <w:pPr>
              <w:jc w:val="both"/>
            </w:pPr>
            <w:r>
              <w:rPr>
                <w:rFonts w:ascii="宋体" w:hAnsi="宋体" w:eastAsia="宋体"/>
                <w:sz w:val="16"/>
              </w:rPr>
              <w:t>1个</w:t>
            </w:r>
            <w:r>
              <w:rPr>
                <w:rFonts w:hint="eastAsia" w:ascii="宋体" w:hAnsi="宋体"/>
                <w:sz w:val="16"/>
                <w:lang w:eastAsia="zh-CN"/>
              </w:rPr>
              <w:t>为民办实事</w:t>
            </w:r>
            <w:r>
              <w:rPr>
                <w:rFonts w:ascii="宋体" w:hAnsi="宋体" w:eastAsia="宋体"/>
                <w:sz w:val="16"/>
              </w:rPr>
              <w:t>工作队，</w:t>
            </w:r>
            <w:r>
              <w:rPr>
                <w:rFonts w:hint="eastAsia" w:ascii="宋体" w:hAnsi="宋体"/>
                <w:sz w:val="16"/>
                <w:lang w:eastAsia="zh-CN"/>
              </w:rPr>
              <w:t>派驻</w:t>
            </w:r>
            <w:r>
              <w:rPr>
                <w:rFonts w:ascii="宋体" w:hAnsi="宋体" w:eastAsia="宋体"/>
                <w:sz w:val="16"/>
              </w:rPr>
              <w:t>工作队3名人员，计划合理合规使用为民办实事经费，楼兰街道佳鑫社区为民办事经费17万。其中：</w:t>
            </w:r>
            <w:r>
              <w:rPr>
                <w:rFonts w:hint="eastAsia" w:ascii="宋体" w:hAnsi="宋体"/>
                <w:sz w:val="16"/>
                <w:lang w:eastAsia="zh-CN"/>
              </w:rPr>
              <w:t>为民办实事</w:t>
            </w:r>
            <w:r>
              <w:rPr>
                <w:rFonts w:ascii="宋体" w:hAnsi="宋体" w:eastAsia="宋体"/>
                <w:sz w:val="16"/>
              </w:rPr>
              <w:t>工作队为民办实事经费保障15万元，第一书记为民办实事经费保障2万元确保为民办实事经费使用的安全性、规范性和实效性，确保为民办实事工作经费落实到实处。组织各项慰问和文体活动，提高居民文化生活水平。开展“民族团结一家亲”，团结关爱户、独居老人、联谊活动，加快资金支付进度，保障项目按期完成，提高为民办实事力度，提升群众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B13ED2">
            <w:pPr>
              <w:jc w:val="both"/>
            </w:pPr>
            <w:r>
              <w:rPr>
                <w:rFonts w:ascii="宋体" w:hAnsi="宋体" w:eastAsia="宋体"/>
                <w:sz w:val="16"/>
              </w:rPr>
              <w:t>2个工作队组织完成各项慰问和文体活动，提高居民文化生活水平。开展“民族团结一家亲”，团结关爱户、独居老人、联谊活动，加快资金支付进度，保障项目按期完成，提高为民办实事力度，提升群众获得感。</w:t>
            </w:r>
          </w:p>
        </w:tc>
      </w:tr>
      <w:tr w14:paraId="293C96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C15B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C431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8F45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D19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F814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7A58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775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6337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2F2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34D3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FBF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1F1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B49E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A2A23">
            <w:pPr>
              <w:jc w:val="center"/>
            </w:pPr>
            <w:r>
              <w:rPr>
                <w:rFonts w:ascii="宋体" w:hAnsi="宋体" w:eastAsia="宋体"/>
                <w:sz w:val="16"/>
              </w:rPr>
              <w:t>偏差原因分析及改进措施</w:t>
            </w:r>
          </w:p>
        </w:tc>
      </w:tr>
      <w:tr w14:paraId="4647BE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BB5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4333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959A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F7E1F">
            <w:pPr>
              <w:jc w:val="center"/>
            </w:pPr>
            <w:r>
              <w:rPr>
                <w:rFonts w:hint="eastAsia" w:ascii="宋体" w:hAnsi="宋体"/>
                <w:sz w:val="16"/>
                <w:lang w:eastAsia="zh-CN"/>
              </w:rPr>
              <w:t>派驻</w:t>
            </w: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D064">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2C5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4EE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9BD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3AF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8E9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46CC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A5F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EDA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73AB">
            <w:pPr>
              <w:jc w:val="center"/>
            </w:pPr>
          </w:p>
        </w:tc>
      </w:tr>
      <w:tr w14:paraId="2C3BC4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8CB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361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510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87048">
            <w:pPr>
              <w:jc w:val="center"/>
            </w:pPr>
            <w:r>
              <w:rPr>
                <w:rFonts w:hint="eastAsia" w:ascii="宋体" w:hAnsi="宋体"/>
                <w:sz w:val="16"/>
                <w:lang w:eastAsia="zh-CN"/>
              </w:rPr>
              <w:t>派驻</w:t>
            </w:r>
            <w:r>
              <w:rPr>
                <w:rFonts w:ascii="宋体" w:hAnsi="宋体" w:eastAsia="宋体"/>
                <w:sz w:val="16"/>
              </w:rPr>
              <w:t>工作队人员人数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9CCC">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678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0A2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FA3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4F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40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DD46B">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1B3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E6A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D21B">
            <w:pPr>
              <w:jc w:val="center"/>
            </w:pPr>
          </w:p>
        </w:tc>
      </w:tr>
      <w:tr w14:paraId="1C0674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3F2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B61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931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86DAC">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70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294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60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43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A6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90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B4D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8A4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F6C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64AE6">
            <w:pPr>
              <w:jc w:val="center"/>
            </w:pPr>
          </w:p>
        </w:tc>
      </w:tr>
      <w:tr w14:paraId="57C787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653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B60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2E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6410">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9148">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4C3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DFE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ABA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708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D0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2B3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349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B6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E27C6">
            <w:pPr>
              <w:jc w:val="center"/>
            </w:pPr>
          </w:p>
        </w:tc>
      </w:tr>
      <w:tr w14:paraId="7A85D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ED9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1235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11EE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9902B">
            <w:pPr>
              <w:jc w:val="center"/>
            </w:pPr>
            <w:r>
              <w:rPr>
                <w:rFonts w:ascii="宋体" w:hAnsi="宋体" w:eastAsia="宋体"/>
                <w:sz w:val="16"/>
              </w:rPr>
              <w:t>第一书记为民办实事经费保障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2EA3">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0F2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DDA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8E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D0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B36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8670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32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6F4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03EFA">
            <w:pPr>
              <w:jc w:val="center"/>
            </w:pPr>
          </w:p>
        </w:tc>
      </w:tr>
      <w:tr w14:paraId="01BD02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4DC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224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3CC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56B44">
            <w:pPr>
              <w:jc w:val="center"/>
            </w:pPr>
            <w:r>
              <w:rPr>
                <w:rFonts w:hint="eastAsia" w:ascii="宋体" w:hAnsi="宋体"/>
                <w:sz w:val="16"/>
                <w:lang w:eastAsia="zh-CN"/>
              </w:rPr>
              <w:t>为民办实事</w:t>
            </w:r>
            <w:r>
              <w:rPr>
                <w:rFonts w:ascii="宋体" w:hAnsi="宋体" w:eastAsia="宋体"/>
                <w:sz w:val="16"/>
              </w:rPr>
              <w:t>工作队为民办实事经费保障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743F6">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3FD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60C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D73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99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8E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4AB83">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99F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E3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715D0">
            <w:pPr>
              <w:jc w:val="center"/>
            </w:pPr>
          </w:p>
        </w:tc>
      </w:tr>
      <w:tr w14:paraId="4CB5C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1E7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D4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6A5D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93A5C">
            <w:pPr>
              <w:jc w:val="center"/>
            </w:pPr>
            <w:r>
              <w:rPr>
                <w:rFonts w:ascii="宋体" w:hAnsi="宋体" w:eastAsia="宋体"/>
                <w:sz w:val="16"/>
              </w:rPr>
              <w:t>提升社区居民生活质量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514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B9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D5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93E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91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25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716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96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E0C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7028">
            <w:pPr>
              <w:jc w:val="center"/>
            </w:pPr>
          </w:p>
        </w:tc>
      </w:tr>
      <w:tr w14:paraId="127D31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A29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2B7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290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0DCD1">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2BC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FED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2B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522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AE3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E0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312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71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06D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4742E">
            <w:pPr>
              <w:jc w:val="center"/>
            </w:pPr>
          </w:p>
        </w:tc>
      </w:tr>
      <w:tr w14:paraId="121F4AF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0A348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D353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E29D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D3A4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AD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FF9A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6DAB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9183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E1FD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173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AFEA5A"/>
        </w:tc>
      </w:tr>
    </w:tbl>
    <w:p w14:paraId="2D927BCC">
      <w:r>
        <w:br w:type="page"/>
      </w:r>
    </w:p>
    <w:p w14:paraId="504CFAFB">
      <w:pPr>
        <w:spacing w:line="640" w:lineRule="exact"/>
        <w:ind w:firstLine="640"/>
        <w:jc w:val="both"/>
        <w:outlineLvl w:val="2"/>
      </w:pPr>
      <w:r>
        <w:rPr>
          <w:rFonts w:ascii="黑体" w:hAnsi="黑体" w:eastAsia="黑体"/>
          <w:sz w:val="32"/>
        </w:rPr>
        <w:t>十二、其他需说明的事项</w:t>
      </w:r>
    </w:p>
    <w:p w14:paraId="28D672D9">
      <w:pPr>
        <w:spacing w:line="580" w:lineRule="exact"/>
        <w:ind w:firstLine="640"/>
        <w:jc w:val="both"/>
      </w:pPr>
      <w:r>
        <w:rPr>
          <w:rFonts w:ascii="仿宋_GB2312" w:hAnsi="仿宋_GB2312" w:eastAsia="仿宋_GB2312"/>
          <w:b w:val="0"/>
          <w:sz w:val="32"/>
        </w:rPr>
        <w:t>本部门无其他需说明的事项。</w:t>
      </w:r>
    </w:p>
    <w:p w14:paraId="0400D0CA">
      <w:r>
        <w:br w:type="page"/>
      </w:r>
    </w:p>
    <w:p w14:paraId="4482F8C8">
      <w:pPr>
        <w:spacing w:line="240" w:lineRule="auto"/>
        <w:jc w:val="center"/>
        <w:outlineLvl w:val="1"/>
      </w:pPr>
      <w:r>
        <w:rPr>
          <w:rFonts w:ascii="黑体" w:hAnsi="黑体" w:eastAsia="黑体"/>
          <w:sz w:val="32"/>
        </w:rPr>
        <w:t>第三部分 专业名词解释</w:t>
      </w:r>
    </w:p>
    <w:p w14:paraId="3C18668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14F4DD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E88EDE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F05849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BE4DB7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3AF959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AF04BB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9902FE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9DD15A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EBC409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23CA67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6EDAF5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670FC7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D6DF28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850E805">
      <w:r>
        <w:br w:type="page"/>
      </w:r>
    </w:p>
    <w:p w14:paraId="22E5DD38">
      <w:pPr>
        <w:spacing w:line="240" w:lineRule="auto"/>
        <w:jc w:val="center"/>
        <w:outlineLvl w:val="1"/>
      </w:pPr>
      <w:r>
        <w:rPr>
          <w:rFonts w:ascii="黑体" w:hAnsi="黑体" w:eastAsia="黑体"/>
          <w:sz w:val="32"/>
        </w:rPr>
        <w:t>第四部分 部门决算报表（见附表）</w:t>
      </w:r>
    </w:p>
    <w:p w14:paraId="07FC5F39">
      <w:pPr>
        <w:spacing w:line="240" w:lineRule="auto"/>
        <w:ind w:firstLine="640"/>
        <w:jc w:val="both"/>
      </w:pPr>
      <w:r>
        <w:rPr>
          <w:rFonts w:ascii="仿宋_GB2312" w:hAnsi="仿宋_GB2312" w:eastAsia="仿宋_GB2312"/>
          <w:b w:val="0"/>
          <w:sz w:val="32"/>
        </w:rPr>
        <w:t>一、《收入支出决算总表》</w:t>
      </w:r>
    </w:p>
    <w:p w14:paraId="5D9DC9B0">
      <w:pPr>
        <w:spacing w:line="240" w:lineRule="auto"/>
        <w:ind w:firstLine="640"/>
        <w:jc w:val="both"/>
      </w:pPr>
      <w:r>
        <w:rPr>
          <w:rFonts w:ascii="仿宋_GB2312" w:hAnsi="仿宋_GB2312" w:eastAsia="仿宋_GB2312"/>
          <w:b w:val="0"/>
          <w:sz w:val="32"/>
        </w:rPr>
        <w:t>二、《收入决算表》</w:t>
      </w:r>
    </w:p>
    <w:p w14:paraId="121A9401">
      <w:pPr>
        <w:spacing w:line="240" w:lineRule="auto"/>
        <w:ind w:firstLine="640"/>
        <w:jc w:val="both"/>
      </w:pPr>
      <w:r>
        <w:rPr>
          <w:rFonts w:ascii="仿宋_GB2312" w:hAnsi="仿宋_GB2312" w:eastAsia="仿宋_GB2312"/>
          <w:b w:val="0"/>
          <w:sz w:val="32"/>
        </w:rPr>
        <w:t>三、《支出决算表》</w:t>
      </w:r>
    </w:p>
    <w:p w14:paraId="6AED1EF3">
      <w:pPr>
        <w:spacing w:line="240" w:lineRule="auto"/>
        <w:ind w:firstLine="640"/>
        <w:jc w:val="both"/>
      </w:pPr>
      <w:r>
        <w:rPr>
          <w:rFonts w:ascii="仿宋_GB2312" w:hAnsi="仿宋_GB2312" w:eastAsia="仿宋_GB2312"/>
          <w:b w:val="0"/>
          <w:sz w:val="32"/>
        </w:rPr>
        <w:t>四、《财政拨款收入支出决算总表》</w:t>
      </w:r>
    </w:p>
    <w:p w14:paraId="305A6547">
      <w:pPr>
        <w:spacing w:line="240" w:lineRule="auto"/>
        <w:ind w:firstLine="640"/>
        <w:jc w:val="both"/>
      </w:pPr>
      <w:r>
        <w:rPr>
          <w:rFonts w:ascii="仿宋_GB2312" w:hAnsi="仿宋_GB2312" w:eastAsia="仿宋_GB2312"/>
          <w:b w:val="0"/>
          <w:sz w:val="32"/>
        </w:rPr>
        <w:t>五、《一般公共预算财政拨款支出决算表》</w:t>
      </w:r>
    </w:p>
    <w:p w14:paraId="6CFC3489">
      <w:pPr>
        <w:spacing w:line="240" w:lineRule="auto"/>
        <w:ind w:firstLine="640"/>
        <w:jc w:val="both"/>
      </w:pPr>
      <w:r>
        <w:rPr>
          <w:rFonts w:ascii="仿宋_GB2312" w:hAnsi="仿宋_GB2312" w:eastAsia="仿宋_GB2312"/>
          <w:b w:val="0"/>
          <w:sz w:val="32"/>
        </w:rPr>
        <w:t>六、《一般公共预算财政拨款基本支出决算表》</w:t>
      </w:r>
    </w:p>
    <w:p w14:paraId="64563837">
      <w:pPr>
        <w:spacing w:line="240" w:lineRule="auto"/>
        <w:ind w:firstLine="640"/>
        <w:jc w:val="both"/>
      </w:pPr>
      <w:r>
        <w:rPr>
          <w:rFonts w:ascii="仿宋_GB2312" w:hAnsi="仿宋_GB2312" w:eastAsia="仿宋_GB2312"/>
          <w:b w:val="0"/>
          <w:sz w:val="32"/>
        </w:rPr>
        <w:t>七、《政府性基金预算财政拨款收入支出决算表》</w:t>
      </w:r>
    </w:p>
    <w:p w14:paraId="54FF56B9">
      <w:pPr>
        <w:spacing w:line="240" w:lineRule="auto"/>
        <w:ind w:firstLine="640"/>
        <w:jc w:val="both"/>
      </w:pPr>
      <w:r>
        <w:rPr>
          <w:rFonts w:ascii="仿宋_GB2312" w:hAnsi="仿宋_GB2312" w:eastAsia="仿宋_GB2312"/>
          <w:b w:val="0"/>
          <w:sz w:val="32"/>
        </w:rPr>
        <w:t>八、《国有资本经营预算财政拨款收入支出决算表》</w:t>
      </w:r>
    </w:p>
    <w:p w14:paraId="2F4DFA34">
      <w:pPr>
        <w:spacing w:line="240" w:lineRule="auto"/>
        <w:ind w:firstLine="640"/>
        <w:jc w:val="both"/>
      </w:pPr>
      <w:r>
        <w:rPr>
          <w:rFonts w:ascii="仿宋_GB2312" w:hAnsi="仿宋_GB2312" w:eastAsia="仿宋_GB2312"/>
          <w:b w:val="0"/>
          <w:sz w:val="32"/>
        </w:rPr>
        <w:t>九、《财政拨款“三公”经费支出决算表》</w:t>
      </w:r>
    </w:p>
    <w:p w14:paraId="4EAF8CA8">
      <w:pPr>
        <w:spacing w:line="240" w:lineRule="auto"/>
        <w:ind w:firstLine="640"/>
        <w:jc w:val="both"/>
      </w:pPr>
    </w:p>
    <w:p w14:paraId="401F4502">
      <w:pPr>
        <w:spacing w:line="240" w:lineRule="auto"/>
        <w:ind w:firstLine="640"/>
        <w:jc w:val="both"/>
      </w:pPr>
    </w:p>
    <w:p w14:paraId="4655E3D7">
      <w:pPr>
        <w:spacing w:line="240" w:lineRule="auto"/>
        <w:ind w:firstLine="640"/>
        <w:jc w:val="both"/>
      </w:pPr>
    </w:p>
    <w:p w14:paraId="77624C5C">
      <w:pPr>
        <w:spacing w:line="240" w:lineRule="auto"/>
        <w:ind w:firstLine="640"/>
        <w:jc w:val="both"/>
      </w:pPr>
    </w:p>
    <w:p w14:paraId="11A4313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35531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CD76F1"/>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6139</Words>
  <Characters>6936</Characters>
  <Lines>0</Lines>
  <Paragraphs>0</Paragraphs>
  <TotalTime>5</TotalTime>
  <ScaleCrop>false</ScaleCrop>
  <LinksUpToDate>false</LinksUpToDate>
  <CharactersWithSpaces>6945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2025-09-11T09:20:32Z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