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新疆维吾尔自治区马兰地区粮食局2024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370E8A">
      <w:r>
        <w:br w:type="page"/>
      </w:r>
    </w:p>
    <w:p w14:paraId="4F62DDC8">
      <w:pPr>
        <w:spacing w:line="640" w:lineRule="exact"/>
        <w:jc w:val="center"/>
        <w:outlineLvl w:val="1"/>
      </w:pPr>
      <w:r>
        <w:rPr>
          <w:rFonts w:ascii="黑体" w:hAnsi="黑体" w:eastAsia="黑体"/>
          <w:sz w:val="32"/>
        </w:rPr>
        <w:t>第一部分 单位概况</w:t>
      </w:r>
    </w:p>
    <w:p w14:paraId="55E96ED6">
      <w:pPr>
        <w:spacing w:line="640" w:lineRule="exact"/>
        <w:ind w:firstLine="640"/>
        <w:jc w:val="both"/>
        <w:outlineLvl w:val="2"/>
      </w:pPr>
      <w:r>
        <w:rPr>
          <w:rFonts w:ascii="黑体" w:hAnsi="黑体" w:eastAsia="黑体"/>
          <w:sz w:val="32"/>
        </w:rPr>
        <w:t>一、主要职能</w:t>
      </w:r>
    </w:p>
    <w:p w14:paraId="623EC259">
      <w:pPr>
        <w:spacing w:line="580" w:lineRule="exact"/>
        <w:ind w:firstLine="640"/>
        <w:jc w:val="both"/>
      </w:pPr>
      <w:r>
        <w:rPr>
          <w:rFonts w:ascii="仿宋_GB2312" w:hAnsi="仿宋_GB2312" w:eastAsia="仿宋_GB2312"/>
          <w:sz w:val="32"/>
        </w:rPr>
        <w:t>1.贯彻执行国家关于粮食流通的方针、政策、法规，并督促检查落实情况。贯彻执行自治区制定的粮食法规、政策措施、粮食流通体制改革</w:t>
      </w:r>
      <w:r>
        <w:rPr>
          <w:rFonts w:hint="eastAsia" w:ascii="仿宋_GB2312" w:hAnsi="仿宋_GB2312" w:eastAsia="仿宋_GB2312"/>
          <w:sz w:val="32"/>
          <w:lang w:eastAsia="zh-CN"/>
        </w:rPr>
        <w:t>方案、</w:t>
      </w:r>
      <w:r>
        <w:rPr>
          <w:rFonts w:ascii="仿宋_GB2312" w:hAnsi="仿宋_GB2312" w:eastAsia="仿宋_GB2312"/>
          <w:sz w:val="32"/>
        </w:rPr>
        <w:t>粮食行业管理办法。负责对军粮差价补贴决算和核拨军供粮油补贴。</w:t>
      </w:r>
    </w:p>
    <w:p w14:paraId="7F0CD36E">
      <w:pPr>
        <w:spacing w:line="580" w:lineRule="exact"/>
        <w:ind w:firstLine="640"/>
        <w:jc w:val="both"/>
      </w:pPr>
      <w:r>
        <w:rPr>
          <w:rFonts w:ascii="仿宋_GB2312" w:hAnsi="仿宋_GB2312" w:eastAsia="仿宋_GB2312"/>
          <w:sz w:val="32"/>
        </w:rPr>
        <w:t>2.对马兰地区军粮供应工作负有指导、协调、监管、服务等职责。监督检查国有粮食购销企业，认真执行按保护价敞开收购粮食政策和顺价销售政策。监督检查下属单位周转粮油的储存安全，协同当地质量技术监督局做好粮油质量标准的管理工作，协调指导马兰地区的粮油质量的监督。</w:t>
      </w:r>
    </w:p>
    <w:p w14:paraId="55B0F466">
      <w:pPr>
        <w:spacing w:line="580" w:lineRule="exact"/>
        <w:ind w:firstLine="640"/>
        <w:jc w:val="both"/>
      </w:pPr>
      <w:r>
        <w:rPr>
          <w:rFonts w:ascii="仿宋_GB2312" w:hAnsi="仿宋_GB2312" w:eastAsia="仿宋_GB2312"/>
          <w:sz w:val="32"/>
        </w:rPr>
        <w:t>3.负责对粮食企业的购销行为行使执法和监督职责，负责国家粮食法规政策的宣传，会同有关部门指导粮食经营者资格审查工作。建立平战结合军供保障机制转化、战备应急机制，全面提升军粮战备和应急保障能力。</w:t>
      </w:r>
    </w:p>
    <w:p w14:paraId="12AFEEB4">
      <w:pPr>
        <w:spacing w:line="580" w:lineRule="exact"/>
        <w:ind w:firstLine="640"/>
        <w:jc w:val="both"/>
      </w:pPr>
      <w:r>
        <w:rPr>
          <w:rFonts w:ascii="仿宋_GB2312" w:hAnsi="仿宋_GB2312" w:eastAsia="仿宋_GB2312"/>
          <w:sz w:val="32"/>
        </w:rPr>
        <w:t>4.指导马兰粮食系统财务会计工作，组织实施粮食财务、会计制度、汇编各类粮食统计、会计报表。督促指导马兰地区粮食企业改革，扭亏增盈、增收节支工作，指导协调粮食经营管理，专业技术人才的培训工作。</w:t>
      </w:r>
    </w:p>
    <w:p w14:paraId="70330C04">
      <w:pPr>
        <w:spacing w:line="580" w:lineRule="exact"/>
        <w:ind w:firstLine="640"/>
        <w:jc w:val="both"/>
      </w:pPr>
      <w:r>
        <w:rPr>
          <w:rFonts w:ascii="仿宋_GB2312" w:hAnsi="仿宋_GB2312" w:eastAsia="仿宋_GB2312"/>
          <w:sz w:val="32"/>
        </w:rPr>
        <w:t>5.承办巴州发改委、马兰基地社会服务部交办的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7207DD70">
      <w:pPr>
        <w:spacing w:line="640" w:lineRule="exact"/>
        <w:ind w:firstLine="640"/>
        <w:jc w:val="both"/>
        <w:outlineLvl w:val="2"/>
      </w:pPr>
      <w:r>
        <w:rPr>
          <w:rFonts w:ascii="黑体" w:hAnsi="黑体" w:eastAsia="黑体"/>
          <w:sz w:val="32"/>
        </w:rPr>
        <w:t>二、机构设置及人员情况</w:t>
      </w:r>
    </w:p>
    <w:p w14:paraId="7362E13B">
      <w:pPr>
        <w:spacing w:line="580" w:lineRule="exact"/>
        <w:ind w:firstLine="640"/>
        <w:jc w:val="both"/>
      </w:pPr>
      <w:r>
        <w:rPr>
          <w:rFonts w:ascii="仿宋_GB2312" w:hAnsi="仿宋_GB2312" w:eastAsia="仿宋_GB2312"/>
          <w:sz w:val="32"/>
        </w:rPr>
        <w:t>新疆维吾尔自治区马兰地区粮食局2024年度，实有人数69人，其中：在职人员17人，减少1人；离休人员0人，增加0人；退休人员52人,减少1人。</w:t>
      </w:r>
    </w:p>
    <w:p w14:paraId="1B6E9EAE">
      <w:pPr>
        <w:spacing w:line="580" w:lineRule="exact"/>
        <w:ind w:firstLine="640"/>
        <w:jc w:val="both"/>
      </w:pPr>
      <w:r>
        <w:rPr>
          <w:rFonts w:ascii="仿宋_GB2312" w:hAnsi="仿宋_GB2312" w:eastAsia="仿宋_GB2312"/>
          <w:sz w:val="32"/>
        </w:rPr>
        <w:t>新疆维吾尔自治区马兰地区粮食局无下属预算单位，下设3个科室，分别是：办公室、财务科、业务科。</w:t>
      </w:r>
    </w:p>
    <w:p w14:paraId="26F15A44">
      <w:r>
        <w:br w:type="page"/>
      </w:r>
    </w:p>
    <w:p w14:paraId="4D47C559">
      <w:pPr>
        <w:spacing w:line="240" w:lineRule="auto"/>
        <w:jc w:val="center"/>
        <w:outlineLvl w:val="1"/>
      </w:pPr>
      <w:r>
        <w:rPr>
          <w:rFonts w:ascii="黑体" w:hAnsi="黑体" w:eastAsia="黑体"/>
          <w:sz w:val="32"/>
        </w:rPr>
        <w:t>第二部分 部门决算情况说明</w:t>
      </w:r>
    </w:p>
    <w:p w14:paraId="65F91C49">
      <w:pPr>
        <w:spacing w:line="640" w:lineRule="exact"/>
        <w:ind w:firstLine="640"/>
        <w:jc w:val="both"/>
        <w:outlineLvl w:val="2"/>
      </w:pPr>
      <w:r>
        <w:rPr>
          <w:rFonts w:ascii="黑体" w:hAnsi="黑体" w:eastAsia="黑体"/>
          <w:sz w:val="32"/>
        </w:rPr>
        <w:t>一、收入支出决算总体情况说明</w:t>
      </w:r>
    </w:p>
    <w:p w14:paraId="5C12FA7D">
      <w:pPr>
        <w:spacing w:line="580" w:lineRule="exact"/>
        <w:ind w:firstLine="640"/>
        <w:jc w:val="both"/>
      </w:pPr>
      <w:r>
        <w:rPr>
          <w:rFonts w:ascii="仿宋_GB2312" w:hAnsi="仿宋_GB2312" w:eastAsia="仿宋_GB2312"/>
          <w:b/>
          <w:sz w:val="32"/>
        </w:rPr>
        <w:t>2024年度收入总计410.96万元，</w:t>
      </w:r>
      <w:r>
        <w:rPr>
          <w:rFonts w:ascii="仿宋_GB2312" w:hAnsi="仿宋_GB2312" w:eastAsia="仿宋_GB2312"/>
          <w:b w:val="0"/>
          <w:sz w:val="32"/>
        </w:rPr>
        <w:t>其中：本年收入合计409.87万元，使用非财政拨款结余（含专用结余）0.00万元，年初结转和结余1.09万元。</w:t>
      </w:r>
    </w:p>
    <w:p w14:paraId="2BCC77FE">
      <w:pPr>
        <w:spacing w:line="580" w:lineRule="exact"/>
        <w:ind w:firstLine="640"/>
        <w:jc w:val="both"/>
      </w:pPr>
      <w:r>
        <w:rPr>
          <w:rFonts w:ascii="仿宋_GB2312" w:hAnsi="仿宋_GB2312" w:eastAsia="仿宋_GB2312"/>
          <w:b/>
          <w:sz w:val="32"/>
        </w:rPr>
        <w:t>2024年度支出总计410.96万元，</w:t>
      </w:r>
      <w:r>
        <w:rPr>
          <w:rFonts w:ascii="仿宋_GB2312" w:hAnsi="仿宋_GB2312" w:eastAsia="仿宋_GB2312"/>
          <w:b w:val="0"/>
          <w:sz w:val="32"/>
        </w:rPr>
        <w:t>其中：本年支出合计409.87万元，结余分配0.00万元，年末结转和结余1.09万元。</w:t>
      </w:r>
    </w:p>
    <w:p w14:paraId="0E207F65">
      <w:pPr>
        <w:spacing w:line="580" w:lineRule="exact"/>
        <w:ind w:firstLine="640"/>
        <w:jc w:val="both"/>
      </w:pPr>
      <w:r>
        <w:rPr>
          <w:rFonts w:ascii="仿宋_GB2312" w:hAnsi="仿宋_GB2312" w:eastAsia="仿宋_GB2312"/>
          <w:b w:val="0"/>
          <w:sz w:val="32"/>
        </w:rPr>
        <w:t>收入支出总体与上年相比，增加3.99万元，增长0.98%，主要原因是：本年发放死亡抚恤金、丧葬费增加。</w:t>
      </w:r>
    </w:p>
    <w:p w14:paraId="3370199F">
      <w:pPr>
        <w:spacing w:line="640" w:lineRule="exact"/>
        <w:ind w:firstLine="640"/>
        <w:jc w:val="both"/>
        <w:outlineLvl w:val="2"/>
      </w:pPr>
      <w:r>
        <w:rPr>
          <w:rFonts w:ascii="黑体" w:hAnsi="黑体" w:eastAsia="黑体"/>
          <w:sz w:val="32"/>
        </w:rPr>
        <w:t>二、收入决算情况说明</w:t>
      </w:r>
    </w:p>
    <w:p w14:paraId="5DE8E220">
      <w:pPr>
        <w:spacing w:line="580" w:lineRule="exact"/>
        <w:ind w:firstLine="640"/>
        <w:jc w:val="both"/>
      </w:pPr>
      <w:r>
        <w:rPr>
          <w:rFonts w:ascii="仿宋_GB2312" w:hAnsi="仿宋_GB2312" w:eastAsia="仿宋_GB2312"/>
          <w:b/>
          <w:sz w:val="32"/>
        </w:rPr>
        <w:t>本年收入409.87万元，</w:t>
      </w:r>
      <w:r>
        <w:rPr>
          <w:rFonts w:ascii="仿宋_GB2312" w:hAnsi="仿宋_GB2312" w:eastAsia="仿宋_GB2312"/>
          <w:b w:val="0"/>
          <w:sz w:val="32"/>
        </w:rPr>
        <w:t>其中：财政拨款收入409.87万元，占100.00%；上级补助收入0.00万元，占0.00%；事业收入0.00万元，占0.00%；经营收入0.00万元，占0.00%；附属单位上缴收入0.00万元，占0.00%；其他收入0.00万元，占0.00%。</w:t>
      </w:r>
    </w:p>
    <w:p w14:paraId="1DEE4916">
      <w:pPr>
        <w:spacing w:line="640" w:lineRule="exact"/>
        <w:ind w:firstLine="640"/>
        <w:jc w:val="both"/>
        <w:outlineLvl w:val="2"/>
      </w:pPr>
      <w:r>
        <w:rPr>
          <w:rFonts w:ascii="黑体" w:hAnsi="黑体" w:eastAsia="黑体"/>
          <w:sz w:val="32"/>
        </w:rPr>
        <w:t>三、支出决算情况说明</w:t>
      </w:r>
    </w:p>
    <w:p w14:paraId="7F09BFB3">
      <w:pPr>
        <w:spacing w:line="580" w:lineRule="exact"/>
        <w:ind w:firstLine="640"/>
        <w:jc w:val="both"/>
      </w:pPr>
      <w:r>
        <w:rPr>
          <w:rFonts w:ascii="仿宋_GB2312" w:hAnsi="仿宋_GB2312" w:eastAsia="仿宋_GB2312"/>
          <w:b/>
          <w:sz w:val="32"/>
        </w:rPr>
        <w:t>本年支出409.87万元，</w:t>
      </w:r>
      <w:r>
        <w:rPr>
          <w:rFonts w:ascii="仿宋_GB2312" w:hAnsi="仿宋_GB2312" w:eastAsia="仿宋_GB2312"/>
          <w:b w:val="0"/>
          <w:sz w:val="32"/>
        </w:rPr>
        <w:t>其中：基本支出409.87万元，占100.00%；项目支出0.00万元，占0.00%；上缴上级支出0.00万元，占0.00%；经营支出0.00万元，占0.00%；对附属单位补助支出0.00万元，占0.00%。</w:t>
      </w:r>
    </w:p>
    <w:p w14:paraId="2A250B49">
      <w:pPr>
        <w:spacing w:line="640" w:lineRule="exact"/>
        <w:ind w:firstLine="640"/>
        <w:jc w:val="both"/>
        <w:outlineLvl w:val="2"/>
      </w:pPr>
      <w:r>
        <w:rPr>
          <w:rFonts w:ascii="黑体" w:hAnsi="黑体" w:eastAsia="黑体"/>
          <w:sz w:val="32"/>
        </w:rPr>
        <w:t>四、财政拨款收入支出决算总体情况说明</w:t>
      </w:r>
    </w:p>
    <w:p w14:paraId="21028D52">
      <w:pPr>
        <w:spacing w:line="580" w:lineRule="exact"/>
        <w:ind w:firstLine="640"/>
        <w:jc w:val="both"/>
      </w:pPr>
      <w:r>
        <w:rPr>
          <w:rFonts w:ascii="仿宋_GB2312" w:hAnsi="仿宋_GB2312" w:eastAsia="仿宋_GB2312"/>
          <w:b/>
          <w:sz w:val="32"/>
        </w:rPr>
        <w:t>2024年度财政拨款收入总计409.87万元，</w:t>
      </w:r>
      <w:r>
        <w:rPr>
          <w:rFonts w:ascii="仿宋_GB2312" w:hAnsi="仿宋_GB2312" w:eastAsia="仿宋_GB2312"/>
          <w:b w:val="0"/>
          <w:sz w:val="32"/>
        </w:rPr>
        <w:t>其中：年初财政拨款结转和结余0.00万元，本年财政拨款收入409.87万元。</w:t>
      </w:r>
      <w:r>
        <w:rPr>
          <w:rFonts w:ascii="仿宋_GB2312" w:hAnsi="仿宋_GB2312" w:eastAsia="仿宋_GB2312"/>
          <w:b/>
          <w:sz w:val="32"/>
        </w:rPr>
        <w:t>财政拨款支出总计409.87万元，</w:t>
      </w:r>
      <w:r>
        <w:rPr>
          <w:rFonts w:ascii="仿宋_GB2312" w:hAnsi="仿宋_GB2312" w:eastAsia="仿宋_GB2312"/>
          <w:b w:val="0"/>
          <w:sz w:val="32"/>
        </w:rPr>
        <w:t>其中：年末财政拨款结转和结余0.00万元，本年财政拨款支出409.87万元。</w:t>
      </w:r>
    </w:p>
    <w:p w14:paraId="321926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增加4.42万元，增长1.09%，主要原因是：本年发放死亡抚恤金、丧葬费增加。</w:t>
      </w:r>
      <w:r>
        <w:rPr>
          <w:rFonts w:ascii="仿宋_GB2312" w:hAnsi="仿宋_GB2312" w:eastAsia="仿宋_GB2312"/>
          <w:b/>
          <w:sz w:val="32"/>
        </w:rPr>
        <w:t>与年初预算相比，</w:t>
      </w:r>
      <w:r>
        <w:rPr>
          <w:rFonts w:ascii="仿宋_GB2312" w:hAnsi="仿宋_GB2312" w:eastAsia="仿宋_GB2312"/>
          <w:b w:val="0"/>
          <w:sz w:val="32"/>
        </w:rPr>
        <w:t>年初预算数388.77万元，决算数409.87万元，预决算差异率5.43%，主要原因是：年中追加退休人员死亡抚恤金和丧葬费、人员基本工资调增部分，导致预决算存在差异。</w:t>
      </w:r>
    </w:p>
    <w:p w14:paraId="44D6D98A">
      <w:pPr>
        <w:spacing w:line="640" w:lineRule="exact"/>
        <w:ind w:firstLine="640"/>
        <w:jc w:val="both"/>
        <w:outlineLvl w:val="2"/>
      </w:pPr>
      <w:r>
        <w:rPr>
          <w:rFonts w:ascii="黑体" w:hAnsi="黑体" w:eastAsia="黑体"/>
          <w:sz w:val="32"/>
        </w:rPr>
        <w:t>五、一般公共预算财政拨款支出决算情况说明</w:t>
      </w:r>
    </w:p>
    <w:p w14:paraId="603BA8CD">
      <w:pPr>
        <w:spacing w:line="640" w:lineRule="exact"/>
        <w:ind w:firstLine="640"/>
        <w:jc w:val="both"/>
        <w:outlineLvl w:val="3"/>
      </w:pPr>
      <w:r>
        <w:rPr>
          <w:rFonts w:ascii="楷体_GB2312" w:hAnsi="楷体_GB2312" w:eastAsia="楷体_GB2312"/>
          <w:b/>
          <w:sz w:val="32"/>
        </w:rPr>
        <w:t>（一）一般公共预算财政拨款支出决算总体情况</w:t>
      </w:r>
    </w:p>
    <w:p w14:paraId="08D2C5A9">
      <w:pPr>
        <w:spacing w:line="580" w:lineRule="exact"/>
        <w:ind w:firstLine="640"/>
        <w:jc w:val="both"/>
      </w:pPr>
      <w:r>
        <w:rPr>
          <w:rFonts w:ascii="仿宋_GB2312" w:hAnsi="仿宋_GB2312" w:eastAsia="仿宋_GB2312"/>
          <w:b/>
          <w:sz w:val="32"/>
        </w:rPr>
        <w:t>2024年度一般公共预算财政拨款支出409.87万元，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增加4.42万元，增长1.09%，主要原因是：本年发放死亡抚恤金、丧葬费增加。</w:t>
      </w:r>
      <w:r>
        <w:rPr>
          <w:rFonts w:ascii="仿宋_GB2312" w:hAnsi="仿宋_GB2312" w:eastAsia="仿宋_GB2312"/>
          <w:b/>
          <w:sz w:val="32"/>
        </w:rPr>
        <w:t>与年初预算相比,</w:t>
      </w:r>
      <w:r>
        <w:rPr>
          <w:rFonts w:ascii="仿宋_GB2312" w:hAnsi="仿宋_GB2312" w:eastAsia="仿宋_GB2312"/>
          <w:b w:val="0"/>
          <w:sz w:val="32"/>
        </w:rPr>
        <w:t>年初预算数388.77万元，决算数409.87万元，预决算差异率5.43%，主要原因是：年中追加退休人员死亡抚恤金和丧葬费、人员基本工资调增部分，导致预决算存在差异。</w:t>
      </w:r>
    </w:p>
    <w:p w14:paraId="0DB93756">
      <w:pPr>
        <w:spacing w:line="640" w:lineRule="exact"/>
        <w:ind w:firstLine="640"/>
        <w:jc w:val="both"/>
        <w:outlineLvl w:val="3"/>
      </w:pPr>
      <w:r>
        <w:rPr>
          <w:rFonts w:ascii="楷体_GB2312" w:hAnsi="楷体_GB2312" w:eastAsia="楷体_GB2312"/>
          <w:b/>
          <w:sz w:val="32"/>
        </w:rPr>
        <w:t>（二）一般公共预算财政拨款支出决算结构情况</w:t>
      </w:r>
    </w:p>
    <w:p w14:paraId="382F0B30">
      <w:pPr>
        <w:spacing w:line="580" w:lineRule="exact"/>
        <w:ind w:firstLine="640"/>
        <w:jc w:val="both"/>
      </w:pPr>
      <w:r>
        <w:rPr>
          <w:rFonts w:ascii="仿宋_GB2312" w:hAnsi="仿宋_GB2312" w:eastAsia="仿宋_GB2312"/>
          <w:b w:val="0"/>
          <w:sz w:val="32"/>
        </w:rPr>
        <w:t>1.社会保障和就业支出(类)138.49万元,占33.79%。</w:t>
      </w:r>
    </w:p>
    <w:p w14:paraId="51F3EFC0">
      <w:pPr>
        <w:spacing w:line="580" w:lineRule="exact"/>
        <w:ind w:firstLine="640"/>
        <w:jc w:val="both"/>
      </w:pPr>
      <w:r>
        <w:rPr>
          <w:rFonts w:ascii="仿宋_GB2312" w:hAnsi="仿宋_GB2312" w:eastAsia="仿宋_GB2312"/>
          <w:b w:val="0"/>
          <w:sz w:val="32"/>
        </w:rPr>
        <w:t>2.卫生健康支出(类)15.9万元,占3.88%。</w:t>
      </w:r>
    </w:p>
    <w:p w14:paraId="5792158D">
      <w:pPr>
        <w:spacing w:line="580" w:lineRule="exact"/>
        <w:ind w:firstLine="640"/>
        <w:jc w:val="both"/>
      </w:pPr>
      <w:r>
        <w:rPr>
          <w:rFonts w:ascii="仿宋_GB2312" w:hAnsi="仿宋_GB2312" w:eastAsia="仿宋_GB2312"/>
          <w:b w:val="0"/>
          <w:sz w:val="32"/>
        </w:rPr>
        <w:t>3.住房保障支出(类)25.29万元,占6.17%。</w:t>
      </w:r>
    </w:p>
    <w:p w14:paraId="031C4BBF">
      <w:pPr>
        <w:spacing w:line="580" w:lineRule="exact"/>
        <w:ind w:firstLine="640"/>
        <w:jc w:val="both"/>
      </w:pPr>
      <w:r>
        <w:rPr>
          <w:rFonts w:ascii="仿宋_GB2312" w:hAnsi="仿宋_GB2312" w:eastAsia="仿宋_GB2312"/>
          <w:b w:val="0"/>
          <w:sz w:val="32"/>
        </w:rPr>
        <w:t>4.粮油物资储备支出(类)230.19万元,占56.16%。</w:t>
      </w:r>
    </w:p>
    <w:p w14:paraId="016E67C7">
      <w:pPr>
        <w:spacing w:line="640" w:lineRule="exact"/>
        <w:ind w:firstLine="640"/>
        <w:jc w:val="both"/>
        <w:outlineLvl w:val="3"/>
      </w:pPr>
      <w:r>
        <w:rPr>
          <w:rFonts w:ascii="楷体_GB2312" w:hAnsi="楷体_GB2312" w:eastAsia="楷体_GB2312"/>
          <w:b/>
          <w:sz w:val="32"/>
        </w:rPr>
        <w:t>（三）一般公共预算财政拨款支出决算具体情况</w:t>
      </w:r>
    </w:p>
    <w:p w14:paraId="11957948">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1.社会保障和就业支出(类)行政事业单位养老支出(款)行政单位离退休(项):支出决算数为11.18万元，比上年决算增加1.98万元，增长21.52%,主要原因是：本年增加退休人员基础绩效奖，退休费支出增加。</w:t>
      </w:r>
    </w:p>
    <w:p w14:paraId="41A226F2">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2.社会保障和就业支出(类)行政事业单位养老支出(款)事业单位离退休(项):支出决算数为45.01万元，比上年决算增加10.07万元，增长28.82%,主要原因是：本年增加退休人员基础绩效奖，退休费支出增加。</w:t>
      </w:r>
    </w:p>
    <w:p w14:paraId="4FA3618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32.05万元，比上年决算增加1.64万元，增长5.39%,主要原因是：本年在职人员工资基数调增，养老缴费基数上涨，相应支出增加。</w:t>
      </w:r>
    </w:p>
    <w:p w14:paraId="3F537A1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4.社会保障和就业支出(类)行政事业单位养老支出(款)机关事业单位职业年金缴费支出(项):支出决算数为20.86万元，比上年决算增加9.67万元，增长86.42%,主要原因是：本年</w:t>
      </w:r>
      <w:r>
        <w:rPr>
          <w:rFonts w:hint="eastAsia" w:ascii="仿宋_GB2312" w:hAnsi="仿宋_GB2312" w:eastAsia="仿宋_GB2312"/>
          <w:b w:val="0"/>
          <w:sz w:val="32"/>
          <w:lang w:val="en-US" w:eastAsia="zh-CN"/>
        </w:rPr>
        <w:t>补缴以前年度退休人员的职业年金</w:t>
      </w:r>
      <w:r>
        <w:rPr>
          <w:rFonts w:ascii="仿宋_GB2312" w:hAnsi="仿宋_GB2312" w:eastAsia="仿宋_GB2312"/>
          <w:b w:val="0"/>
          <w:sz w:val="32"/>
        </w:rPr>
        <w:t>，职业年金缴费支出增加。</w:t>
      </w:r>
    </w:p>
    <w:p w14:paraId="0F916DC1">
      <w:pPr>
        <w:spacing w:line="580" w:lineRule="exact"/>
        <w:ind w:firstLine="640"/>
        <w:jc w:val="both"/>
      </w:pPr>
      <w:r>
        <w:rPr>
          <w:rFonts w:ascii="仿宋_GB2312" w:hAnsi="仿宋_GB2312" w:eastAsia="仿宋_GB2312"/>
          <w:b w:val="0"/>
          <w:sz w:val="32"/>
        </w:rPr>
        <w:t>5.社会保障和就业支出(类)抚恤(款)死亡抚恤(项):支出决算数为29.4万元，比上年决算增加4.33万元，增长17.27%,主要原因是：本年新增退休死亡人员较上年增加，死亡抚恤支出增加。</w:t>
      </w:r>
    </w:p>
    <w:p w14:paraId="4A959404">
      <w:pPr>
        <w:spacing w:line="580" w:lineRule="exact"/>
        <w:ind w:firstLine="640"/>
        <w:jc w:val="both"/>
      </w:pPr>
      <w:r>
        <w:rPr>
          <w:rFonts w:ascii="仿宋_GB2312" w:hAnsi="仿宋_GB2312" w:eastAsia="仿宋_GB2312"/>
          <w:b w:val="0"/>
          <w:sz w:val="32"/>
        </w:rPr>
        <w:t>6.卫生健康支出(类)行政事业单位医疗(款)行政单位医疗(项):支出决算数为3.32万元，比上年决算增加0.17万元，增长5.40%,主要原因是：本年在职人员工资基数调增，医疗缴费基数上涨，相应支出增加。</w:t>
      </w:r>
    </w:p>
    <w:p w14:paraId="39A6F6CD">
      <w:pPr>
        <w:spacing w:line="580" w:lineRule="exact"/>
        <w:ind w:firstLine="640"/>
        <w:jc w:val="both"/>
      </w:pPr>
      <w:r>
        <w:rPr>
          <w:rFonts w:ascii="仿宋_GB2312" w:hAnsi="仿宋_GB2312" w:eastAsia="仿宋_GB2312"/>
          <w:b w:val="0"/>
          <w:sz w:val="32"/>
        </w:rPr>
        <w:t>7.卫生健康支出(类)行政事业单位医疗(款)事业单位医疗(项):支出决算数为10.71万元，比上年决算增加0.53万元，增长5.21%,主要原因是：本年在职人员工资基数调增，医疗缴费基数上涨，相应支出增加。</w:t>
      </w:r>
    </w:p>
    <w:p w14:paraId="4A5B2E4C">
      <w:pPr>
        <w:spacing w:line="580" w:lineRule="exact"/>
        <w:ind w:firstLine="640"/>
        <w:jc w:val="both"/>
      </w:pPr>
      <w:r>
        <w:rPr>
          <w:rFonts w:ascii="仿宋_GB2312" w:hAnsi="仿宋_GB2312" w:eastAsia="仿宋_GB2312"/>
          <w:b w:val="0"/>
          <w:sz w:val="32"/>
        </w:rPr>
        <w:t>8.卫生健康支出(类)行政事业单位医疗(款)公务员医疗补助(项):支出决算数为1.42万元，比上年决算增加0.07万元，增长5.19%,主要原因是：本年在职人员工资基数调增，医疗缴费基数上涨，相应支出增加。</w:t>
      </w:r>
    </w:p>
    <w:p w14:paraId="10CC765C">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0.46万元，比上年决算减少1.14万元，下降71.25%,主要原因是：本年在职人员减少，导致其他行政事业单位医疗支出经费较上年减少。</w:t>
      </w:r>
    </w:p>
    <w:p w14:paraId="7714264E">
      <w:pPr>
        <w:spacing w:line="580" w:lineRule="exact"/>
        <w:ind w:firstLine="640"/>
        <w:jc w:val="both"/>
      </w:pPr>
      <w:r>
        <w:rPr>
          <w:rFonts w:ascii="仿宋_GB2312" w:hAnsi="仿宋_GB2312" w:eastAsia="仿宋_GB2312"/>
          <w:b w:val="0"/>
          <w:sz w:val="32"/>
        </w:rPr>
        <w:t>10.住房保障支出(类)住房改革支出(款)住房公积金(项):支出决算数为25.29万元，比上年决算增加3.14万元，增长14.18%,主要原因是：本年在职人员工资基数调增，公积金缴费基数上涨，相应支出增加。</w:t>
      </w:r>
    </w:p>
    <w:p w14:paraId="5A6EF0FF">
      <w:pPr>
        <w:spacing w:line="580" w:lineRule="exact"/>
        <w:ind w:firstLine="640"/>
        <w:jc w:val="both"/>
      </w:pPr>
      <w:r>
        <w:rPr>
          <w:rFonts w:ascii="仿宋_GB2312" w:hAnsi="仿宋_GB2312" w:eastAsia="仿宋_GB2312"/>
          <w:b w:val="0"/>
          <w:sz w:val="32"/>
        </w:rPr>
        <w:t>11.粮油物资储备支出(类)粮油物资事务(款)行政运行(项):支出决算数为60.64万元，比上年决算减少6.78万元，下降10.06%,主要原因是：本年在职人员减少，相应人员经费较上年减少。</w:t>
      </w:r>
    </w:p>
    <w:p w14:paraId="12B30896">
      <w:pPr>
        <w:spacing w:line="580" w:lineRule="exact"/>
        <w:ind w:firstLine="640"/>
        <w:jc w:val="both"/>
      </w:pPr>
      <w:r>
        <w:rPr>
          <w:rFonts w:ascii="仿宋_GB2312" w:hAnsi="仿宋_GB2312" w:eastAsia="仿宋_GB2312"/>
          <w:b w:val="0"/>
          <w:sz w:val="32"/>
        </w:rPr>
        <w:t>12.粮油物资储备支出(类)粮油物资事务(款)事业运行(项):支出决算数为169.55万元，比上年决算增加0.76万元，增长0.45%,主要原因是：本年在职人员工资调增，导致相关人员经费较上年有所增加。</w:t>
      </w:r>
    </w:p>
    <w:p w14:paraId="256FA604">
      <w:pPr>
        <w:spacing w:line="580" w:lineRule="exact"/>
        <w:ind w:firstLine="640"/>
        <w:jc w:val="both"/>
      </w:pPr>
      <w:r>
        <w:rPr>
          <w:rFonts w:ascii="仿宋_GB2312" w:hAnsi="仿宋_GB2312" w:eastAsia="仿宋_GB2312"/>
          <w:b w:val="0"/>
          <w:sz w:val="32"/>
        </w:rPr>
        <w:t>13.粮油物资储备支出(类)粮油储备(款)储备粮（油）库建设(项):支出决算数为0.00万元，比上年决算减少20.00万元，下降100.00%,主要原因是：本年未安排军供网点维修改造专项资金，相关支出减少。</w:t>
      </w:r>
    </w:p>
    <w:p w14:paraId="0E50FC3E">
      <w:pPr>
        <w:spacing w:line="640" w:lineRule="exact"/>
        <w:ind w:firstLine="640"/>
        <w:jc w:val="both"/>
        <w:outlineLvl w:val="2"/>
      </w:pPr>
      <w:r>
        <w:rPr>
          <w:rFonts w:ascii="黑体" w:hAnsi="黑体" w:eastAsia="黑体"/>
          <w:sz w:val="32"/>
        </w:rPr>
        <w:t>六、一般公共预算财政拨款基本支出决算情况说明</w:t>
      </w:r>
    </w:p>
    <w:p w14:paraId="7C98F68F">
      <w:pPr>
        <w:spacing w:line="580" w:lineRule="exact"/>
        <w:ind w:firstLine="640"/>
        <w:jc w:val="both"/>
      </w:pPr>
      <w:r>
        <w:rPr>
          <w:rFonts w:ascii="仿宋_GB2312" w:hAnsi="仿宋_GB2312" w:eastAsia="仿宋_GB2312"/>
          <w:b w:val="0"/>
          <w:sz w:val="32"/>
        </w:rPr>
        <w:t>2024年度一般公共预算财政拨款基本支出409.87万元，其中：</w:t>
      </w:r>
      <w:r>
        <w:rPr>
          <w:rFonts w:ascii="仿宋_GB2312" w:hAnsi="仿宋_GB2312" w:eastAsia="仿宋_GB2312"/>
          <w:b/>
          <w:sz w:val="32"/>
        </w:rPr>
        <w:t>人员经费401.57万元，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包括：基本工资、津贴补贴、奖金、伙食补助费、机关事业单位基本养老保险缴费、职业年金缴费、职工基本医疗保险缴费、公务员医疗补助缴费、其他社会保障缴费、住房公积金、退休费、抚恤金、奖励金。</w:t>
      </w:r>
    </w:p>
    <w:p w14:paraId="7C87881E">
      <w:pPr>
        <w:spacing w:line="580" w:lineRule="exact"/>
        <w:ind w:firstLine="640"/>
        <w:jc w:val="both"/>
      </w:pPr>
      <w:r>
        <w:rPr>
          <w:rFonts w:ascii="仿宋_GB2312" w:hAnsi="仿宋_GB2312" w:eastAsia="仿宋_GB2312"/>
          <w:b/>
          <w:sz w:val="32"/>
        </w:rPr>
        <w:t>公用经费8.29万元，</w:t>
      </w:r>
      <w:r>
        <w:rPr>
          <w:rFonts w:ascii="仿宋_GB2312" w:hAnsi="仿宋_GB2312" w:eastAsia="仿宋_GB2312"/>
          <w:b w:val="0"/>
          <w:sz w:val="32"/>
        </w:rPr>
        <w:t>包括：办公费、手续费、水费、电费、取暖费、差旅费、工会经费、福利费、公务用车运行维护费、其他商品和服务支出、办公设备购置。</w:t>
      </w:r>
    </w:p>
    <w:p w14:paraId="730FCC70">
      <w:pPr>
        <w:spacing w:line="640" w:lineRule="exact"/>
        <w:ind w:firstLine="640"/>
        <w:jc w:val="both"/>
        <w:outlineLvl w:val="2"/>
      </w:pPr>
      <w:r>
        <w:rPr>
          <w:rFonts w:ascii="黑体" w:hAnsi="黑体" w:eastAsia="黑体"/>
          <w:sz w:val="32"/>
        </w:rPr>
        <w:t>七、政府性基金预算财政拨款收入支出决算情况说明</w:t>
      </w:r>
    </w:p>
    <w:p w14:paraId="2108F97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5C9A630">
      <w:pPr>
        <w:spacing w:line="640" w:lineRule="exact"/>
        <w:ind w:firstLine="640"/>
        <w:jc w:val="both"/>
        <w:outlineLvl w:val="2"/>
      </w:pPr>
      <w:r>
        <w:rPr>
          <w:rFonts w:ascii="黑体" w:hAnsi="黑体" w:eastAsia="黑体"/>
          <w:sz w:val="32"/>
        </w:rPr>
        <w:t>八、国有资本经营预算财政拨款收入支出决算情况说明</w:t>
      </w:r>
    </w:p>
    <w:p w14:paraId="22E2273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A722CC">
      <w:pPr>
        <w:spacing w:line="640" w:lineRule="exact"/>
        <w:ind w:firstLine="640"/>
        <w:jc w:val="both"/>
        <w:outlineLvl w:val="2"/>
      </w:pPr>
      <w:r>
        <w:rPr>
          <w:rFonts w:ascii="黑体" w:hAnsi="黑体" w:eastAsia="黑体"/>
          <w:sz w:val="32"/>
        </w:rPr>
        <w:t>九、财政拨款“三公”经费支出决算情况说明</w:t>
      </w:r>
    </w:p>
    <w:p w14:paraId="52475F8C">
      <w:pPr>
        <w:spacing w:line="580" w:lineRule="exact"/>
        <w:ind w:firstLine="640"/>
        <w:jc w:val="both"/>
      </w:pPr>
      <w:r>
        <w:rPr>
          <w:rFonts w:ascii="仿宋_GB2312" w:hAnsi="仿宋_GB2312" w:eastAsia="仿宋_GB2312"/>
          <w:b/>
          <w:sz w:val="32"/>
        </w:rPr>
        <w:t>2024年度财政拨款“三公”经费支出2.73万元，</w:t>
      </w:r>
      <w:r>
        <w:rPr>
          <w:rFonts w:ascii="仿宋_GB2312" w:hAnsi="仿宋_GB2312" w:eastAsia="仿宋_GB2312"/>
          <w:b w:val="0"/>
          <w:sz w:val="32"/>
        </w:rPr>
        <w:t>比上年减少0.07万元，下降2.50%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2.73万元，占100.00%，比上年减少0.07万元，下降2.50%，主要原因是：严格落实中央八项规定精神，厉行节约，减少公务用车运行维护费。公务接待费支出0.00万元，占0.00%，比上年增加0.00万元，增长0.00%，主要原因是：2023年与2024年均未安排公务接待费支出。</w:t>
      </w:r>
    </w:p>
    <w:p w14:paraId="60D8CA2E">
      <w:pPr>
        <w:spacing w:line="580" w:lineRule="exact"/>
        <w:ind w:firstLine="640"/>
        <w:jc w:val="both"/>
      </w:pPr>
      <w:r>
        <w:rPr>
          <w:rFonts w:ascii="仿宋_GB2312" w:hAnsi="仿宋_GB2312" w:eastAsia="仿宋_GB2312"/>
          <w:b/>
          <w:sz w:val="32"/>
        </w:rPr>
        <w:t>具体情况如下：</w:t>
      </w:r>
    </w:p>
    <w:p w14:paraId="7EC5A0E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270D655">
      <w:pPr>
        <w:spacing w:line="580" w:lineRule="exact"/>
        <w:ind w:firstLine="640"/>
        <w:jc w:val="both"/>
      </w:pPr>
      <w:r>
        <w:rPr>
          <w:rFonts w:ascii="仿宋_GB2312" w:hAnsi="仿宋_GB2312" w:eastAsia="仿宋_GB2312"/>
          <w:b w:val="0"/>
          <w:sz w:val="32"/>
        </w:rPr>
        <w:t>公务用车购置及运行维护费2.73万元，其中：公务用车购置费0.00万元，公务用车运行维护费2.73万元。公务用车运行维护费开支内容包括公务车维修费、保险费</w:t>
      </w:r>
      <w:bookmarkStart w:id="0" w:name="_GoBack"/>
      <w:bookmarkEnd w:id="0"/>
      <w:r>
        <w:rPr>
          <w:rFonts w:ascii="仿宋_GB2312" w:hAnsi="仿宋_GB2312" w:eastAsia="仿宋_GB2312"/>
          <w:b w:val="0"/>
          <w:sz w:val="32"/>
        </w:rPr>
        <w:t>、审验费、燃油费。公务用车购置数0辆，公务用车保有量1辆。国有资产占用情况中固定资产车辆1辆，与公务用车保有量差异原因是：本单位固定资产车辆与公务用车保有量一致无差异。</w:t>
      </w:r>
    </w:p>
    <w:p w14:paraId="4A195F7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6CFA5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2.73万元，决算数2.73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2.73万元，决算数2.73万元，预决算差异率0.00%，主要原因是：严格按照预算执行，预决算无差异。公务接待费全年预算数0.00万元，决算数0.00万元，预决算差异率0.00%，主要原因是：本单位无公务接待费。</w:t>
      </w:r>
    </w:p>
    <w:p w14:paraId="568D15DB">
      <w:pPr>
        <w:spacing w:line="640" w:lineRule="exact"/>
        <w:ind w:firstLine="640"/>
        <w:jc w:val="both"/>
        <w:outlineLvl w:val="2"/>
      </w:pPr>
      <w:r>
        <w:rPr>
          <w:rFonts w:ascii="黑体" w:hAnsi="黑体" w:eastAsia="黑体"/>
          <w:sz w:val="32"/>
        </w:rPr>
        <w:t>十、其他重要事项的情况说明</w:t>
      </w:r>
    </w:p>
    <w:p w14:paraId="03654DD2">
      <w:pPr>
        <w:spacing w:line="640" w:lineRule="exact"/>
        <w:ind w:firstLine="640"/>
        <w:jc w:val="both"/>
        <w:outlineLvl w:val="3"/>
      </w:pPr>
      <w:r>
        <w:rPr>
          <w:rFonts w:ascii="楷体_GB2312" w:hAnsi="楷体_GB2312" w:eastAsia="楷体_GB2312"/>
          <w:b/>
          <w:sz w:val="32"/>
        </w:rPr>
        <w:t>（一）机关运行经费及公用经费支出情况</w:t>
      </w:r>
    </w:p>
    <w:p w14:paraId="6446E5CB">
      <w:pPr>
        <w:spacing w:line="580" w:lineRule="exact"/>
        <w:ind w:firstLine="640"/>
        <w:jc w:val="both"/>
      </w:pPr>
      <w:r>
        <w:rPr>
          <w:rFonts w:ascii="仿宋_GB2312" w:hAnsi="仿宋_GB2312" w:eastAsia="仿宋_GB2312"/>
          <w:b w:val="0"/>
          <w:sz w:val="32"/>
        </w:rPr>
        <w:t>2024年度新疆维吾尔自治区马兰地区粮食局（行政单位和参照公务员法管理事业单位）机关运行经费支出8.29万元，比上年减少0.52万元，下降5.90%，主要原因是：严格执行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，厉行节约，减少机关运行经费支出。</w:t>
      </w:r>
    </w:p>
    <w:p w14:paraId="5C9F76F1">
      <w:pPr>
        <w:spacing w:line="640" w:lineRule="exact"/>
        <w:ind w:firstLine="640"/>
        <w:jc w:val="both"/>
        <w:outlineLvl w:val="3"/>
      </w:pPr>
      <w:r>
        <w:rPr>
          <w:rFonts w:ascii="楷体_GB2312" w:hAnsi="楷体_GB2312" w:eastAsia="楷体_GB2312"/>
          <w:b/>
          <w:sz w:val="32"/>
        </w:rPr>
        <w:t>（二）政府采购情况</w:t>
      </w:r>
    </w:p>
    <w:p w14:paraId="7CBDE5E4">
      <w:pPr>
        <w:spacing w:line="580" w:lineRule="exact"/>
        <w:ind w:firstLine="640"/>
        <w:jc w:val="both"/>
      </w:pPr>
      <w:r>
        <w:rPr>
          <w:rFonts w:ascii="仿宋_GB2312" w:hAnsi="仿宋_GB2312" w:eastAsia="仿宋_GB2312"/>
          <w:b w:val="0"/>
          <w:sz w:val="32"/>
        </w:rPr>
        <w:t>2024年度政府采购支出总额1.62万元，其中：政府采购货物支出0.50万元、政府采购工程支出0.00万元、政府采购服务支出1.12万元。</w:t>
      </w:r>
    </w:p>
    <w:p w14:paraId="5139E86E">
      <w:pPr>
        <w:spacing w:line="580" w:lineRule="exact"/>
        <w:ind w:firstLine="640"/>
        <w:jc w:val="both"/>
      </w:pPr>
      <w:r>
        <w:rPr>
          <w:rFonts w:ascii="仿宋_GB2312" w:hAnsi="仿宋_GB2312" w:eastAsia="仿宋_GB2312"/>
          <w:b w:val="0"/>
          <w:sz w:val="32"/>
        </w:rPr>
        <w:t>授予中小企业合同金额0.90万元，占政府采购支出总额的55.56%，其中：授予小微企业合同金额0.90万元，占政府采购支出总额的55.56%。</w:t>
      </w:r>
    </w:p>
    <w:p w14:paraId="74A47799">
      <w:pPr>
        <w:spacing w:line="640" w:lineRule="exact"/>
        <w:ind w:firstLine="640"/>
        <w:jc w:val="both"/>
        <w:outlineLvl w:val="3"/>
      </w:pPr>
      <w:r>
        <w:rPr>
          <w:rFonts w:ascii="楷体_GB2312" w:hAnsi="楷体_GB2312" w:eastAsia="楷体_GB2312"/>
          <w:b/>
          <w:sz w:val="32"/>
        </w:rPr>
        <w:t>（三）国有资产占用情况说明</w:t>
      </w:r>
    </w:p>
    <w:p w14:paraId="65CA4ADE">
      <w:pPr>
        <w:spacing w:line="580" w:lineRule="exact"/>
        <w:ind w:firstLine="640"/>
        <w:jc w:val="both"/>
      </w:pPr>
      <w:r>
        <w:rPr>
          <w:rFonts w:ascii="仿宋_GB2312" w:hAnsi="仿宋_GB2312" w:eastAsia="仿宋_GB2312"/>
          <w:b w:val="0"/>
          <w:sz w:val="32"/>
        </w:rPr>
        <w:t>截至2024年12月31日，房屋2,676.60平方米，价值48.26万元。车辆1辆，价值31.72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6F2CBCB6">
      <w:pPr>
        <w:spacing w:line="640" w:lineRule="exact"/>
        <w:ind w:firstLine="640"/>
        <w:jc w:val="both"/>
        <w:outlineLvl w:val="2"/>
      </w:pPr>
      <w:r>
        <w:rPr>
          <w:rFonts w:ascii="黑体" w:hAnsi="黑体" w:eastAsia="黑体"/>
          <w:sz w:val="32"/>
        </w:rPr>
        <w:t>十一、预算绩效的情况说明</w:t>
      </w:r>
    </w:p>
    <w:p w14:paraId="0B3D2AAB">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2E87AFA3">
      <w:r>
        <w:br w:type="page"/>
      </w:r>
    </w:p>
    <w:p w14:paraId="56B7AB8D">
      <w:pPr>
        <w:spacing w:line="640" w:lineRule="exact"/>
        <w:ind w:firstLine="640"/>
        <w:jc w:val="both"/>
        <w:outlineLvl w:val="2"/>
      </w:pPr>
      <w:r>
        <w:rPr>
          <w:rFonts w:ascii="黑体" w:hAnsi="黑体" w:eastAsia="黑体"/>
          <w:sz w:val="32"/>
        </w:rPr>
        <w:t>十二、其他需说明的事项</w:t>
      </w:r>
    </w:p>
    <w:p w14:paraId="5B37675F">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5D7E257B">
      <w:r>
        <w:br w:type="page"/>
      </w:r>
    </w:p>
    <w:p w14:paraId="6B946CF2">
      <w:pPr>
        <w:spacing w:line="240" w:lineRule="auto"/>
        <w:jc w:val="center"/>
        <w:outlineLvl w:val="1"/>
      </w:pPr>
      <w:r>
        <w:rPr>
          <w:rFonts w:ascii="黑体" w:hAnsi="黑体" w:eastAsia="黑体"/>
          <w:sz w:val="32"/>
        </w:rPr>
        <w:t>第三部分 专业名词解释</w:t>
      </w:r>
    </w:p>
    <w:p w14:paraId="3287D87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6934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C4E3F5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9E0B5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C8478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74B93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9E72F0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DD7ED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9821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C3A066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AFFCF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E22C1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FF0BC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86215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E633F0C">
      <w:r>
        <w:br w:type="page"/>
      </w:r>
    </w:p>
    <w:p w14:paraId="5F0F10B2">
      <w:pPr>
        <w:spacing w:line="240" w:lineRule="auto"/>
        <w:jc w:val="center"/>
        <w:outlineLvl w:val="1"/>
      </w:pPr>
      <w:r>
        <w:rPr>
          <w:rFonts w:ascii="黑体" w:hAnsi="黑体" w:eastAsia="黑体"/>
          <w:sz w:val="32"/>
        </w:rPr>
        <w:t>第四部分 部门决算报表（见附表）</w:t>
      </w:r>
    </w:p>
    <w:p w14:paraId="21E8D260">
      <w:pPr>
        <w:spacing w:line="240" w:lineRule="auto"/>
        <w:ind w:firstLine="640"/>
        <w:jc w:val="both"/>
      </w:pPr>
      <w:r>
        <w:rPr>
          <w:rFonts w:ascii="仿宋_GB2312" w:hAnsi="仿宋_GB2312" w:eastAsia="仿宋_GB2312"/>
          <w:b w:val="0"/>
          <w:sz w:val="32"/>
        </w:rPr>
        <w:t>一、《收入支出决算总表》</w:t>
      </w:r>
    </w:p>
    <w:p w14:paraId="20BABA31">
      <w:pPr>
        <w:spacing w:line="240" w:lineRule="auto"/>
        <w:ind w:firstLine="640"/>
        <w:jc w:val="both"/>
      </w:pPr>
      <w:r>
        <w:rPr>
          <w:rFonts w:ascii="仿宋_GB2312" w:hAnsi="仿宋_GB2312" w:eastAsia="仿宋_GB2312"/>
          <w:b w:val="0"/>
          <w:sz w:val="32"/>
        </w:rPr>
        <w:t>二、《收入决算表》</w:t>
      </w:r>
    </w:p>
    <w:p w14:paraId="7C590D01">
      <w:pPr>
        <w:spacing w:line="240" w:lineRule="auto"/>
        <w:ind w:firstLine="640"/>
        <w:jc w:val="both"/>
      </w:pPr>
      <w:r>
        <w:rPr>
          <w:rFonts w:ascii="仿宋_GB2312" w:hAnsi="仿宋_GB2312" w:eastAsia="仿宋_GB2312"/>
          <w:b w:val="0"/>
          <w:sz w:val="32"/>
        </w:rPr>
        <w:t>三、《支出决算表》</w:t>
      </w:r>
    </w:p>
    <w:p w14:paraId="0E9DBA90">
      <w:pPr>
        <w:spacing w:line="240" w:lineRule="auto"/>
        <w:ind w:firstLine="640"/>
        <w:jc w:val="both"/>
      </w:pPr>
      <w:r>
        <w:rPr>
          <w:rFonts w:ascii="仿宋_GB2312" w:hAnsi="仿宋_GB2312" w:eastAsia="仿宋_GB2312"/>
          <w:b w:val="0"/>
          <w:sz w:val="32"/>
        </w:rPr>
        <w:t>四、《财政拨款收入支出决算总表》</w:t>
      </w:r>
    </w:p>
    <w:p w14:paraId="11A51513">
      <w:pPr>
        <w:spacing w:line="240" w:lineRule="auto"/>
        <w:ind w:firstLine="640"/>
        <w:jc w:val="both"/>
      </w:pPr>
      <w:r>
        <w:rPr>
          <w:rFonts w:ascii="仿宋_GB2312" w:hAnsi="仿宋_GB2312" w:eastAsia="仿宋_GB2312"/>
          <w:b w:val="0"/>
          <w:sz w:val="32"/>
        </w:rPr>
        <w:t>五、《一般公共预算财政拨款支出决算表》</w:t>
      </w:r>
    </w:p>
    <w:p w14:paraId="14E694CC">
      <w:pPr>
        <w:spacing w:line="240" w:lineRule="auto"/>
        <w:ind w:firstLine="640"/>
        <w:jc w:val="both"/>
      </w:pPr>
      <w:r>
        <w:rPr>
          <w:rFonts w:ascii="仿宋_GB2312" w:hAnsi="仿宋_GB2312" w:eastAsia="仿宋_GB2312"/>
          <w:b w:val="0"/>
          <w:sz w:val="32"/>
        </w:rPr>
        <w:t>六、《一般公共预算财政拨款基本支出决算表》</w:t>
      </w:r>
    </w:p>
    <w:p w14:paraId="3FEED434">
      <w:pPr>
        <w:spacing w:line="240" w:lineRule="auto"/>
        <w:ind w:firstLine="640"/>
        <w:jc w:val="both"/>
      </w:pPr>
      <w:r>
        <w:rPr>
          <w:rFonts w:ascii="仿宋_GB2312" w:hAnsi="仿宋_GB2312" w:eastAsia="仿宋_GB2312"/>
          <w:b w:val="0"/>
          <w:sz w:val="32"/>
        </w:rPr>
        <w:t>七、《政府性基金预算财政拨款收入支出决算表》</w:t>
      </w:r>
    </w:p>
    <w:p w14:paraId="122ED5D7">
      <w:pPr>
        <w:spacing w:line="240" w:lineRule="auto"/>
        <w:ind w:firstLine="640"/>
        <w:jc w:val="both"/>
      </w:pPr>
      <w:r>
        <w:rPr>
          <w:rFonts w:ascii="仿宋_GB2312" w:hAnsi="仿宋_GB2312" w:eastAsia="仿宋_GB2312"/>
          <w:b w:val="0"/>
          <w:sz w:val="32"/>
        </w:rPr>
        <w:t>八、《国有资本经营预算财政拨款收入支出决算表》</w:t>
      </w:r>
    </w:p>
    <w:p w14:paraId="3B9DBEB8">
      <w:pPr>
        <w:spacing w:line="240" w:lineRule="auto"/>
        <w:ind w:firstLine="640"/>
        <w:jc w:val="both"/>
      </w:pPr>
      <w:r>
        <w:rPr>
          <w:rFonts w:ascii="仿宋_GB2312" w:hAnsi="仿宋_GB2312" w:eastAsia="仿宋_GB2312"/>
          <w:b w:val="0"/>
          <w:sz w:val="32"/>
        </w:rPr>
        <w:t>九、《财政拨款“三公”经费支出决算表》</w:t>
      </w:r>
    </w:p>
    <w:p w14:paraId="6B69093C">
      <w:pPr>
        <w:spacing w:line="240" w:lineRule="auto"/>
        <w:ind w:firstLine="640"/>
        <w:jc w:val="both"/>
      </w:pPr>
    </w:p>
    <w:p w14:paraId="0E39BB91">
      <w:pPr>
        <w:spacing w:line="240" w:lineRule="auto"/>
        <w:ind w:firstLine="640"/>
        <w:jc w:val="both"/>
      </w:pPr>
    </w:p>
    <w:p w14:paraId="1B29C12A">
      <w:pPr>
        <w:spacing w:line="240" w:lineRule="auto"/>
        <w:ind w:firstLine="640"/>
        <w:jc w:val="both"/>
      </w:pPr>
    </w:p>
    <w:p w14:paraId="58957994">
      <w:pPr>
        <w:spacing w:line="240" w:lineRule="auto"/>
        <w:ind w:firstLine="640"/>
        <w:jc w:val="both"/>
      </w:pPr>
    </w:p>
    <w:p w14:paraId="118640E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02E89"/>
    <w:rsid w:val="20BC0B75"/>
    <w:rsid w:val="20DD6197"/>
    <w:rsid w:val="21F317F2"/>
    <w:rsid w:val="2241392C"/>
    <w:rsid w:val="23BC04D2"/>
    <w:rsid w:val="24C71474"/>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1734CF"/>
    <w:rsid w:val="3B1220C9"/>
    <w:rsid w:val="3D5275AC"/>
    <w:rsid w:val="3EA7725F"/>
    <w:rsid w:val="3EC014A1"/>
    <w:rsid w:val="40834692"/>
    <w:rsid w:val="423A32B2"/>
    <w:rsid w:val="423C0CB4"/>
    <w:rsid w:val="427B5743"/>
    <w:rsid w:val="42E64542"/>
    <w:rsid w:val="464B7E04"/>
    <w:rsid w:val="464F7E64"/>
    <w:rsid w:val="46901EEE"/>
    <w:rsid w:val="469C74D2"/>
    <w:rsid w:val="47445515"/>
    <w:rsid w:val="4A387440"/>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FD5689"/>
    <w:rsid w:val="73423603"/>
    <w:rsid w:val="737A5923"/>
    <w:rsid w:val="73DE4104"/>
    <w:rsid w:val="73FB6630"/>
    <w:rsid w:val="74CE04EC"/>
    <w:rsid w:val="74E76DCD"/>
    <w:rsid w:val="76660D7C"/>
    <w:rsid w:val="77ED6F44"/>
    <w:rsid w:val="795A0A34"/>
    <w:rsid w:val="7A0D3BC7"/>
    <w:rsid w:val="7A3A3CDB"/>
    <w:rsid w:val="7C0474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540</Words>
  <Characters>543</Characters>
  <Lines>0</Lines>
  <Paragraphs>0</Paragraphs>
  <TotalTime>8</TotalTime>
  <ScaleCrop>false</ScaleCrop>
  <LinksUpToDate>false</LinksUpToDate>
  <CharactersWithSpaces>549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2025-09-12T02:39:05Z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