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bidi w:val="0"/>
        <w:adjustRightInd/>
        <w:snapToGrid/>
        <w:spacing w:line="240" w:lineRule="auto"/>
        <w:textAlignment w:val="auto"/>
        <w:rPr>
          <w:rFonts w:hint="default" w:ascii="SimHei" w:hAnsi="SimHei" w:eastAsia="SimHei"/>
          <w:sz w:val="32"/>
          <w:szCs w:val="32"/>
          <w:highlight w:val="none"/>
          <w:lang w:val="en-US" w:eastAsia="zh-CN"/>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FZXiaoBiaoSong-B05" w:hAnsi="SimSun" w:eastAsia="FZXiaoBiaoSong-B05"/>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FZXiaoBiaoSong-B05" w:hAnsi="SimSun" w:eastAsia="FZXiaoBiaoSong-B05"/>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FZXiaoBiaoSong-B05" w:hAnsi="SimSun" w:eastAsia="FZXiaoBiaoSong-B05"/>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FZXiaoBiaoSong-B05" w:hAnsi="SimSun" w:eastAsia="FZXiaoBiaoSong-B05"/>
          <w:sz w:val="44"/>
          <w:szCs w:val="44"/>
          <w:highlight w:val="none"/>
        </w:rPr>
      </w:pPr>
    </w:p>
    <w:p>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FZXiaoBiaoSong-B05" w:hAnsi="SimSun" w:eastAsia="FZXiaoBiaoSong-B05"/>
          <w:sz w:val="44"/>
          <w:szCs w:val="44"/>
          <w:highlight w:val="none"/>
        </w:rPr>
      </w:pPr>
      <w:r>
        <w:rPr>
          <w:rFonts w:hint="eastAsia" w:ascii="FZXiaoBiaoSong-B05" w:hAnsi="SimSun" w:eastAsia="FZXiaoBiaoSong-B05"/>
          <w:sz w:val="44"/>
          <w:szCs w:val="44"/>
          <w:highlight w:val="none"/>
          <w:lang w:val="en-US" w:eastAsia="zh-CN"/>
        </w:rPr>
        <w:t>巴音郭楞蒙古自治州民族宗教事务局2024</w:t>
      </w:r>
      <w:r>
        <w:rPr>
          <w:rFonts w:hint="eastAsia" w:ascii="FZXiaoBiaoSong-B05" w:hAnsi="SimSun" w:eastAsia="FZXiaoBiaoSong-B05"/>
          <w:sz w:val="44"/>
          <w:szCs w:val="44"/>
          <w:highlight w:val="none"/>
          <w:lang w:eastAsia="zh-CN"/>
        </w:rPr>
        <w:t>年度</w:t>
      </w:r>
      <w:r>
        <w:rPr>
          <w:rFonts w:hint="eastAsia" w:ascii="FZXiaoBiaoSong-B05" w:hAnsi="SimSun" w:eastAsia="FZXiaoBiaoSong-B05"/>
          <w:sz w:val="44"/>
          <w:szCs w:val="44"/>
          <w:highlight w:val="none"/>
        </w:rPr>
        <w:t>部门决算公开说明</w:t>
      </w:r>
    </w:p>
    <w:p>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FZXiaoBiaoSong-B05" w:hAnsi="SimSun" w:eastAsia="FZXiaoBiaoSong-B05"/>
          <w:sz w:val="44"/>
          <w:szCs w:val="44"/>
          <w:highlight w:val="none"/>
        </w:rPr>
        <w:br w:type="page"/>
      </w:r>
      <w:r>
        <w:rPr>
          <w:rFonts w:hint="eastAsia" w:ascii="仿宋_GB2312" w:hAnsi="仿宋_GB2312" w:eastAsia="仿宋_GB2312" w:cs="仿宋_GB2312"/>
          <w:b/>
          <w:bCs w:val="0"/>
          <w:kern w:val="0"/>
          <w:sz w:val="36"/>
          <w:szCs w:val="36"/>
          <w:highlight w:val="none"/>
        </w:rPr>
        <w:t>目  录</w:t>
      </w:r>
    </w:p>
    <w:p>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部门概况</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r>
        <w:br w:type="page"/>
      </w:r>
    </w:p>
    <w:p>
      <w:pPr>
        <w:spacing w:line="640" w:lineRule="exact"/>
        <w:jc w:val="center"/>
        <w:outlineLvl w:val="1"/>
      </w:pPr>
      <w:r>
        <w:rPr>
          <w:rFonts w:ascii="SimHei" w:hAnsi="SimHei" w:eastAsia="SimHei"/>
          <w:sz w:val="32"/>
        </w:rPr>
        <w:t>第一部分 部门概况</w:t>
      </w:r>
    </w:p>
    <w:p>
      <w:pPr>
        <w:spacing w:line="640" w:lineRule="exact"/>
        <w:ind w:firstLine="640"/>
        <w:jc w:val="both"/>
        <w:outlineLvl w:val="2"/>
      </w:pPr>
      <w:r>
        <w:rPr>
          <w:rFonts w:ascii="SimHei" w:hAnsi="SimHei" w:eastAsia="SimHei"/>
          <w:sz w:val="32"/>
        </w:rPr>
        <w:t>一、主要职能</w:t>
      </w:r>
    </w:p>
    <w:p>
      <w:pPr>
        <w:spacing w:line="580" w:lineRule="exact"/>
        <w:ind w:firstLine="640"/>
        <w:jc w:val="both"/>
      </w:pPr>
      <w:r>
        <w:rPr>
          <w:rFonts w:ascii="仿宋_GB2312" w:hAnsi="仿宋_GB2312" w:eastAsia="仿宋_GB2312"/>
          <w:sz w:val="32"/>
        </w:rPr>
        <w:t>1.贯彻落实党中央、国务院和自治区自治州党委、自治区自治州人民政府关于民族</w:t>
      </w:r>
      <w:r>
        <w:rPr>
          <w:rFonts w:hint="eastAsia" w:ascii="仿宋_GB2312" w:hAnsi="仿宋_GB2312" w:eastAsia="仿宋_GB2312"/>
          <w:sz w:val="32"/>
          <w:lang w:val="en-US" w:eastAsia="zh-CN"/>
        </w:rPr>
        <w:t>ZJ</w:t>
      </w:r>
      <w:r>
        <w:rPr>
          <w:rFonts w:ascii="仿宋_GB2312" w:hAnsi="仿宋_GB2312" w:eastAsia="仿宋_GB2312"/>
          <w:sz w:val="32"/>
        </w:rPr>
        <w:t>工作的方针政策和决策部署。</w:t>
      </w:r>
    </w:p>
    <w:p>
      <w:pPr>
        <w:spacing w:line="580" w:lineRule="exact"/>
        <w:ind w:firstLine="640"/>
        <w:jc w:val="both"/>
      </w:pPr>
      <w:r>
        <w:rPr>
          <w:rFonts w:ascii="仿宋_GB2312" w:hAnsi="仿宋_GB2312" w:eastAsia="仿宋_GB2312"/>
          <w:sz w:val="32"/>
        </w:rPr>
        <w:t>2.组织开展民族宗教理论、民族</w:t>
      </w:r>
      <w:r>
        <w:rPr>
          <w:rFonts w:hint="eastAsia" w:ascii="仿宋_GB2312" w:hAnsi="仿宋_GB2312" w:eastAsia="仿宋_GB2312"/>
          <w:sz w:val="32"/>
          <w:lang w:eastAsia="zh-CN"/>
        </w:rPr>
        <w:t>ZJ</w:t>
      </w:r>
      <w:r>
        <w:rPr>
          <w:rFonts w:ascii="仿宋_GB2312" w:hAnsi="仿宋_GB2312" w:eastAsia="仿宋_GB2312"/>
          <w:sz w:val="32"/>
        </w:rPr>
        <w:t>政策的宣传教育；组织开展民族</w:t>
      </w:r>
      <w:r>
        <w:rPr>
          <w:rFonts w:hint="eastAsia" w:ascii="仿宋_GB2312" w:hAnsi="仿宋_GB2312" w:eastAsia="仿宋_GB2312"/>
          <w:sz w:val="32"/>
          <w:lang w:eastAsia="zh-CN"/>
        </w:rPr>
        <w:t>ZJ</w:t>
      </w:r>
      <w:r>
        <w:rPr>
          <w:rFonts w:ascii="仿宋_GB2312" w:hAnsi="仿宋_GB2312" w:eastAsia="仿宋_GB2312"/>
          <w:sz w:val="32"/>
        </w:rPr>
        <w:t>工作调查研究；研究并提出自治州民族</w:t>
      </w:r>
      <w:r>
        <w:rPr>
          <w:rFonts w:hint="eastAsia" w:ascii="仿宋_GB2312" w:hAnsi="仿宋_GB2312" w:eastAsia="仿宋_GB2312"/>
          <w:sz w:val="32"/>
          <w:lang w:eastAsia="zh-CN"/>
        </w:rPr>
        <w:t>ZJ</w:t>
      </w:r>
      <w:r>
        <w:rPr>
          <w:rFonts w:ascii="仿宋_GB2312" w:hAnsi="仿宋_GB2312" w:eastAsia="仿宋_GB2312"/>
          <w:sz w:val="32"/>
        </w:rPr>
        <w:t>工作政策，依法管理民族</w:t>
      </w:r>
      <w:r>
        <w:rPr>
          <w:rFonts w:hint="eastAsia" w:ascii="仿宋_GB2312" w:hAnsi="仿宋_GB2312" w:eastAsia="仿宋_GB2312"/>
          <w:sz w:val="32"/>
          <w:lang w:eastAsia="zh-CN"/>
        </w:rPr>
        <w:t>ZJ</w:t>
      </w:r>
      <w:r>
        <w:rPr>
          <w:rFonts w:ascii="仿宋_GB2312" w:hAnsi="仿宋_GB2312" w:eastAsia="仿宋_GB2312"/>
          <w:sz w:val="32"/>
        </w:rPr>
        <w:t>事务。</w:t>
      </w:r>
    </w:p>
    <w:p>
      <w:pPr>
        <w:spacing w:line="580" w:lineRule="exact"/>
        <w:ind w:firstLine="640"/>
        <w:jc w:val="both"/>
      </w:pPr>
      <w:r>
        <w:rPr>
          <w:rFonts w:ascii="仿宋_GB2312" w:hAnsi="仿宋_GB2312" w:eastAsia="仿宋_GB2312"/>
          <w:sz w:val="32"/>
        </w:rPr>
        <w:t>3.完成自治州党委、自治州人民政府交办的其他任务。</w:t>
      </w:r>
    </w:p>
    <w:p>
      <w:pPr>
        <w:spacing w:line="640" w:lineRule="exact"/>
        <w:ind w:firstLine="640"/>
        <w:jc w:val="both"/>
        <w:outlineLvl w:val="2"/>
      </w:pPr>
      <w:r>
        <w:rPr>
          <w:rFonts w:ascii="SimHei" w:hAnsi="SimHei" w:eastAsia="SimHei"/>
          <w:sz w:val="32"/>
        </w:rPr>
        <w:t>二、机构设置及人员情况</w:t>
      </w:r>
    </w:p>
    <w:p>
      <w:pPr>
        <w:spacing w:line="580" w:lineRule="exact"/>
        <w:ind w:firstLine="640"/>
        <w:jc w:val="both"/>
      </w:pPr>
      <w:r>
        <w:rPr>
          <w:rFonts w:ascii="仿宋_GB2312" w:hAnsi="仿宋_GB2312" w:eastAsia="仿宋_GB2312"/>
          <w:sz w:val="32"/>
        </w:rPr>
        <w:t>巴音郭楞蒙古自治州民族宗教事务局2024年度，实有人数42人，其中：在职人员18人，减少11人；离休人员0人，增加0人；退休人员24人,增加0人。</w:t>
      </w:r>
    </w:p>
    <w:p>
      <w:pPr>
        <w:spacing w:line="580" w:lineRule="exact"/>
        <w:ind w:firstLine="640"/>
        <w:jc w:val="both"/>
      </w:pPr>
      <w:r>
        <w:rPr>
          <w:rFonts w:ascii="仿宋_GB2312" w:hAnsi="仿宋_GB2312" w:eastAsia="仿宋_GB2312"/>
          <w:sz w:val="32"/>
        </w:rPr>
        <w:t>巴音郭楞蒙古自治州民族宗教事务局无下属预算单位，下设4个科室，分别是：办公室、民族团结促进科、共同发展科、州民族团结进步促进中心。</w:t>
      </w:r>
    </w:p>
    <w:p>
      <w:r>
        <w:br w:type="page"/>
      </w:r>
    </w:p>
    <w:p>
      <w:pPr>
        <w:spacing w:line="240" w:lineRule="auto"/>
        <w:jc w:val="center"/>
        <w:outlineLvl w:val="1"/>
      </w:pPr>
      <w:r>
        <w:rPr>
          <w:rFonts w:ascii="SimHei" w:hAnsi="SimHei" w:eastAsia="SimHei"/>
          <w:sz w:val="32"/>
        </w:rPr>
        <w:t>第二部分 部门决算情况说明</w:t>
      </w:r>
    </w:p>
    <w:p>
      <w:pPr>
        <w:spacing w:line="640" w:lineRule="exact"/>
        <w:ind w:firstLine="640"/>
        <w:jc w:val="both"/>
        <w:outlineLvl w:val="2"/>
      </w:pPr>
      <w:r>
        <w:rPr>
          <w:rFonts w:ascii="SimHei" w:hAnsi="SimHei" w:eastAsia="SimHei"/>
          <w:sz w:val="32"/>
        </w:rPr>
        <w:t>一、收入支出决算总体情况说明</w:t>
      </w:r>
    </w:p>
    <w:p>
      <w:pPr>
        <w:spacing w:line="580" w:lineRule="exact"/>
        <w:ind w:firstLine="640"/>
        <w:jc w:val="both"/>
      </w:pPr>
      <w:r>
        <w:rPr>
          <w:rFonts w:ascii="仿宋_GB2312" w:hAnsi="仿宋_GB2312" w:eastAsia="仿宋_GB2312"/>
          <w:b/>
          <w:sz w:val="32"/>
        </w:rPr>
        <w:t>2024年度收入总计620.60万元，</w:t>
      </w:r>
      <w:r>
        <w:rPr>
          <w:rFonts w:ascii="仿宋_GB2312" w:hAnsi="仿宋_GB2312" w:eastAsia="仿宋_GB2312"/>
          <w:b w:val="0"/>
          <w:sz w:val="32"/>
        </w:rPr>
        <w:t>其中：本年收入合计575.85万元，使用非财政拨款结余（含专用结余）0.00万元，年初结转和结余44.75万元。</w:t>
      </w:r>
    </w:p>
    <w:p>
      <w:pPr>
        <w:spacing w:line="580" w:lineRule="exact"/>
        <w:ind w:firstLine="640"/>
        <w:jc w:val="both"/>
      </w:pPr>
      <w:r>
        <w:rPr>
          <w:rFonts w:ascii="仿宋_GB2312" w:hAnsi="仿宋_GB2312" w:eastAsia="仿宋_GB2312"/>
          <w:b/>
          <w:sz w:val="32"/>
        </w:rPr>
        <w:t>2024年度支出总计620.60万元，</w:t>
      </w:r>
      <w:r>
        <w:rPr>
          <w:rFonts w:ascii="仿宋_GB2312" w:hAnsi="仿宋_GB2312" w:eastAsia="仿宋_GB2312"/>
          <w:b w:val="0"/>
          <w:sz w:val="32"/>
        </w:rPr>
        <w:t>其中：本年支出合计557.85万元，结余分配0.00万元，年末结转和结余62.75万元。</w:t>
      </w:r>
    </w:p>
    <w:p>
      <w:pPr>
        <w:spacing w:line="580" w:lineRule="exact"/>
        <w:ind w:firstLine="640"/>
        <w:jc w:val="both"/>
      </w:pPr>
      <w:r>
        <w:rPr>
          <w:rFonts w:ascii="仿宋_GB2312" w:hAnsi="仿宋_GB2312" w:eastAsia="仿宋_GB2312"/>
          <w:b w:val="0"/>
          <w:sz w:val="32"/>
        </w:rPr>
        <w:t>收入支出总体与上年相比，减少87.16万元，下降12.31%，主要原因是：本年单位机构改革，部分人员及职能转隶至中共</w:t>
      </w:r>
      <w:r>
        <w:rPr>
          <w:rFonts w:hint="eastAsia" w:ascii="仿宋_GB2312" w:hAnsi="仿宋_GB2312" w:eastAsia="仿宋_GB2312"/>
          <w:b w:val="0"/>
          <w:sz w:val="32"/>
          <w:lang w:eastAsia="zh-CN"/>
        </w:rPr>
        <w:t>巴音郭楞</w:t>
      </w:r>
      <w:r>
        <w:rPr>
          <w:rFonts w:ascii="仿宋_GB2312" w:hAnsi="仿宋_GB2312" w:eastAsia="仿宋_GB2312"/>
          <w:b w:val="0"/>
          <w:sz w:val="32"/>
        </w:rPr>
        <w:t>蒙古自治州委员会统一战线工作部，人员经费及民族</w:t>
      </w:r>
      <w:r>
        <w:rPr>
          <w:rFonts w:hint="eastAsia" w:ascii="仿宋_GB2312" w:hAnsi="仿宋_GB2312" w:eastAsia="仿宋_GB2312"/>
          <w:b w:val="0"/>
          <w:sz w:val="32"/>
          <w:lang w:eastAsia="zh-CN"/>
        </w:rPr>
        <w:t>ZJ</w:t>
      </w:r>
      <w:r>
        <w:rPr>
          <w:rFonts w:ascii="仿宋_GB2312" w:hAnsi="仿宋_GB2312" w:eastAsia="仿宋_GB2312"/>
          <w:b w:val="0"/>
          <w:sz w:val="32"/>
        </w:rPr>
        <w:t>工作项目较上年减少。</w:t>
      </w:r>
    </w:p>
    <w:p>
      <w:pPr>
        <w:spacing w:line="640" w:lineRule="exact"/>
        <w:ind w:firstLine="640"/>
        <w:jc w:val="both"/>
        <w:outlineLvl w:val="2"/>
      </w:pPr>
      <w:r>
        <w:rPr>
          <w:rFonts w:ascii="SimHei" w:hAnsi="SimHei" w:eastAsia="SimHei"/>
          <w:sz w:val="32"/>
        </w:rPr>
        <w:t>二、收入决算情况说明</w:t>
      </w:r>
    </w:p>
    <w:p>
      <w:pPr>
        <w:spacing w:line="580" w:lineRule="exact"/>
        <w:ind w:firstLine="640"/>
        <w:jc w:val="both"/>
      </w:pPr>
      <w:r>
        <w:rPr>
          <w:rFonts w:ascii="仿宋_GB2312" w:hAnsi="仿宋_GB2312" w:eastAsia="仿宋_GB2312"/>
          <w:b/>
          <w:sz w:val="32"/>
        </w:rPr>
        <w:t>本年收入575.85万元，</w:t>
      </w:r>
      <w:r>
        <w:rPr>
          <w:rFonts w:ascii="仿宋_GB2312" w:hAnsi="仿宋_GB2312" w:eastAsia="仿宋_GB2312"/>
          <w:b w:val="0"/>
          <w:sz w:val="32"/>
        </w:rPr>
        <w:t>其中：财政拨款收入555.85万元，占96.53%；上级补助收入0.00万元，占0.00%；事业收入0.00万元，占0.00%；经营收入0.00万元，占0.00%；附属单位上缴收入0.00万元，占0.00%；其他收入20.00万元，占3.47%。</w:t>
      </w:r>
    </w:p>
    <w:p>
      <w:pPr>
        <w:spacing w:line="640" w:lineRule="exact"/>
        <w:ind w:firstLine="640"/>
        <w:jc w:val="both"/>
        <w:outlineLvl w:val="2"/>
      </w:pPr>
      <w:r>
        <w:rPr>
          <w:rFonts w:ascii="SimHei" w:hAnsi="SimHei" w:eastAsia="SimHei"/>
          <w:sz w:val="32"/>
        </w:rPr>
        <w:t>三、支出决算情况说明</w:t>
      </w:r>
    </w:p>
    <w:p>
      <w:pPr>
        <w:spacing w:line="580" w:lineRule="exact"/>
        <w:ind w:firstLine="640"/>
        <w:jc w:val="both"/>
      </w:pPr>
      <w:r>
        <w:rPr>
          <w:rFonts w:ascii="仿宋_GB2312" w:hAnsi="仿宋_GB2312" w:eastAsia="仿宋_GB2312"/>
          <w:b/>
          <w:sz w:val="32"/>
        </w:rPr>
        <w:t>本年支出557.85万元，</w:t>
      </w:r>
      <w:r>
        <w:rPr>
          <w:rFonts w:ascii="仿宋_GB2312" w:hAnsi="仿宋_GB2312" w:eastAsia="仿宋_GB2312"/>
          <w:b w:val="0"/>
          <w:sz w:val="32"/>
        </w:rPr>
        <w:t>其中：基本支出481.06万元，占86.23%；项目支出76.79万元，占13.77%；上缴上级支出0.00万元，占0.00%；经营支出0.00万元，占0.00%；对附属单位补助支出0.00万元，占0.00%。</w:t>
      </w:r>
    </w:p>
    <w:p>
      <w:pPr>
        <w:spacing w:line="640" w:lineRule="exact"/>
        <w:ind w:firstLine="640"/>
        <w:jc w:val="both"/>
        <w:outlineLvl w:val="2"/>
      </w:pPr>
      <w:r>
        <w:rPr>
          <w:rFonts w:ascii="SimHei" w:hAnsi="SimHei" w:eastAsia="SimHei"/>
          <w:sz w:val="32"/>
        </w:rPr>
        <w:t>四、财政拨款收入支出决算总体情况说明</w:t>
      </w:r>
    </w:p>
    <w:p>
      <w:pPr>
        <w:spacing w:line="580" w:lineRule="exact"/>
        <w:ind w:firstLine="640"/>
        <w:jc w:val="both"/>
      </w:pPr>
      <w:r>
        <w:rPr>
          <w:rFonts w:ascii="仿宋_GB2312" w:hAnsi="仿宋_GB2312" w:eastAsia="仿宋_GB2312"/>
          <w:b/>
          <w:sz w:val="32"/>
        </w:rPr>
        <w:t>2024年度财政拨款收入总计555.85万元，</w:t>
      </w:r>
      <w:r>
        <w:rPr>
          <w:rFonts w:ascii="仿宋_GB2312" w:hAnsi="仿宋_GB2312" w:eastAsia="仿宋_GB2312"/>
          <w:b w:val="0"/>
          <w:sz w:val="32"/>
        </w:rPr>
        <w:t>其中：年初财政拨款结转和结余0.00万元，本年财政拨款收入555.85万元。</w:t>
      </w:r>
      <w:r>
        <w:rPr>
          <w:rFonts w:ascii="仿宋_GB2312" w:hAnsi="仿宋_GB2312" w:eastAsia="仿宋_GB2312"/>
          <w:b/>
          <w:sz w:val="32"/>
        </w:rPr>
        <w:t>财政拨款支出总计555.85万元，</w:t>
      </w:r>
      <w:r>
        <w:rPr>
          <w:rFonts w:ascii="仿宋_GB2312" w:hAnsi="仿宋_GB2312" w:eastAsia="仿宋_GB2312"/>
          <w:b w:val="0"/>
          <w:sz w:val="32"/>
        </w:rPr>
        <w:t>其中：年末财政拨款结转和结余0.00万元，本年财政拨款支出555.85万元。</w:t>
      </w:r>
    </w:p>
    <w:p>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减少89.49万元，下降13.87%，主要原因是：本年单位机构改革，部分人员及职能转隶至中共</w:t>
      </w:r>
      <w:r>
        <w:rPr>
          <w:rFonts w:hint="eastAsia" w:ascii="仿宋_GB2312" w:hAnsi="仿宋_GB2312" w:eastAsia="仿宋_GB2312"/>
          <w:b w:val="0"/>
          <w:sz w:val="32"/>
          <w:lang w:eastAsia="zh-CN"/>
        </w:rPr>
        <w:t>巴音郭楞</w:t>
      </w:r>
      <w:r>
        <w:rPr>
          <w:rFonts w:ascii="仿宋_GB2312" w:hAnsi="仿宋_GB2312" w:eastAsia="仿宋_GB2312"/>
          <w:b w:val="0"/>
          <w:sz w:val="32"/>
        </w:rPr>
        <w:t>蒙古自治州委员会统一战线工作部，人员经费及民族</w:t>
      </w:r>
      <w:r>
        <w:rPr>
          <w:rFonts w:hint="eastAsia" w:ascii="仿宋_GB2312" w:hAnsi="仿宋_GB2312" w:eastAsia="仿宋_GB2312"/>
          <w:b w:val="0"/>
          <w:sz w:val="32"/>
          <w:lang w:eastAsia="zh-CN"/>
        </w:rPr>
        <w:t>ZJ</w:t>
      </w:r>
      <w:r>
        <w:rPr>
          <w:rFonts w:ascii="仿宋_GB2312" w:hAnsi="仿宋_GB2312" w:eastAsia="仿宋_GB2312"/>
          <w:b w:val="0"/>
          <w:sz w:val="32"/>
        </w:rPr>
        <w:t>工作项目较上年减少。</w:t>
      </w:r>
      <w:r>
        <w:rPr>
          <w:rFonts w:ascii="仿宋_GB2312" w:hAnsi="仿宋_GB2312" w:eastAsia="仿宋_GB2312"/>
          <w:b/>
          <w:sz w:val="32"/>
        </w:rPr>
        <w:t>与年初预算相比，</w:t>
      </w:r>
      <w:r>
        <w:rPr>
          <w:rFonts w:ascii="仿宋_GB2312" w:hAnsi="仿宋_GB2312" w:eastAsia="仿宋_GB2312"/>
          <w:b w:val="0"/>
          <w:sz w:val="32"/>
        </w:rPr>
        <w:t>年初预算数636.82万元，决算数555.85万元，预决算差异率-12.71%，主要原因是：本年在职人员减少，年中调减人员经费，导致预决算存在差异。</w:t>
      </w:r>
    </w:p>
    <w:p>
      <w:pPr>
        <w:spacing w:line="640" w:lineRule="exact"/>
        <w:ind w:firstLine="640"/>
        <w:jc w:val="both"/>
        <w:outlineLvl w:val="2"/>
      </w:pPr>
      <w:r>
        <w:rPr>
          <w:rFonts w:ascii="SimHei" w:hAnsi="SimHei" w:eastAsia="SimHei"/>
          <w:sz w:val="32"/>
        </w:rPr>
        <w:t>五、一般公共预算财政拨款支出决算情况说明</w:t>
      </w:r>
    </w:p>
    <w:p>
      <w:pPr>
        <w:spacing w:line="640" w:lineRule="exact"/>
        <w:ind w:firstLine="640"/>
        <w:jc w:val="both"/>
        <w:outlineLvl w:val="3"/>
      </w:pPr>
      <w:r>
        <w:rPr>
          <w:rFonts w:ascii="楷体_GB2312" w:hAnsi="楷体_GB2312" w:eastAsia="楷体_GB2312"/>
          <w:b/>
          <w:sz w:val="32"/>
        </w:rPr>
        <w:t>（一）一般公共预算财政拨款支出决算总体情况</w:t>
      </w:r>
    </w:p>
    <w:p>
      <w:pPr>
        <w:spacing w:line="580" w:lineRule="exact"/>
        <w:ind w:firstLine="640"/>
        <w:jc w:val="both"/>
      </w:pPr>
      <w:r>
        <w:rPr>
          <w:rFonts w:ascii="仿宋_GB2312" w:hAnsi="仿宋_GB2312" w:eastAsia="仿宋_GB2312"/>
          <w:b/>
          <w:sz w:val="32"/>
        </w:rPr>
        <w:t>2024年度一般公共预算财政拨款支出555.85万元，</w:t>
      </w:r>
      <w:r>
        <w:rPr>
          <w:rFonts w:ascii="仿宋_GB2312" w:hAnsi="仿宋_GB2312" w:eastAsia="仿宋_GB2312"/>
          <w:b w:val="0"/>
          <w:sz w:val="32"/>
        </w:rPr>
        <w:t>占本年支出合计的99.64%。</w:t>
      </w:r>
      <w:r>
        <w:rPr>
          <w:rFonts w:ascii="仿宋_GB2312" w:hAnsi="仿宋_GB2312" w:eastAsia="仿宋_GB2312"/>
          <w:b/>
          <w:sz w:val="32"/>
        </w:rPr>
        <w:t>与上年相比，</w:t>
      </w:r>
      <w:r>
        <w:rPr>
          <w:rFonts w:ascii="仿宋_GB2312" w:hAnsi="仿宋_GB2312" w:eastAsia="仿宋_GB2312"/>
          <w:b w:val="0"/>
          <w:sz w:val="32"/>
        </w:rPr>
        <w:t>减少89.49万元，下降13.87%，主要原因是：本年单位机构改革，部分人员及职能转隶至中共</w:t>
      </w:r>
      <w:r>
        <w:rPr>
          <w:rFonts w:hint="eastAsia" w:ascii="仿宋_GB2312" w:hAnsi="仿宋_GB2312" w:eastAsia="仿宋_GB2312"/>
          <w:b w:val="0"/>
          <w:sz w:val="32"/>
          <w:lang w:eastAsia="zh-CN"/>
        </w:rPr>
        <w:t>巴音郭楞</w:t>
      </w:r>
      <w:r>
        <w:rPr>
          <w:rFonts w:ascii="仿宋_GB2312" w:hAnsi="仿宋_GB2312" w:eastAsia="仿宋_GB2312"/>
          <w:b w:val="0"/>
          <w:sz w:val="32"/>
        </w:rPr>
        <w:t>蒙古自治州委员会统一战线工作部，人员经费及民族</w:t>
      </w:r>
      <w:r>
        <w:rPr>
          <w:rFonts w:hint="eastAsia" w:ascii="仿宋_GB2312" w:hAnsi="仿宋_GB2312" w:eastAsia="仿宋_GB2312"/>
          <w:b w:val="0"/>
          <w:sz w:val="32"/>
          <w:lang w:eastAsia="zh-CN"/>
        </w:rPr>
        <w:t>ZJ</w:t>
      </w:r>
      <w:r>
        <w:rPr>
          <w:rFonts w:ascii="仿宋_GB2312" w:hAnsi="仿宋_GB2312" w:eastAsia="仿宋_GB2312"/>
          <w:b w:val="0"/>
          <w:sz w:val="32"/>
        </w:rPr>
        <w:t>工作项目较上年减少。</w:t>
      </w:r>
      <w:r>
        <w:rPr>
          <w:rFonts w:ascii="仿宋_GB2312" w:hAnsi="仿宋_GB2312" w:eastAsia="仿宋_GB2312"/>
          <w:b/>
          <w:sz w:val="32"/>
        </w:rPr>
        <w:t>与年初预算相比,</w:t>
      </w:r>
      <w:r>
        <w:rPr>
          <w:rFonts w:ascii="仿宋_GB2312" w:hAnsi="仿宋_GB2312" w:eastAsia="仿宋_GB2312"/>
          <w:b w:val="0"/>
          <w:sz w:val="32"/>
        </w:rPr>
        <w:t>年初预算数636.82万元，决算数555.85万元，预决算差异率-12.71%，主要原因是：本年在职人员减少，年中调减人员经费，导致预决算存在差异。</w:t>
      </w:r>
    </w:p>
    <w:p>
      <w:pPr>
        <w:spacing w:line="640" w:lineRule="exact"/>
        <w:ind w:firstLine="640"/>
        <w:jc w:val="both"/>
        <w:outlineLvl w:val="3"/>
      </w:pPr>
      <w:r>
        <w:rPr>
          <w:rFonts w:ascii="楷体_GB2312" w:hAnsi="楷体_GB2312" w:eastAsia="楷体_GB2312"/>
          <w:b/>
          <w:sz w:val="32"/>
        </w:rPr>
        <w:t>（二）一般公共预算财政拨款支出决算结构情况</w:t>
      </w:r>
    </w:p>
    <w:p>
      <w:pPr>
        <w:spacing w:line="580" w:lineRule="exact"/>
        <w:ind w:firstLine="640"/>
        <w:jc w:val="both"/>
      </w:pPr>
      <w:r>
        <w:rPr>
          <w:rFonts w:ascii="仿宋_GB2312" w:hAnsi="仿宋_GB2312" w:eastAsia="仿宋_GB2312"/>
          <w:b w:val="0"/>
          <w:sz w:val="32"/>
        </w:rPr>
        <w:t>1.一般公共服务支出(类)413.96万元,占74.47%。</w:t>
      </w:r>
    </w:p>
    <w:p>
      <w:pPr>
        <w:spacing w:line="580" w:lineRule="exact"/>
        <w:ind w:firstLine="640"/>
        <w:jc w:val="both"/>
      </w:pPr>
      <w:r>
        <w:rPr>
          <w:rFonts w:ascii="仿宋_GB2312" w:hAnsi="仿宋_GB2312" w:eastAsia="仿宋_GB2312"/>
          <w:b w:val="0"/>
          <w:sz w:val="32"/>
        </w:rPr>
        <w:t>2.教育支出(类)0.94万元,占0.17%。</w:t>
      </w:r>
    </w:p>
    <w:p>
      <w:pPr>
        <w:spacing w:line="580" w:lineRule="exact"/>
        <w:ind w:firstLine="640"/>
        <w:jc w:val="both"/>
      </w:pPr>
      <w:r>
        <w:rPr>
          <w:rFonts w:ascii="仿宋_GB2312" w:hAnsi="仿宋_GB2312" w:eastAsia="仿宋_GB2312"/>
          <w:b w:val="0"/>
          <w:sz w:val="32"/>
        </w:rPr>
        <w:t>3.社会保障和就业支出(类)85.8万元,占15.44%。</w:t>
      </w:r>
    </w:p>
    <w:p>
      <w:pPr>
        <w:spacing w:line="580" w:lineRule="exact"/>
        <w:ind w:firstLine="640"/>
        <w:jc w:val="both"/>
      </w:pPr>
      <w:r>
        <w:rPr>
          <w:rFonts w:ascii="仿宋_GB2312" w:hAnsi="仿宋_GB2312" w:eastAsia="仿宋_GB2312"/>
          <w:b w:val="0"/>
          <w:sz w:val="32"/>
        </w:rPr>
        <w:t>4.卫生健康支出(类)22.98万元,占4.13%。</w:t>
      </w:r>
    </w:p>
    <w:p>
      <w:pPr>
        <w:spacing w:line="580" w:lineRule="exact"/>
        <w:ind w:firstLine="640"/>
        <w:jc w:val="both"/>
      </w:pPr>
      <w:r>
        <w:rPr>
          <w:rFonts w:ascii="仿宋_GB2312" w:hAnsi="仿宋_GB2312" w:eastAsia="仿宋_GB2312"/>
          <w:b w:val="0"/>
          <w:sz w:val="32"/>
        </w:rPr>
        <w:t>5.住房保障支出(类)32.19万元,占5.79%。</w:t>
      </w:r>
    </w:p>
    <w:p>
      <w:pPr>
        <w:spacing w:line="640" w:lineRule="exact"/>
        <w:ind w:firstLine="640"/>
        <w:jc w:val="both"/>
        <w:outlineLvl w:val="3"/>
      </w:pPr>
      <w:r>
        <w:rPr>
          <w:rFonts w:ascii="楷体_GB2312" w:hAnsi="楷体_GB2312" w:eastAsia="楷体_GB2312"/>
          <w:b/>
          <w:sz w:val="32"/>
        </w:rPr>
        <w:t>（三）一般公共预算财政拨款支出决算具体情况</w:t>
      </w:r>
    </w:p>
    <w:p>
      <w:pPr>
        <w:spacing w:line="580" w:lineRule="exact"/>
        <w:ind w:firstLine="640"/>
        <w:jc w:val="both"/>
      </w:pPr>
      <w:r>
        <w:rPr>
          <w:rFonts w:ascii="仿宋_GB2312" w:hAnsi="仿宋_GB2312" w:eastAsia="仿宋_GB2312"/>
          <w:b w:val="0"/>
          <w:sz w:val="32"/>
        </w:rPr>
        <w:t>1.一般公共服务支出(类)民族事务(款)行政运行(项):支出决算数为203万元，比上年决算减少44.16万元，下降17.87%,主要原因是：本年单位机构改革，部分人员及职能转隶至中共巴音郭楞蒙古自治州委员会统一战线工作部，相关人员经费减少。</w:t>
      </w:r>
    </w:p>
    <w:p>
      <w:pPr>
        <w:spacing w:line="580" w:lineRule="exact"/>
        <w:ind w:firstLine="640"/>
        <w:jc w:val="both"/>
      </w:pPr>
      <w:r>
        <w:rPr>
          <w:rFonts w:ascii="仿宋_GB2312" w:hAnsi="仿宋_GB2312" w:eastAsia="仿宋_GB2312"/>
          <w:b w:val="0"/>
          <w:sz w:val="32"/>
        </w:rPr>
        <w:t>2.一般公共服务支出(类)民族事务(款)一般行政管理事务(项):支出决算数为44.79万元，比上年决算减少25.22万元，下降36.02%,主要原因是：本年减少民族</w:t>
      </w:r>
      <w:r>
        <w:rPr>
          <w:rFonts w:hint="eastAsia" w:ascii="仿宋_GB2312" w:hAnsi="仿宋_GB2312" w:eastAsia="仿宋_GB2312"/>
          <w:b w:val="0"/>
          <w:sz w:val="32"/>
          <w:lang w:eastAsia="zh-CN"/>
        </w:rPr>
        <w:t>ZJ</w:t>
      </w:r>
      <w:r>
        <w:rPr>
          <w:rFonts w:ascii="仿宋_GB2312" w:hAnsi="仿宋_GB2312" w:eastAsia="仿宋_GB2312"/>
          <w:b w:val="0"/>
          <w:sz w:val="32"/>
        </w:rPr>
        <w:t>工作项目资金、“参加河北省民运会经费”项目，相关支出减少。</w:t>
      </w:r>
    </w:p>
    <w:p>
      <w:pPr>
        <w:spacing w:line="580" w:lineRule="exact"/>
        <w:ind w:firstLine="640"/>
        <w:jc w:val="both"/>
      </w:pPr>
      <w:r>
        <w:rPr>
          <w:rFonts w:ascii="仿宋_GB2312" w:hAnsi="仿宋_GB2312" w:eastAsia="仿宋_GB2312"/>
          <w:b w:val="0"/>
          <w:sz w:val="32"/>
        </w:rPr>
        <w:t>3.一般公共服务支出(类)民族事务(款)民族工作专项(项):支出决算数为30万元，比上年决算增加30.00万元，增长100.00%,主要原因是：本年新增“七十年</w:t>
      </w:r>
      <w:bookmarkStart w:id="0" w:name="_GoBack"/>
      <w:bookmarkEnd w:id="0"/>
      <w:r>
        <w:rPr>
          <w:rFonts w:ascii="仿宋_GB2312" w:hAnsi="仿宋_GB2312" w:eastAsia="仿宋_GB2312"/>
          <w:b w:val="0"/>
          <w:sz w:val="32"/>
        </w:rPr>
        <w:t>州庆活动经费”，相应经费增加。</w:t>
      </w:r>
    </w:p>
    <w:p>
      <w:pPr>
        <w:spacing w:line="580" w:lineRule="exact"/>
        <w:ind w:firstLine="640"/>
        <w:jc w:val="both"/>
      </w:pPr>
      <w:r>
        <w:rPr>
          <w:rFonts w:ascii="仿宋_GB2312" w:hAnsi="仿宋_GB2312" w:eastAsia="仿宋_GB2312"/>
          <w:b w:val="0"/>
          <w:sz w:val="32"/>
        </w:rPr>
        <w:t>4.一般公共服务支出(类)民族事务(款)事业运行(项):支出决算数为136.17万元，比上年决算减少25.42万元，下降15.73%,主要原因是：本年单位机构改革，部分人员及职能转隶至中共巴音郭楞蒙古自治州委员会统一战线工作部，相关人员经费减少。</w:t>
      </w:r>
    </w:p>
    <w:p>
      <w:pPr>
        <w:spacing w:line="580" w:lineRule="exact"/>
        <w:ind w:firstLine="640"/>
        <w:jc w:val="both"/>
      </w:pPr>
      <w:r>
        <w:rPr>
          <w:rFonts w:ascii="仿宋_GB2312" w:hAnsi="仿宋_GB2312" w:eastAsia="仿宋_GB2312"/>
          <w:b w:val="0"/>
          <w:sz w:val="32"/>
        </w:rPr>
        <w:t>5.教育支出(类)进修及培训(款)培训支出(项):支出决算数为0.94万元，比上年决算减少0.69万元，下降42.33%,主要原因是：本年度培训场次较上年减少，培训支出减少。</w:t>
      </w:r>
    </w:p>
    <w:p>
      <w:pPr>
        <w:spacing w:line="580" w:lineRule="exact"/>
        <w:ind w:firstLine="640"/>
        <w:jc w:val="both"/>
      </w:pPr>
      <w:r>
        <w:rPr>
          <w:rFonts w:ascii="仿宋_GB2312" w:hAnsi="仿宋_GB2312" w:eastAsia="仿宋_GB2312"/>
          <w:b w:val="0"/>
          <w:sz w:val="32"/>
        </w:rPr>
        <w:t>6.社会保障和就业支出(类)行政事业单位养老支出(款)行政单位离退休(项):支出决算数为24.73万元，比上年决算增加5.66万元，增长29.68%,主要原因是：本年增加退休人员基础绩效奖，退休费支出增加。</w:t>
      </w:r>
    </w:p>
    <w:p>
      <w:pPr>
        <w:spacing w:line="580" w:lineRule="exact"/>
        <w:ind w:firstLine="640"/>
        <w:jc w:val="both"/>
      </w:pPr>
      <w:r>
        <w:rPr>
          <w:rFonts w:ascii="仿宋_GB2312" w:hAnsi="仿宋_GB2312" w:eastAsia="仿宋_GB2312"/>
          <w:b w:val="0"/>
          <w:sz w:val="32"/>
        </w:rPr>
        <w:t>7.社会保障和就业支出(类)行政事业单位养老支出(款)机关事业单位基本养老保险缴费支出(项):支出决算数为41.3万元，比上年决算减少11.29万元，下降21.47%,主要原因是：本年单位机构改革，部分人员及职能转隶至中共巴音郭楞蒙古自治州委员会统一战线工作部，在职人员减少，单位基本养老保险缴费较上年减少。</w:t>
      </w:r>
    </w:p>
    <w:p>
      <w:pPr>
        <w:spacing w:line="580" w:lineRule="exact"/>
        <w:ind w:firstLine="640"/>
        <w:jc w:val="both"/>
      </w:pPr>
      <w:r>
        <w:rPr>
          <w:rFonts w:ascii="仿宋_GB2312" w:hAnsi="仿宋_GB2312" w:eastAsia="仿宋_GB2312"/>
          <w:b w:val="0"/>
          <w:sz w:val="32"/>
        </w:rPr>
        <w:t>8.社会保障和就业支出(类)行政事业单位养老支出(款)机关事业单位职业年金缴费支出(项):支出决算数为8.15万元，比上年决算增加2.07万元，增长34.05%,主要原因是：上年年末退休1人，职级较高，本年发放退休人员职业年金，职业年金缴费支出增加。</w:t>
      </w:r>
    </w:p>
    <w:p>
      <w:pPr>
        <w:spacing w:line="580" w:lineRule="exact"/>
        <w:ind w:firstLine="640"/>
        <w:jc w:val="both"/>
      </w:pPr>
      <w:r>
        <w:rPr>
          <w:rFonts w:ascii="仿宋_GB2312" w:hAnsi="仿宋_GB2312" w:eastAsia="仿宋_GB2312"/>
          <w:b w:val="0"/>
          <w:sz w:val="32"/>
        </w:rPr>
        <w:t>9.社会保障和就业支出(类)抚恤(款)死亡抚恤(项):支出决算数为11.63万元，比上年决算减少12.33万元，下降51.46%,主要原因是：本年新增死亡人员较上年减少，死亡抚恤支出较上年减少。</w:t>
      </w:r>
    </w:p>
    <w:p>
      <w:pPr>
        <w:spacing w:line="580" w:lineRule="exact"/>
        <w:ind w:firstLine="640"/>
        <w:jc w:val="both"/>
      </w:pPr>
      <w:r>
        <w:rPr>
          <w:rFonts w:ascii="仿宋_GB2312" w:hAnsi="仿宋_GB2312" w:eastAsia="仿宋_GB2312"/>
          <w:b w:val="0"/>
          <w:sz w:val="32"/>
        </w:rPr>
        <w:t>10.卫生健康支出(类)行政事业单位医疗(款)行政单位医疗(项):支出决算数为10.02万元，比上年决算减少3.54万元，下降26.11%,主要原因是：本年单位机构改革，部分人员及职能转隶至中共巴音郭楞蒙古自治州委员会统一战线工作部，在职人员减少，相应行政单位医疗支出减少。</w:t>
      </w:r>
    </w:p>
    <w:p>
      <w:pPr>
        <w:spacing w:line="580" w:lineRule="exact"/>
        <w:ind w:firstLine="640"/>
        <w:jc w:val="both"/>
        <w:rPr>
          <w:sz w:val="30"/>
          <w:szCs w:val="30"/>
        </w:rPr>
      </w:pPr>
      <w:r>
        <w:rPr>
          <w:rFonts w:ascii="仿宋_GB2312" w:hAnsi="仿宋_GB2312" w:eastAsia="仿宋_GB2312"/>
          <w:b w:val="0"/>
          <w:sz w:val="32"/>
        </w:rPr>
        <w:t>11.卫生健康支出(类)行政事业单位医疗(款)事业单位医疗(项):支出决算数为7</w:t>
      </w:r>
      <w:r>
        <w:rPr>
          <w:rFonts w:ascii="仿宋_GB2312" w:hAnsi="仿宋_GB2312" w:eastAsia="仿宋_GB2312"/>
          <w:b w:val="0"/>
          <w:sz w:val="30"/>
          <w:szCs w:val="30"/>
        </w:rPr>
        <w:t>.99万元，比上年决算增加0.28万元，增长3.63%,主要原因是：本年在职人员工资基数调增，医疗缴费基数上涨，相应支出增加。</w:t>
      </w:r>
    </w:p>
    <w:p>
      <w:pPr>
        <w:spacing w:line="580" w:lineRule="exact"/>
        <w:ind w:firstLine="640"/>
        <w:jc w:val="both"/>
      </w:pPr>
      <w:r>
        <w:rPr>
          <w:rFonts w:ascii="仿宋_GB2312" w:hAnsi="仿宋_GB2312" w:eastAsia="仿宋_GB2312"/>
          <w:b w:val="0"/>
          <w:sz w:val="32"/>
        </w:rPr>
        <w:t>12.卫生健康支出(类)行政事业单位医疗(款)公务员医疗补助(项):支出决算数为4.29万元，比上年决算减少1.09万元，下降20.26%,主要原因是：本年单位机构改革，部分人员及职能转隶至中共巴音郭楞蒙古自治州委员会统一战线工作部，在职人员减少，相应公务员医疗补助支出减少。</w:t>
      </w:r>
    </w:p>
    <w:p>
      <w:pPr>
        <w:spacing w:line="580" w:lineRule="exact"/>
        <w:ind w:firstLine="640"/>
        <w:jc w:val="both"/>
      </w:pPr>
      <w:r>
        <w:rPr>
          <w:rFonts w:ascii="仿宋_GB2312" w:hAnsi="仿宋_GB2312" w:eastAsia="仿宋_GB2312"/>
          <w:b w:val="0"/>
          <w:sz w:val="32"/>
        </w:rPr>
        <w:t>13.卫生健康支出(类)行政事业单位医疗(款)其他行政事业单位医疗支出(项):支出决算数为0.67万元，比上年决算减少0.52万元，下降43.70%,主要原因是：本年单位机构改革，部分人员及职能转隶至中共巴音郭楞蒙古自治州委员会统一战线工作部，在职人员减少，其他行政事业单位医疗支出减少。</w:t>
      </w:r>
    </w:p>
    <w:p>
      <w:pPr>
        <w:spacing w:line="580" w:lineRule="exact"/>
        <w:ind w:firstLine="640"/>
        <w:jc w:val="both"/>
      </w:pPr>
      <w:r>
        <w:rPr>
          <w:rFonts w:ascii="仿宋_GB2312" w:hAnsi="仿宋_GB2312" w:eastAsia="仿宋_GB2312"/>
          <w:b w:val="0"/>
          <w:sz w:val="32"/>
        </w:rPr>
        <w:t>14.住房保障支出(类)住房改革支出(款)住房公积金(项):支出决算数为32.19万元，比上年决算减少3.23万元，下降9.12%,主要原因是：本年单位机构改革，部分人员及职能转隶至中共巴音郭楞蒙古自治州委员会统一战线工作部，在职人员减少，相应住房公积金支出减少。</w:t>
      </w:r>
    </w:p>
    <w:p>
      <w:pPr>
        <w:spacing w:line="640" w:lineRule="exact"/>
        <w:ind w:firstLine="640"/>
        <w:jc w:val="both"/>
        <w:outlineLvl w:val="2"/>
      </w:pPr>
      <w:r>
        <w:rPr>
          <w:rFonts w:ascii="SimHei" w:hAnsi="SimHei" w:eastAsia="SimHei"/>
          <w:sz w:val="32"/>
        </w:rPr>
        <w:t>六、一般公共预算财政拨款基本支出决算情况说明</w:t>
      </w:r>
    </w:p>
    <w:p>
      <w:pPr>
        <w:spacing w:line="580" w:lineRule="exact"/>
        <w:ind w:firstLine="640"/>
        <w:jc w:val="both"/>
      </w:pPr>
      <w:r>
        <w:rPr>
          <w:rFonts w:ascii="仿宋_GB2312" w:hAnsi="仿宋_GB2312" w:eastAsia="仿宋_GB2312"/>
          <w:b w:val="0"/>
          <w:sz w:val="32"/>
        </w:rPr>
        <w:t>2024年度一般公共预算财政拨款基本支出481.06万元，其中：</w:t>
      </w:r>
      <w:r>
        <w:rPr>
          <w:rFonts w:ascii="仿宋_GB2312" w:hAnsi="仿宋_GB2312" w:eastAsia="仿宋_GB2312"/>
          <w:b/>
          <w:sz w:val="32"/>
        </w:rPr>
        <w:t>人员经费455.50万元，</w:t>
      </w:r>
      <w:r>
        <w:rPr>
          <w:rFonts w:ascii="仿宋_GB2312" w:hAnsi="仿宋_GB2312" w:eastAsia="仿宋_GB2312"/>
          <w:b w:val="0"/>
          <w:sz w:val="32"/>
        </w:rPr>
        <w:t>包括：基本工资、津贴补贴、奖金、伙食补助费、机关事业单位基本养老保险缴费、职业年金缴费、职工基本医疗保险缴费、公务员医疗补助缴费、其他社会保障缴费、住房公积金、医疗费、退休费、抚恤金、生活补助、奖励金。</w:t>
      </w:r>
    </w:p>
    <w:p>
      <w:pPr>
        <w:spacing w:line="580" w:lineRule="exact"/>
        <w:ind w:firstLine="640"/>
        <w:jc w:val="both"/>
      </w:pPr>
      <w:r>
        <w:rPr>
          <w:rFonts w:ascii="仿宋_GB2312" w:hAnsi="仿宋_GB2312" w:eastAsia="仿宋_GB2312"/>
          <w:b/>
          <w:sz w:val="32"/>
        </w:rPr>
        <w:t>公用经费25.56万元，</w:t>
      </w:r>
      <w:r>
        <w:rPr>
          <w:rFonts w:ascii="仿宋_GB2312" w:hAnsi="仿宋_GB2312" w:eastAsia="仿宋_GB2312"/>
          <w:b w:val="0"/>
          <w:sz w:val="32"/>
        </w:rPr>
        <w:t>包括：办公费、邮电费、取暖费、物业管理费、培训费、公务接待费、劳务费、工会经费、福利费、公务用车运行维护费、其他交通费用、其他商品和服务支出、办公设备购置。</w:t>
      </w:r>
    </w:p>
    <w:p>
      <w:pPr>
        <w:spacing w:line="640" w:lineRule="exact"/>
        <w:ind w:firstLine="640"/>
        <w:jc w:val="both"/>
        <w:outlineLvl w:val="2"/>
      </w:pPr>
      <w:r>
        <w:rPr>
          <w:rFonts w:ascii="SimHei" w:hAnsi="SimHei" w:eastAsia="SimHei"/>
          <w:sz w:val="32"/>
        </w:rPr>
        <w:t>七、政府性基金预算财政拨款收入支出决算情况说明</w:t>
      </w:r>
    </w:p>
    <w:p>
      <w:pPr>
        <w:spacing w:line="580" w:lineRule="exact"/>
        <w:ind w:firstLine="640"/>
        <w:jc w:val="both"/>
      </w:pPr>
      <w:r>
        <w:rPr>
          <w:rFonts w:ascii="仿宋_GB2312" w:hAnsi="仿宋_GB2312" w:eastAsia="仿宋_GB2312"/>
          <w:b w:val="0"/>
          <w:sz w:val="32"/>
        </w:rPr>
        <w:t>本部门本年度无政府性基金预算财政拨款收入、支出及结转和结余，政府性基金预算财政拨款收入支出决算表为空表。</w:t>
      </w:r>
    </w:p>
    <w:p>
      <w:pPr>
        <w:spacing w:line="640" w:lineRule="exact"/>
        <w:ind w:firstLine="640"/>
        <w:jc w:val="both"/>
        <w:outlineLvl w:val="2"/>
      </w:pPr>
      <w:r>
        <w:rPr>
          <w:rFonts w:ascii="SimHei" w:hAnsi="SimHei" w:eastAsia="SimHei"/>
          <w:sz w:val="32"/>
        </w:rPr>
        <w:t>八、国有资本经营预算财政拨款收入支出决算情况说明</w:t>
      </w:r>
    </w:p>
    <w:p>
      <w:pPr>
        <w:spacing w:line="580" w:lineRule="exact"/>
        <w:ind w:firstLine="640"/>
        <w:jc w:val="both"/>
      </w:pPr>
      <w:r>
        <w:rPr>
          <w:rFonts w:ascii="仿宋_GB2312" w:hAnsi="仿宋_GB2312" w:eastAsia="仿宋_GB2312"/>
          <w:b w:val="0"/>
          <w:sz w:val="32"/>
        </w:rPr>
        <w:t>本部门本年度无国有资本经营预算财政拨款收入、支出及结转和结余，国有资本经营预算财政拨款收入支出决算表为空表。</w:t>
      </w:r>
    </w:p>
    <w:p>
      <w:pPr>
        <w:spacing w:line="640" w:lineRule="exact"/>
        <w:ind w:firstLine="640"/>
        <w:jc w:val="both"/>
        <w:outlineLvl w:val="2"/>
      </w:pPr>
      <w:r>
        <w:rPr>
          <w:rFonts w:ascii="SimHei" w:hAnsi="SimHei" w:eastAsia="SimHei"/>
          <w:sz w:val="32"/>
        </w:rPr>
        <w:t>九、财政拨款“三公”经费支出决算情况说明</w:t>
      </w:r>
    </w:p>
    <w:p>
      <w:pPr>
        <w:spacing w:line="580" w:lineRule="exact"/>
        <w:ind w:firstLine="640"/>
        <w:jc w:val="both"/>
      </w:pPr>
      <w:r>
        <w:rPr>
          <w:rFonts w:ascii="仿宋_GB2312" w:hAnsi="仿宋_GB2312" w:eastAsia="仿宋_GB2312"/>
          <w:b/>
          <w:sz w:val="32"/>
        </w:rPr>
        <w:t>2024年度财政拨款“三公”经费支出5.93万元，</w:t>
      </w:r>
      <w:r>
        <w:rPr>
          <w:rFonts w:ascii="仿宋_GB2312" w:hAnsi="仿宋_GB2312" w:eastAsia="仿宋_GB2312"/>
          <w:b w:val="0"/>
          <w:sz w:val="32"/>
        </w:rPr>
        <w:t>比上年减少1.05万元，下降15.04%，主要原因是：严格落实中央八项规定精神，厉行节约，减少公务用车运行维护费。其中：因公出国（境）费支出0.00万元，占0.00%，比上年增加0.00万元，增长0.00%，主要原因是：2023年与2024年均未安排因公出国（境）费支出。公务用车购置及运行维护费支出5.60万元，占94.44%，比上年减少1.25万元，下降18.25%，主要原因是：严格落实中央八项规定精神，厉行节约，减少公务用车运行维护费。公务接待费支出0.33万元，占5.56%，比上年增加0.20万元，增长153.85%，主要原因是：本年度接待人次较上年增加，导致公务接待费较上年增加。</w:t>
      </w:r>
    </w:p>
    <w:p>
      <w:pPr>
        <w:spacing w:line="580" w:lineRule="exact"/>
        <w:ind w:firstLine="640"/>
        <w:jc w:val="both"/>
        <w:rPr>
          <w:rFonts w:hint="eastAsia" w:eastAsia="仿宋_GB2312"/>
          <w:lang w:val="en-US" w:eastAsia="zh-CN"/>
        </w:rPr>
      </w:pPr>
      <w:r>
        <w:rPr>
          <w:rFonts w:ascii="仿宋_GB2312" w:hAnsi="仿宋_GB2312" w:eastAsia="仿宋_GB2312"/>
          <w:b/>
          <w:sz w:val="32"/>
        </w:rPr>
        <w:t>具体情况如下：</w:t>
      </w:r>
    </w:p>
    <w:p>
      <w:pPr>
        <w:spacing w:line="580" w:lineRule="exact"/>
        <w:ind w:firstLine="640"/>
        <w:jc w:val="both"/>
      </w:pPr>
      <w:r>
        <w:rPr>
          <w:rFonts w:ascii="仿宋_GB2312" w:hAnsi="仿宋_GB2312" w:eastAsia="仿宋_GB2312"/>
          <w:b w:val="0"/>
          <w:sz w:val="32"/>
        </w:rPr>
        <w:t>因公出国（境）费支出0.00万元，开支内容包括本部门无因公出国（境）费。部门全年安排的因公出国（境）团组0个，因公出国（境）0人次。</w:t>
      </w:r>
    </w:p>
    <w:p>
      <w:pPr>
        <w:spacing w:line="580" w:lineRule="exact"/>
        <w:ind w:firstLine="640"/>
        <w:jc w:val="both"/>
      </w:pPr>
      <w:r>
        <w:rPr>
          <w:rFonts w:ascii="仿宋_GB2312" w:hAnsi="仿宋_GB2312" w:eastAsia="仿宋_GB2312"/>
          <w:b w:val="0"/>
          <w:sz w:val="32"/>
        </w:rPr>
        <w:t>公务用车购置及运行维护费5.60万元，其中：公务用车购置费0.00万元，公务用车运行维护费5.60万元。公务用车运行维护费开支内容包括车辆加油费、维修费、保险费、审车费、过路费。公务用车购置数0辆，公务用车保有量2辆。国有资产占用情况中固定资产车辆2辆，与公务用车保有量差异原因是：本部门固定资产车辆与公务用车保有量一致无差异。</w:t>
      </w:r>
    </w:p>
    <w:p>
      <w:pPr>
        <w:spacing w:line="580" w:lineRule="exact"/>
        <w:ind w:firstLine="640"/>
        <w:jc w:val="both"/>
      </w:pPr>
      <w:r>
        <w:rPr>
          <w:rFonts w:ascii="仿宋_GB2312" w:hAnsi="仿宋_GB2312" w:eastAsia="仿宋_GB2312"/>
          <w:b w:val="0"/>
          <w:sz w:val="32"/>
        </w:rPr>
        <w:t>公务接待费0.33万元，开支内容包括因工作需要，接待上级领导检查考察学习产生的就餐费。部门全年安排的国内公务接待4批次，66人次。</w:t>
      </w:r>
    </w:p>
    <w:p>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5.93万元，决算数5.93万元，预决算差异率0.00%，主要原因是：严格按照预算执行，预决算无差异。其中：因公出国（境）费全年预算数0.00万元，决算数0.00万元，预决算差异率0.00%，主要原因是：本部门无因公出国（境）费。公务用车购置费全年预算数0.00万元，决算数0.00万元，预决算差异率0.00%，主要原因是：本部门无公务用车购置费。公务用车运行维护费全年预算数5.60万元，决算数5.60万元，预决算差异率0.00%，主要原因是：严格按照预算执行，预决算无差异。公务接待费全年预算数0.33万元，决算数0.33万元，预决算差异率0.00%，主要原因是：严格按照预算执行，预决算无差异。</w:t>
      </w:r>
    </w:p>
    <w:p>
      <w:pPr>
        <w:spacing w:line="640" w:lineRule="exact"/>
        <w:ind w:firstLine="640"/>
        <w:jc w:val="both"/>
        <w:outlineLvl w:val="2"/>
      </w:pPr>
      <w:r>
        <w:rPr>
          <w:rFonts w:ascii="SimHei" w:hAnsi="SimHei" w:eastAsia="SimHei"/>
          <w:sz w:val="32"/>
        </w:rPr>
        <w:t>十、其他重要事项的情况说明</w:t>
      </w:r>
    </w:p>
    <w:p>
      <w:pPr>
        <w:spacing w:line="640" w:lineRule="exact"/>
        <w:ind w:firstLine="640"/>
        <w:jc w:val="both"/>
        <w:outlineLvl w:val="3"/>
      </w:pPr>
      <w:r>
        <w:rPr>
          <w:rFonts w:ascii="楷体_GB2312" w:hAnsi="楷体_GB2312" w:eastAsia="楷体_GB2312"/>
          <w:b/>
          <w:sz w:val="32"/>
        </w:rPr>
        <w:t>（一）机关运行经费及公用经费支出情况</w:t>
      </w:r>
    </w:p>
    <w:p>
      <w:pPr>
        <w:spacing w:line="580" w:lineRule="exact"/>
        <w:ind w:firstLine="640"/>
        <w:jc w:val="both"/>
      </w:pPr>
      <w:r>
        <w:rPr>
          <w:rFonts w:ascii="仿宋_GB2312" w:hAnsi="仿宋_GB2312" w:eastAsia="仿宋_GB2312"/>
          <w:b w:val="0"/>
          <w:sz w:val="32"/>
        </w:rPr>
        <w:t>2024年度巴音郭楞蒙古自治州民族宗教事务局（行政单位和参照公务员法管理事业单位）机关运行经费支出25.56万元，比上年减少3.63万元，下降12.44%，主要原因是：严格控制公用经费，合理节约办公用品，减少不必要开支。</w:t>
      </w:r>
    </w:p>
    <w:p>
      <w:pPr>
        <w:spacing w:line="640" w:lineRule="exact"/>
        <w:ind w:firstLine="640"/>
        <w:jc w:val="both"/>
        <w:outlineLvl w:val="3"/>
      </w:pPr>
      <w:r>
        <w:rPr>
          <w:rFonts w:ascii="楷体_GB2312" w:hAnsi="楷体_GB2312" w:eastAsia="楷体_GB2312"/>
          <w:b/>
          <w:sz w:val="32"/>
        </w:rPr>
        <w:t>（二）政府采购情况</w:t>
      </w:r>
    </w:p>
    <w:p>
      <w:pPr>
        <w:spacing w:line="580" w:lineRule="exact"/>
        <w:ind w:firstLine="640"/>
        <w:jc w:val="both"/>
      </w:pPr>
      <w:r>
        <w:rPr>
          <w:rFonts w:ascii="仿宋_GB2312" w:hAnsi="仿宋_GB2312" w:eastAsia="仿宋_GB2312"/>
          <w:b w:val="0"/>
          <w:sz w:val="32"/>
        </w:rPr>
        <w:t>2024年度政府采购支出总额57.54万元，其中：政府采购货物支出29.47万元、政府采购工程支出0.00万元、政府采购服务支出28.07万元。</w:t>
      </w:r>
    </w:p>
    <w:p>
      <w:pPr>
        <w:spacing w:line="580" w:lineRule="exact"/>
        <w:ind w:firstLine="640"/>
        <w:jc w:val="both"/>
      </w:pPr>
      <w:r>
        <w:rPr>
          <w:rFonts w:ascii="仿宋_GB2312" w:hAnsi="仿宋_GB2312" w:eastAsia="仿宋_GB2312"/>
          <w:b w:val="0"/>
          <w:sz w:val="32"/>
        </w:rPr>
        <w:t>授予中小企业合同金额5.26万元，占政府采购支出总额的9.14%，其中：授予小微企业合同金额5.26万元，占政府采购支出总额的9.14%。</w:t>
      </w:r>
    </w:p>
    <w:p>
      <w:pPr>
        <w:spacing w:line="640" w:lineRule="exact"/>
        <w:ind w:firstLine="640"/>
        <w:jc w:val="both"/>
        <w:outlineLvl w:val="3"/>
      </w:pPr>
      <w:r>
        <w:rPr>
          <w:rFonts w:ascii="楷体_GB2312" w:hAnsi="楷体_GB2312" w:eastAsia="楷体_GB2312"/>
          <w:b/>
          <w:sz w:val="32"/>
        </w:rPr>
        <w:t>（三）国有资产占用情况说明</w:t>
      </w:r>
    </w:p>
    <w:p>
      <w:pPr>
        <w:spacing w:line="580" w:lineRule="exact"/>
        <w:ind w:firstLine="640"/>
        <w:jc w:val="both"/>
      </w:pPr>
      <w:r>
        <w:rPr>
          <w:rFonts w:ascii="仿宋_GB2312" w:hAnsi="仿宋_GB2312" w:eastAsia="仿宋_GB2312"/>
          <w:b w:val="0"/>
          <w:sz w:val="32"/>
        </w:rPr>
        <w:t>截至2024年12月31日，房屋0.00平方米，价值0.00万元。车辆2辆，价值58.46万元，其中：副部（省）级及以上领导用车0辆、主要负责人用车0辆、机要通信用车0辆、应急保障用车0辆、执法执勤用车0辆、特种专业技术用车0辆、离退休干部服务用车0辆、其他用车2辆，其他用车主要是：一般公务用车。单价100万元（含）以上设备（不含车辆）0台（套）。</w:t>
      </w:r>
    </w:p>
    <w:p>
      <w:pPr>
        <w:spacing w:line="640" w:lineRule="exact"/>
        <w:ind w:firstLine="640"/>
        <w:jc w:val="both"/>
        <w:outlineLvl w:val="2"/>
      </w:pPr>
      <w:r>
        <w:rPr>
          <w:rFonts w:ascii="SimHei" w:hAnsi="SimHei" w:eastAsia="SimHei"/>
          <w:sz w:val="32"/>
        </w:rPr>
        <w:t>十一、预算绩效的情况说明</w:t>
      </w:r>
    </w:p>
    <w:p>
      <w:pPr>
        <w:spacing w:line="580" w:lineRule="exact"/>
        <w:ind w:firstLine="640"/>
        <w:jc w:val="both"/>
      </w:pPr>
      <w:r>
        <w:rPr>
          <w:rFonts w:ascii="仿宋_GB2312" w:hAnsi="仿宋_GB2312" w:eastAsia="仿宋_GB2312"/>
          <w:b w:val="0"/>
          <w:sz w:val="32"/>
        </w:rPr>
        <w:t>根据预算绩效管理要求，本部门2024年度预算绩效管理形成整体支出绩效自评表1个，全年预算总额620.60万元，实际执行总额557.85万元；预算绩效评价项目</w:t>
      </w:r>
      <w:r>
        <w:rPr>
          <w:rFonts w:hint="eastAsia" w:ascii="仿宋_GB2312" w:hAnsi="仿宋_GB2312" w:eastAsia="仿宋_GB2312"/>
          <w:b w:val="0"/>
          <w:sz w:val="32"/>
          <w:lang w:val="en-US" w:eastAsia="zh-CN"/>
        </w:rPr>
        <w:t>3</w:t>
      </w:r>
      <w:r>
        <w:rPr>
          <w:rFonts w:ascii="仿宋_GB2312" w:hAnsi="仿宋_GB2312" w:eastAsia="仿宋_GB2312"/>
          <w:b w:val="0"/>
          <w:sz w:val="32"/>
        </w:rPr>
        <w:t>个，全年预算数</w:t>
      </w:r>
      <w:r>
        <w:rPr>
          <w:rFonts w:hint="eastAsia" w:ascii="仿宋_GB2312" w:hAnsi="仿宋_GB2312" w:eastAsia="仿宋_GB2312"/>
          <w:b w:val="0"/>
          <w:sz w:val="32"/>
        </w:rPr>
        <w:t>114.3</w:t>
      </w:r>
      <w:r>
        <w:rPr>
          <w:rFonts w:hint="eastAsia" w:ascii="仿宋_GB2312" w:hAnsi="仿宋_GB2312" w:eastAsia="仿宋_GB2312"/>
          <w:b w:val="0"/>
          <w:sz w:val="32"/>
          <w:lang w:val="en-US" w:eastAsia="zh-CN"/>
        </w:rPr>
        <w:t>0</w:t>
      </w:r>
      <w:r>
        <w:rPr>
          <w:rFonts w:ascii="仿宋_GB2312" w:hAnsi="仿宋_GB2312" w:eastAsia="仿宋_GB2312"/>
          <w:b w:val="0"/>
          <w:sz w:val="32"/>
        </w:rPr>
        <w:t>万元，全年执行数</w:t>
      </w:r>
      <w:r>
        <w:rPr>
          <w:rFonts w:hint="eastAsia" w:ascii="仿宋_GB2312" w:hAnsi="仿宋_GB2312" w:eastAsia="仿宋_GB2312"/>
          <w:b w:val="0"/>
          <w:sz w:val="32"/>
        </w:rPr>
        <w:t>74.65</w:t>
      </w:r>
      <w:r>
        <w:rPr>
          <w:rFonts w:ascii="仿宋_GB2312" w:hAnsi="仿宋_GB2312" w:eastAsia="仿宋_GB2312"/>
          <w:b w:val="0"/>
          <w:sz w:val="32"/>
        </w:rPr>
        <w:t>万元。预算绩效管理取得的成效：开展绩效评价，提高了绩效工作管理水平，科学制定目标，促进了绩效目标顺利实现，提高了项目资金使用的绩效意识，以便项目实施完成，进行跟踪问效评价，对下一年此类项目预算编制提供参考。发现的问题及原因：一是存在的主要问题单位各部门对项目资金的绩效意识还有待加强，对项目资金的分配及使用要加大执行力度，以期实现最大效益化。二是原因分析绩效自评包含项目自评等内容，许多项目经办人员未能参与到绩效工作业务培训中来，对预算绩效工作重视度不够。下一步改进措施：一是加大单位各项目负责人员专业能力培训的力度，对绩效自评管理这项工作引起重视，设立定岗定责，要求各庭室建立权界清晰，分工合理，权责一致，协调配合，建立健全监督机制，发现问题及时报告，大胆履职，开展定期或不定期检查，确保绩效自评工作顺利开展。二是严格按照要求对项目资金列入部门预算、进一步规范项目绩效管理工作及时规范收支账务处理和会计核算等工作。确保项目资金合理、高效使用到位。三是深化学习，努力提高思想理论水平，加强事业心和责任感，并坚持理论联系实际，注重学习以致用。具体附部门整体支出绩效自评表，项目支出绩效自评表和部门评价报告。</w:t>
      </w:r>
    </w:p>
    <w:p>
      <w:r>
        <w:br w:type="page"/>
      </w:r>
    </w:p>
    <w:tbl>
      <w:tblPr>
        <w:tblStyle w:val="9"/>
        <w:tblW w:w="0" w:type="auto"/>
        <w:tblInd w:w="0" w:type="dxa"/>
        <w:tblLayout w:type="autofit"/>
        <w:tblCellMar>
          <w:top w:w="0" w:type="dxa"/>
          <w:left w:w="108" w:type="dxa"/>
          <w:bottom w:w="0" w:type="dxa"/>
          <w:right w:w="108" w:type="dxa"/>
        </w:tblCellMar>
      </w:tblPr>
      <w:tblGrid>
        <w:gridCol w:w="1105"/>
        <w:gridCol w:w="1105"/>
        <w:gridCol w:w="1105"/>
        <w:gridCol w:w="1105"/>
        <w:gridCol w:w="1105"/>
        <w:gridCol w:w="1105"/>
        <w:gridCol w:w="1105"/>
        <w:gridCol w:w="1105"/>
      </w:tblGrid>
      <w:tr>
        <w:tblPrEx>
          <w:tblCellMar>
            <w:top w:w="0" w:type="dxa"/>
            <w:left w:w="108" w:type="dxa"/>
            <w:bottom w:w="0" w:type="dxa"/>
            <w:right w:w="108" w:type="dxa"/>
          </w:tblCellMar>
        </w:tblPrEx>
        <w:tc>
          <w:tcPr>
            <w:tcW w:w="8840" w:type="dxa"/>
            <w:gridSpan w:val="8"/>
            <w:vAlign w:val="center"/>
          </w:tcPr>
          <w:p>
            <w:pPr>
              <w:jc w:val="center"/>
            </w:pPr>
            <w:r>
              <w:rPr>
                <w:rFonts w:ascii="SimSun" w:hAnsi="SimSun" w:eastAsia="SimSun"/>
                <w:sz w:val="24"/>
              </w:rPr>
              <w:t>部门整体支出绩效自评表</w:t>
            </w:r>
          </w:p>
        </w:tc>
      </w:tr>
      <w:tr>
        <w:tblPrEx>
          <w:tblCellMar>
            <w:top w:w="0" w:type="dxa"/>
            <w:left w:w="108" w:type="dxa"/>
            <w:bottom w:w="0" w:type="dxa"/>
            <w:right w:w="108" w:type="dxa"/>
          </w:tblCellMar>
        </w:tblPrEx>
        <w:tc>
          <w:tcPr>
            <w:tcW w:w="8840" w:type="dxa"/>
            <w:gridSpan w:val="8"/>
            <w:vAlign w:val="center"/>
          </w:tcPr>
          <w:p>
            <w:pPr>
              <w:jc w:val="center"/>
            </w:pPr>
            <w:r>
              <w:rPr>
                <w:rFonts w:ascii="SimSun" w:hAnsi="SimSun" w:eastAsia="SimSun"/>
                <w:sz w:val="24"/>
              </w:rPr>
              <w:t>（2024年度）</w:t>
            </w:r>
          </w:p>
        </w:tc>
      </w:tr>
      <w:tr>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部门名称</w:t>
            </w:r>
          </w:p>
        </w:tc>
        <w:tc>
          <w:tcPr>
            <w:tcW w:w="7735"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巴音郭楞蒙古自治州民族宗教事务局</w:t>
            </w:r>
          </w:p>
        </w:tc>
      </w:tr>
      <w:tr>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部门资金（万元）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资金来源</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年初预算数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全年预算数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全年执行数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执行率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得分</w:t>
            </w:r>
          </w:p>
        </w:tc>
      </w:tr>
      <w:tr>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年度总资金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676.82</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620.60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557.85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89.89%</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8.99</w:t>
            </w:r>
          </w:p>
        </w:tc>
      </w:tr>
      <w:tr>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其中:上级安排（万元）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w:t>
            </w:r>
          </w:p>
        </w:tc>
      </w:tr>
      <w:tr>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本级安排（万元）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636.82</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580.60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555.85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w:t>
            </w:r>
          </w:p>
        </w:tc>
      </w:tr>
      <w:tr>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其他资金（万元）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40.00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40.00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2.00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w:t>
            </w:r>
          </w:p>
        </w:tc>
      </w:tr>
      <w:tr>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年度总体目标</w:t>
            </w:r>
          </w:p>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预期目标</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实际完成情况</w:t>
            </w:r>
          </w:p>
        </w:tc>
      </w:tr>
      <w:tr>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pPr>
              <w:jc w:val="both"/>
            </w:pPr>
            <w:r>
              <w:rPr>
                <w:rFonts w:ascii="SimSun" w:hAnsi="SimSun" w:eastAsia="SimSun"/>
                <w:sz w:val="16"/>
              </w:rPr>
              <w:t>贯彻落实党中央、国务院和自治区党委、自治州人民政府关于民族</w:t>
            </w:r>
            <w:r>
              <w:rPr>
                <w:rFonts w:hint="eastAsia" w:ascii="SimSun" w:hAnsi="SimSun"/>
                <w:sz w:val="16"/>
                <w:lang w:eastAsia="zh-CN"/>
              </w:rPr>
              <w:t>ZJ</w:t>
            </w:r>
            <w:r>
              <w:rPr>
                <w:rFonts w:ascii="SimSun" w:hAnsi="SimSun" w:eastAsia="SimSun"/>
                <w:sz w:val="16"/>
              </w:rPr>
              <w:t>工作的方针和决策部署，在履行职责过程中坚持和加强对民族</w:t>
            </w:r>
            <w:r>
              <w:rPr>
                <w:rFonts w:hint="eastAsia" w:ascii="SimSun" w:hAnsi="SimSun"/>
                <w:sz w:val="16"/>
                <w:lang w:eastAsia="zh-CN"/>
              </w:rPr>
              <w:t>ZJ</w:t>
            </w:r>
            <w:r>
              <w:rPr>
                <w:rFonts w:ascii="SimSun" w:hAnsi="SimSun" w:eastAsia="SimSun"/>
                <w:sz w:val="16"/>
              </w:rPr>
              <w:t>工作的集中统一领导。组织开展民族</w:t>
            </w:r>
            <w:r>
              <w:rPr>
                <w:rFonts w:hint="eastAsia" w:ascii="SimSun" w:hAnsi="SimSun"/>
                <w:sz w:val="16"/>
                <w:lang w:eastAsia="zh-CN"/>
              </w:rPr>
              <w:t>ZJ</w:t>
            </w:r>
            <w:r>
              <w:rPr>
                <w:rFonts w:ascii="SimSun" w:hAnsi="SimSun" w:eastAsia="SimSun"/>
                <w:sz w:val="16"/>
              </w:rPr>
              <w:t>理论、民族</w:t>
            </w:r>
            <w:r>
              <w:rPr>
                <w:rFonts w:hint="eastAsia" w:ascii="SimSun" w:hAnsi="SimSun"/>
                <w:sz w:val="16"/>
                <w:lang w:eastAsia="zh-CN"/>
              </w:rPr>
              <w:t>ZJ</w:t>
            </w:r>
            <w:r>
              <w:rPr>
                <w:rFonts w:ascii="SimSun" w:hAnsi="SimSun" w:eastAsia="SimSun"/>
                <w:sz w:val="16"/>
              </w:rPr>
              <w:t>政策的宣传教育；组织开展民族</w:t>
            </w:r>
            <w:r>
              <w:rPr>
                <w:rFonts w:hint="eastAsia" w:ascii="SimSun" w:hAnsi="SimSun"/>
                <w:sz w:val="16"/>
                <w:lang w:eastAsia="zh-CN"/>
              </w:rPr>
              <w:t>ZJ</w:t>
            </w:r>
            <w:r>
              <w:rPr>
                <w:rFonts w:ascii="SimSun" w:hAnsi="SimSun" w:eastAsia="SimSun"/>
                <w:sz w:val="16"/>
              </w:rPr>
              <w:t>工作重大问题的调查研究并提出工作建议；会同有关部门管理国家给予民族地区的专项资金和项目选报工作；开展县、市、部门的民族团结进步创建工作，铸牢中华民族共同体意识；依法管理</w:t>
            </w:r>
            <w:r>
              <w:rPr>
                <w:rFonts w:hint="eastAsia" w:ascii="SimSun" w:hAnsi="SimSun"/>
                <w:sz w:val="16"/>
                <w:lang w:eastAsia="zh-CN"/>
              </w:rPr>
              <w:t>ZJ</w:t>
            </w:r>
            <w:r>
              <w:rPr>
                <w:rFonts w:ascii="SimSun" w:hAnsi="SimSun" w:eastAsia="SimSun"/>
                <w:sz w:val="16"/>
              </w:rPr>
              <w:t>事务，提高</w:t>
            </w:r>
            <w:r>
              <w:rPr>
                <w:rFonts w:hint="eastAsia" w:ascii="SimSun" w:hAnsi="SimSun"/>
                <w:sz w:val="16"/>
                <w:lang w:eastAsia="zh-CN"/>
              </w:rPr>
              <w:t>ZJ</w:t>
            </w:r>
            <w:r>
              <w:rPr>
                <w:rFonts w:ascii="SimSun" w:hAnsi="SimSun" w:eastAsia="SimSun"/>
                <w:sz w:val="16"/>
              </w:rPr>
              <w:t>事务治理能力，推进我国</w:t>
            </w:r>
            <w:r>
              <w:rPr>
                <w:rFonts w:hint="eastAsia" w:ascii="SimSun" w:hAnsi="SimSun"/>
                <w:sz w:val="16"/>
                <w:lang w:eastAsia="zh-CN"/>
              </w:rPr>
              <w:t>ZJ</w:t>
            </w:r>
            <w:r>
              <w:rPr>
                <w:rFonts w:ascii="SimSun" w:hAnsi="SimSun" w:eastAsia="SimSun"/>
                <w:sz w:val="16"/>
              </w:rPr>
              <w:t>中国化；协调、监督、指导各县市及各单位贯彻执行党的民族</w:t>
            </w:r>
            <w:r>
              <w:rPr>
                <w:rFonts w:hint="eastAsia" w:ascii="SimSun" w:hAnsi="SimSun"/>
                <w:sz w:val="16"/>
                <w:lang w:eastAsia="zh-CN"/>
              </w:rPr>
              <w:t>ZJ</w:t>
            </w:r>
            <w:r>
              <w:rPr>
                <w:rFonts w:ascii="SimSun" w:hAnsi="SimSun" w:eastAsia="SimSun"/>
                <w:sz w:val="16"/>
              </w:rPr>
              <w:t>政策，创新时代全州民族</w:t>
            </w:r>
            <w:r>
              <w:rPr>
                <w:rFonts w:hint="eastAsia" w:ascii="SimSun" w:hAnsi="SimSun"/>
                <w:sz w:val="16"/>
                <w:lang w:eastAsia="zh-CN"/>
              </w:rPr>
              <w:t>ZJ</w:t>
            </w:r>
            <w:r>
              <w:rPr>
                <w:rFonts w:ascii="SimSun" w:hAnsi="SimSun" w:eastAsia="SimSun"/>
                <w:sz w:val="16"/>
              </w:rPr>
              <w:t>政策新局面。</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pPr>
              <w:jc w:val="both"/>
            </w:pPr>
            <w:r>
              <w:rPr>
                <w:rFonts w:ascii="SimSun" w:hAnsi="SimSun" w:eastAsia="SimSun"/>
                <w:sz w:val="16"/>
              </w:rPr>
              <w:t>2024年度我部门完成了开展各类铸牢中华民族共同体意识活动4项工作，完成了</w:t>
            </w:r>
            <w:r>
              <w:rPr>
                <w:rFonts w:hint="eastAsia" w:ascii="SimSun" w:hAnsi="SimSun"/>
                <w:sz w:val="16"/>
                <w:lang w:eastAsia="zh-CN"/>
              </w:rPr>
              <w:t>推进</w:t>
            </w:r>
            <w:r>
              <w:rPr>
                <w:rFonts w:ascii="SimSun" w:hAnsi="SimSun" w:eastAsia="SimSun"/>
                <w:sz w:val="16"/>
              </w:rPr>
              <w:t>全州伊斯兰教中国化工作4类工作任务，完成了2批次全州民族</w:t>
            </w:r>
            <w:r>
              <w:rPr>
                <w:rFonts w:hint="eastAsia" w:ascii="SimSun" w:hAnsi="SimSun"/>
                <w:sz w:val="16"/>
                <w:lang w:eastAsia="zh-CN"/>
              </w:rPr>
              <w:t>ZJ</w:t>
            </w:r>
            <w:r>
              <w:rPr>
                <w:rFonts w:ascii="SimSun" w:hAnsi="SimSun" w:eastAsia="SimSun"/>
                <w:sz w:val="16"/>
              </w:rPr>
              <w:t>工作干部培训。通过完成以上工作，提升了我州各族干部群众的凝聚力，进一步打牢了社会面基础，进一步加强了</w:t>
            </w:r>
            <w:r>
              <w:rPr>
                <w:rFonts w:hint="eastAsia" w:ascii="SimSun" w:hAnsi="SimSun"/>
                <w:sz w:val="16"/>
                <w:lang w:eastAsia="zh-CN"/>
              </w:rPr>
              <w:t>ZJ</w:t>
            </w:r>
            <w:r>
              <w:rPr>
                <w:rFonts w:ascii="SimSun" w:hAnsi="SimSun" w:eastAsia="SimSun"/>
                <w:sz w:val="16"/>
              </w:rPr>
              <w:t>团体自身建设，有效提升了依法依规管理</w:t>
            </w:r>
            <w:r>
              <w:rPr>
                <w:rFonts w:hint="eastAsia" w:ascii="SimSun" w:hAnsi="SimSun"/>
                <w:sz w:val="16"/>
                <w:lang w:eastAsia="zh-CN"/>
              </w:rPr>
              <w:t>ZJ</w:t>
            </w:r>
            <w:r>
              <w:rPr>
                <w:rFonts w:ascii="SimSun" w:hAnsi="SimSun" w:eastAsia="SimSun"/>
                <w:sz w:val="16"/>
              </w:rPr>
              <w:t>事务的治理能力，使</w:t>
            </w:r>
            <w:r>
              <w:rPr>
                <w:rFonts w:hint="eastAsia" w:ascii="SimSun" w:hAnsi="SimSun"/>
                <w:sz w:val="16"/>
                <w:lang w:eastAsia="zh-CN"/>
              </w:rPr>
              <w:t>ZJ能更好地</w:t>
            </w:r>
            <w:r>
              <w:rPr>
                <w:rFonts w:ascii="SimSun" w:hAnsi="SimSun" w:eastAsia="SimSun"/>
                <w:sz w:val="16"/>
              </w:rPr>
              <w:t>与新时代中国特色社会主义相适应，稳定社会环境、促进社会发展。</w:t>
            </w:r>
          </w:p>
        </w:tc>
      </w:tr>
      <w:tr>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一级指标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二级指标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三级指标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预期指标值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指标值设定依据</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实际完成指标值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得分</w:t>
            </w:r>
          </w:p>
        </w:tc>
      </w:tr>
      <w:tr>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履职效能</w:t>
            </w:r>
          </w:p>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数量指标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开展各类铸牢中华民族共同体意识活动</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&gt;=4项</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2024年度工作计划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35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4项</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35</w:t>
            </w:r>
          </w:p>
        </w:tc>
      </w:tr>
      <w:tr>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推进伊斯兰教中国化工作</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&gt;=4类</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2024年工作计划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35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4类</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35</w:t>
            </w:r>
          </w:p>
        </w:tc>
      </w:tr>
      <w:tr>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开展民宗系统各类培训活动</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&gt;=2批次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2024年工作计划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20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2批次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20</w:t>
            </w:r>
          </w:p>
        </w:tc>
      </w:tr>
    </w:tbl>
    <w:p>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96"/>
        <w:gridCol w:w="632"/>
        <w:gridCol w:w="632"/>
      </w:tblGrid>
      <w:tr>
        <w:tblPrEx>
          <w:tblCellMar>
            <w:top w:w="0" w:type="dxa"/>
            <w:left w:w="108" w:type="dxa"/>
            <w:bottom w:w="0" w:type="dxa"/>
            <w:right w:w="108" w:type="dxa"/>
          </w:tblCellMar>
        </w:tblPrEx>
        <w:tc>
          <w:tcPr>
            <w:tcW w:w="8848" w:type="dxa"/>
            <w:gridSpan w:val="14"/>
            <w:vAlign w:val="center"/>
          </w:tcPr>
          <w:p>
            <w:pPr>
              <w:jc w:val="center"/>
            </w:pPr>
            <w:r>
              <w:rPr>
                <w:rFonts w:ascii="SimSun" w:hAnsi="SimSun" w:eastAsia="SimSun"/>
                <w:sz w:val="24"/>
              </w:rPr>
              <w:t>项目支出绩效自评表</w:t>
            </w:r>
          </w:p>
        </w:tc>
      </w:tr>
      <w:tr>
        <w:tblPrEx>
          <w:tblCellMar>
            <w:top w:w="0" w:type="dxa"/>
            <w:left w:w="108" w:type="dxa"/>
            <w:bottom w:w="0" w:type="dxa"/>
            <w:right w:w="108" w:type="dxa"/>
          </w:tblCellMar>
        </w:tblPrEx>
        <w:tc>
          <w:tcPr>
            <w:tcW w:w="8848" w:type="dxa"/>
            <w:gridSpan w:val="14"/>
            <w:vAlign w:val="center"/>
          </w:tcPr>
          <w:p>
            <w:pPr>
              <w:jc w:val="center"/>
            </w:pPr>
            <w:r>
              <w:rPr>
                <w:rFonts w:ascii="SimSun" w:hAnsi="SimSun" w:eastAsia="SimSun"/>
                <w:sz w:val="24"/>
              </w:rPr>
              <w:t>(2024年度)</w:t>
            </w:r>
          </w:p>
        </w:tc>
      </w:tr>
      <w:tr>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2024年河北省民委拨工作经费</w:t>
            </w:r>
          </w:p>
        </w:tc>
      </w:tr>
      <w:tr>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巴音郭楞蒙古自治州民族宗教事务局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巴音郭楞蒙古自治州民族宗教事务局</w:t>
            </w:r>
          </w:p>
        </w:tc>
      </w:tr>
      <w:tr>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得分</w:t>
            </w:r>
          </w:p>
        </w:tc>
      </w:tr>
      <w:tr>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40.00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40.00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5.00%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0.00</w:t>
            </w: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w:t>
            </w: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40.00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40.00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w:t>
            </w:r>
          </w:p>
        </w:tc>
      </w:tr>
      <w:tr>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总体目标完成情况</w:t>
            </w: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pPr>
              <w:jc w:val="both"/>
            </w:pPr>
            <w:r>
              <w:rPr>
                <w:rFonts w:ascii="SimSun" w:hAnsi="SimSun" w:eastAsia="SimSun"/>
                <w:sz w:val="16"/>
              </w:rPr>
              <w:t>开展民族团结进步模范创建宣传工作的需要，计划购置公务车一辆，全年开展民族团结进步模范创建宣传工作3场次，进一步贯彻落实党的民族政策，营造平等、团结、互助、和谐的民族团结氛围，促进各民族共同团结奋斗、共同繁荣发展</w:t>
            </w:r>
            <w:r>
              <w:rPr>
                <w:rFonts w:hint="eastAsia" w:ascii="SimSun" w:hAnsi="SimSun"/>
                <w:sz w:val="16"/>
                <w:lang w:eastAsia="zh-CN"/>
              </w:rPr>
              <w:t>。</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pPr>
              <w:jc w:val="both"/>
            </w:pPr>
            <w:r>
              <w:rPr>
                <w:rFonts w:ascii="SimSun" w:hAnsi="SimSun" w:eastAsia="SimSun"/>
                <w:sz w:val="16"/>
              </w:rPr>
              <w:t>组织参加铸牢中华民族共同体意识体验展示活动两场，组织参加全州国家通用语言文字演讲比赛。全面推广国家通用语言文字，是构筑各民族共有精神家园，</w:t>
            </w:r>
            <w:r>
              <w:rPr>
                <w:rFonts w:hint="eastAsia" w:ascii="SimSun" w:hAnsi="SimSun"/>
                <w:sz w:val="16"/>
                <w:lang w:eastAsia="zh-CN"/>
              </w:rPr>
              <w:t>有形</w:t>
            </w:r>
            <w:r>
              <w:rPr>
                <w:rFonts w:ascii="SimSun" w:hAnsi="SimSun" w:eastAsia="SimSun"/>
                <w:sz w:val="16"/>
              </w:rPr>
              <w:t>有感有效铸牢中华民族共同体意识的基石；中华民族共同体意识体验展及各类民族团结进步模范宣传活动，进一步推进了各民族间广泛交往、全面交流、深度交融。</w:t>
            </w:r>
          </w:p>
        </w:tc>
      </w:tr>
      <w:tr>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偏差原因分析及改进措施</w:t>
            </w:r>
          </w:p>
        </w:tc>
      </w:tr>
      <w:tr>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采购公务用车数量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=1辆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=0辆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2024年未开展公务用车采购，公务用车采购，需先将原有车辆按规定及程序报废后采购购置。</w:t>
            </w: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民族团结进步模范创建宣传次数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&gt;=3次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政府采购率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2024年未开展公务用车采购，公务用车采购，需先将原有车辆按规定及程序报废后采购购置</w:t>
            </w: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公务用车质量合格率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2024年未开展公务用车采购，公务用车采购，需先将原有车辆按规定及程序报废后采购购置</w:t>
            </w: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公务用车采购完成时间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2024年7月31日前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未完成</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2024年未开展公务用车采购，公务用车采购，需先将原有车辆按规定及程序报废后采购购置</w:t>
            </w: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民族团结进步模范创建宣传按时完成率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民族团结进步模范创建成本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&lt;=15万元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13.33%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2024年度向焉耆县委统战部拨款2万元，用于开展民族团结进步模范创建工作。</w:t>
            </w: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公务用车采购成本控制数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&lt;=25万元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2024年未开展公务用车采购，公务用车采购，需先将原有车辆按规定及程序报废后采购购置</w:t>
            </w: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公务用车利用率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2024年未开展公务用车采购，公务用车采购，需先将原有车辆按规定及程序报废后采购购置</w:t>
            </w: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宣传民族团结进步</w:t>
            </w:r>
            <w:r>
              <w:rPr>
                <w:rFonts w:hint="eastAsia" w:ascii="SimSun" w:hAnsi="SimSun"/>
                <w:sz w:val="16"/>
                <w:lang w:eastAsia="zh-CN"/>
              </w:rPr>
              <w:t>模范</w:t>
            </w:r>
            <w:r>
              <w:rPr>
                <w:rFonts w:ascii="SimSun" w:hAnsi="SimSun" w:eastAsia="SimSun"/>
                <w:sz w:val="16"/>
              </w:rPr>
              <w:t>创建知晓率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民族团结进步模范单位满意度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34.00分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tc>
      </w:tr>
    </w:tbl>
    <w:p>
      <w:r>
        <w:br w:type="page"/>
      </w:r>
    </w:p>
    <w:tbl>
      <w:tblPr>
        <w:tblStyle w:val="9"/>
        <w:tblW w:w="0" w:type="auto"/>
        <w:tblInd w:w="0" w:type="dxa"/>
        <w:tblLayout w:type="autofit"/>
        <w:tblCellMar>
          <w:top w:w="0" w:type="dxa"/>
          <w:left w:w="108" w:type="dxa"/>
          <w:bottom w:w="0" w:type="dxa"/>
          <w:right w:w="108" w:type="dxa"/>
        </w:tblCellMar>
      </w:tblPr>
      <w:tblGrid>
        <w:gridCol w:w="615"/>
        <w:gridCol w:w="587"/>
        <w:gridCol w:w="587"/>
        <w:gridCol w:w="587"/>
        <w:gridCol w:w="856"/>
        <w:gridCol w:w="587"/>
        <w:gridCol w:w="587"/>
        <w:gridCol w:w="601"/>
        <w:gridCol w:w="587"/>
        <w:gridCol w:w="587"/>
        <w:gridCol w:w="776"/>
        <w:gridCol w:w="776"/>
        <w:gridCol w:w="630"/>
        <w:gridCol w:w="697"/>
      </w:tblGrid>
      <w:tr>
        <w:tblPrEx>
          <w:tblCellMar>
            <w:top w:w="0" w:type="dxa"/>
            <w:left w:w="108" w:type="dxa"/>
            <w:bottom w:w="0" w:type="dxa"/>
            <w:right w:w="108" w:type="dxa"/>
          </w:tblCellMar>
        </w:tblPrEx>
        <w:tc>
          <w:tcPr>
            <w:tcW w:w="8848" w:type="dxa"/>
            <w:gridSpan w:val="14"/>
            <w:vAlign w:val="center"/>
          </w:tcPr>
          <w:p>
            <w:pPr>
              <w:jc w:val="center"/>
            </w:pPr>
            <w:r>
              <w:rPr>
                <w:rFonts w:ascii="SimSun" w:hAnsi="SimSun" w:eastAsia="SimSun"/>
                <w:sz w:val="24"/>
              </w:rPr>
              <w:t>项目支出绩效自评表</w:t>
            </w:r>
          </w:p>
        </w:tc>
      </w:tr>
      <w:tr>
        <w:tblPrEx>
          <w:tblCellMar>
            <w:top w:w="0" w:type="dxa"/>
            <w:left w:w="108" w:type="dxa"/>
            <w:bottom w:w="0" w:type="dxa"/>
            <w:right w:w="108" w:type="dxa"/>
          </w:tblCellMar>
        </w:tblPrEx>
        <w:tc>
          <w:tcPr>
            <w:tcW w:w="8848" w:type="dxa"/>
            <w:gridSpan w:val="14"/>
            <w:vAlign w:val="center"/>
          </w:tcPr>
          <w:p>
            <w:pPr>
              <w:jc w:val="center"/>
            </w:pPr>
            <w:r>
              <w:rPr>
                <w:rFonts w:ascii="SimSun" w:hAnsi="SimSun" w:eastAsia="SimSun"/>
                <w:sz w:val="24"/>
              </w:rPr>
              <w:t>(2024年度)</w:t>
            </w:r>
          </w:p>
        </w:tc>
      </w:tr>
      <w:tr>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七十年州庆活动办公经费</w:t>
            </w:r>
          </w:p>
        </w:tc>
      </w:tr>
      <w:tr>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巴音郭楞蒙古自治州民族宗教事务局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巴音郭楞蒙古自治州民族宗教事务局</w:t>
            </w:r>
          </w:p>
        </w:tc>
      </w:tr>
      <w:tr>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得分</w:t>
            </w:r>
          </w:p>
        </w:tc>
      </w:tr>
      <w:tr>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10.00</w:t>
            </w: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w:t>
            </w: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w:t>
            </w:r>
          </w:p>
        </w:tc>
      </w:tr>
      <w:tr>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总体目标完成情况</w:t>
            </w: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pPr>
              <w:jc w:val="both"/>
            </w:pPr>
            <w:r>
              <w:rPr>
                <w:rFonts w:ascii="SimSun" w:hAnsi="SimSun" w:eastAsia="SimSun"/>
                <w:sz w:val="16"/>
              </w:rPr>
              <w:t>按照自治州州庆工作安排，参加上级关于州庆活动工作会议，征集、制作自治州成立七十周年文创品1695个，协调开展4天七十年州庆系列活动，全州铸牢中华民族共同体意识体检展示，通过州庆各项活动顺利开展各族干部群众铸牢中华民族共同体意识进一步增强。</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pPr>
              <w:jc w:val="both"/>
            </w:pPr>
            <w:r>
              <w:rPr>
                <w:rFonts w:ascii="SimSun" w:hAnsi="SimSun" w:eastAsia="SimSun"/>
                <w:sz w:val="16"/>
              </w:rPr>
              <w:t>按照自治州州庆工作安排，完成征集、制作自治州成立七十周年文创品1695个，并完成发放和存档；协调开展4天七十年州庆系列活动，有180人参加全州铸牢中华民族共同体意识体检展示。各族干部群众铸牢中华民族共同体意识进一步增强。</w:t>
            </w:r>
          </w:p>
        </w:tc>
      </w:tr>
      <w:tr>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偏差原因分析及改进措施</w:t>
            </w:r>
          </w:p>
        </w:tc>
      </w:tr>
      <w:tr>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举办活动场次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&gt;=4次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=4次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举办活动天数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&gt;=4天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=4天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参加活动人数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&gt;=180人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=180人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制作七十周年文创纪念品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&gt;=1650个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=1695个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102.73%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5.84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由</w:t>
            </w:r>
            <w:r>
              <w:rPr>
                <w:rFonts w:hint="eastAsia" w:ascii="SimSun" w:hAnsi="SimSun"/>
                <w:sz w:val="16"/>
                <w:lang w:eastAsia="zh-CN"/>
              </w:rPr>
              <w:t>本单位</w:t>
            </w:r>
            <w:r>
              <w:rPr>
                <w:rFonts w:ascii="SimSun" w:hAnsi="SimSun" w:eastAsia="SimSun"/>
                <w:sz w:val="16"/>
              </w:rPr>
              <w:t>负责的文创品订购总数较计划订购数多45个。</w:t>
            </w: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活动人员出勤率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州庆文创品质量合格率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活动按时完成率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州庆文创品成本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&lt;=117000元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=117000元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州庆活动费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&lt;=183000元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=183000元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各族干部铸牢中华民族共同体意识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效果显著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效果显著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参与活动人员满意度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通过满意度问卷调查，参与活动人员满意度为100%，超出计划目标</w:t>
            </w:r>
          </w:p>
        </w:tc>
      </w:tr>
      <w:tr>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SimSun" w:hAnsi="SimSun" w:eastAsia="SimSun"/>
                <w:sz w:val="16"/>
              </w:rPr>
              <w:t>99.84分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tc>
      </w:tr>
    </w:tbl>
    <w:p>
      <w:r>
        <w:br w:type="page"/>
      </w:r>
    </w:p>
    <w:p>
      <w:pPr>
        <w:spacing w:line="640" w:lineRule="exact"/>
        <w:ind w:firstLine="640"/>
        <w:jc w:val="both"/>
        <w:outlineLvl w:val="2"/>
      </w:pPr>
      <w:r>
        <w:rPr>
          <w:rFonts w:ascii="SimHei" w:hAnsi="SimHei" w:eastAsia="SimHei"/>
          <w:sz w:val="32"/>
        </w:rPr>
        <w:t>十二、其他需说明的事项</w:t>
      </w:r>
    </w:p>
    <w:p>
      <w:pPr>
        <w:spacing w:line="580" w:lineRule="exact"/>
        <w:ind w:firstLine="640"/>
        <w:jc w:val="both"/>
      </w:pPr>
      <w:r>
        <w:rPr>
          <w:rFonts w:ascii="仿宋_GB2312" w:hAnsi="仿宋_GB2312" w:eastAsia="仿宋_GB2312"/>
          <w:b w:val="0"/>
          <w:sz w:val="32"/>
        </w:rPr>
        <w:t>本年本部门SM项目1个，全年预算数44.30万元，全年执行数42.65万元。</w:t>
      </w:r>
    </w:p>
    <w:p>
      <w:r>
        <w:br w:type="page"/>
      </w:r>
    </w:p>
    <w:p>
      <w:pPr>
        <w:spacing w:line="240" w:lineRule="auto"/>
        <w:jc w:val="center"/>
        <w:outlineLvl w:val="1"/>
      </w:pPr>
      <w:r>
        <w:rPr>
          <w:rFonts w:ascii="SimHei" w:hAnsi="SimHei" w:eastAsia="SimHei"/>
          <w:sz w:val="32"/>
        </w:rPr>
        <w:t>第三部分 专业名词解释</w:t>
      </w:r>
    </w:p>
    <w:p>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r>
        <w:br w:type="page"/>
      </w:r>
    </w:p>
    <w:p>
      <w:pPr>
        <w:spacing w:line="240" w:lineRule="auto"/>
        <w:jc w:val="center"/>
        <w:outlineLvl w:val="1"/>
      </w:pPr>
      <w:r>
        <w:rPr>
          <w:rFonts w:ascii="SimHei" w:hAnsi="SimHei" w:eastAsia="SimHei"/>
          <w:sz w:val="32"/>
        </w:rPr>
        <w:t>第四部分 部门决算报表（见附表）</w:t>
      </w:r>
    </w:p>
    <w:p>
      <w:pPr>
        <w:spacing w:line="240" w:lineRule="auto"/>
        <w:ind w:firstLine="640"/>
        <w:jc w:val="both"/>
      </w:pPr>
      <w:r>
        <w:rPr>
          <w:rFonts w:ascii="仿宋_GB2312" w:hAnsi="仿宋_GB2312" w:eastAsia="仿宋_GB2312"/>
          <w:b w:val="0"/>
          <w:sz w:val="32"/>
        </w:rPr>
        <w:t>一、《收入支出决算总表》</w:t>
      </w:r>
    </w:p>
    <w:p>
      <w:pPr>
        <w:spacing w:line="240" w:lineRule="auto"/>
        <w:ind w:firstLine="640"/>
        <w:jc w:val="both"/>
      </w:pPr>
      <w:r>
        <w:rPr>
          <w:rFonts w:ascii="仿宋_GB2312" w:hAnsi="仿宋_GB2312" w:eastAsia="仿宋_GB2312"/>
          <w:b w:val="0"/>
          <w:sz w:val="32"/>
        </w:rPr>
        <w:t>二、《收入决算表》</w:t>
      </w:r>
    </w:p>
    <w:p>
      <w:pPr>
        <w:spacing w:line="240" w:lineRule="auto"/>
        <w:ind w:firstLine="640"/>
        <w:jc w:val="both"/>
      </w:pPr>
      <w:r>
        <w:rPr>
          <w:rFonts w:ascii="仿宋_GB2312" w:hAnsi="仿宋_GB2312" w:eastAsia="仿宋_GB2312"/>
          <w:b w:val="0"/>
          <w:sz w:val="32"/>
        </w:rPr>
        <w:t>三、《支出决算表》</w:t>
      </w:r>
    </w:p>
    <w:p>
      <w:pPr>
        <w:spacing w:line="240" w:lineRule="auto"/>
        <w:ind w:firstLine="640"/>
        <w:jc w:val="both"/>
      </w:pPr>
      <w:r>
        <w:rPr>
          <w:rFonts w:ascii="仿宋_GB2312" w:hAnsi="仿宋_GB2312" w:eastAsia="仿宋_GB2312"/>
          <w:b w:val="0"/>
          <w:sz w:val="32"/>
        </w:rPr>
        <w:t>四、《财政拨款收入支出决算总表》</w:t>
      </w:r>
    </w:p>
    <w:p>
      <w:pPr>
        <w:spacing w:line="240" w:lineRule="auto"/>
        <w:ind w:firstLine="640"/>
        <w:jc w:val="both"/>
      </w:pPr>
      <w:r>
        <w:rPr>
          <w:rFonts w:ascii="仿宋_GB2312" w:hAnsi="仿宋_GB2312" w:eastAsia="仿宋_GB2312"/>
          <w:b w:val="0"/>
          <w:sz w:val="32"/>
        </w:rPr>
        <w:t>五、《一般公共预算财政拨款支出决算表》</w:t>
      </w:r>
    </w:p>
    <w:p>
      <w:pPr>
        <w:spacing w:line="240" w:lineRule="auto"/>
        <w:ind w:firstLine="640"/>
        <w:jc w:val="both"/>
      </w:pPr>
      <w:r>
        <w:rPr>
          <w:rFonts w:ascii="仿宋_GB2312" w:hAnsi="仿宋_GB2312" w:eastAsia="仿宋_GB2312"/>
          <w:b w:val="0"/>
          <w:sz w:val="32"/>
        </w:rPr>
        <w:t>六、《一般公共预算财政拨款基本支出决算表》</w:t>
      </w:r>
    </w:p>
    <w:p>
      <w:pPr>
        <w:spacing w:line="240" w:lineRule="auto"/>
        <w:ind w:firstLine="640"/>
        <w:jc w:val="both"/>
      </w:pPr>
      <w:r>
        <w:rPr>
          <w:rFonts w:ascii="仿宋_GB2312" w:hAnsi="仿宋_GB2312" w:eastAsia="仿宋_GB2312"/>
          <w:b w:val="0"/>
          <w:sz w:val="32"/>
        </w:rPr>
        <w:t>七、《政府性基金预算财政拨款收入支出决算表》</w:t>
      </w:r>
    </w:p>
    <w:p>
      <w:pPr>
        <w:spacing w:line="240" w:lineRule="auto"/>
        <w:ind w:firstLine="640"/>
        <w:jc w:val="both"/>
      </w:pPr>
      <w:r>
        <w:rPr>
          <w:rFonts w:ascii="仿宋_GB2312" w:hAnsi="仿宋_GB2312" w:eastAsia="仿宋_GB2312"/>
          <w:b w:val="0"/>
          <w:sz w:val="32"/>
        </w:rPr>
        <w:t>八、《国有资本经营预算财政拨款收入支出决算表》</w:t>
      </w:r>
    </w:p>
    <w:p>
      <w:pPr>
        <w:spacing w:line="240" w:lineRule="auto"/>
        <w:ind w:firstLine="640"/>
        <w:jc w:val="both"/>
      </w:pPr>
      <w:r>
        <w:rPr>
          <w:rFonts w:ascii="仿宋_GB2312" w:hAnsi="仿宋_GB2312" w:eastAsia="仿宋_GB2312"/>
          <w:b w:val="0"/>
          <w:sz w:val="32"/>
        </w:rPr>
        <w:t>九、《财政拨款“三公”经费支出决算表》</w:t>
      </w:r>
    </w:p>
    <w:p>
      <w:pPr>
        <w:spacing w:line="240" w:lineRule="auto"/>
        <w:ind w:firstLine="640"/>
        <w:jc w:val="both"/>
      </w:pPr>
    </w:p>
    <w:p>
      <w:pPr>
        <w:spacing w:line="240" w:lineRule="auto"/>
        <w:ind w:firstLine="640"/>
        <w:jc w:val="both"/>
      </w:pPr>
    </w:p>
    <w:p>
      <w:pPr>
        <w:spacing w:line="240" w:lineRule="auto"/>
        <w:ind w:firstLine="640"/>
        <w:jc w:val="both"/>
      </w:pPr>
    </w:p>
    <w:p>
      <w:pPr>
        <w:spacing w:line="240" w:lineRule="auto"/>
        <w:ind w:firstLine="640"/>
        <w:jc w:val="both"/>
      </w:pPr>
    </w:p>
    <w:p>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SimHei">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SimSun">
    <w:panose1 w:val="02010600030101010101"/>
    <w:charset w:val="7A"/>
    <w:family w:val="auto"/>
    <w:pitch w:val="default"/>
    <w:sig w:usb0="00000003" w:usb1="288F0000" w:usb2="00000006" w:usb3="00000000" w:csb0="00040001" w:csb1="00000000"/>
  </w:font>
  <w:font w:name="FZXiaoBiaoSong-B05">
    <w:panose1 w:val="03000509000000000000"/>
    <w:charset w:val="86"/>
    <w:family w:val="script"/>
    <w:pitch w:val="default"/>
    <w:sig w:usb0="00000001" w:usb1="080E0000" w:usb2="00000000" w:usb3="00000000" w:csb0="00040000" w:csb1="00000000"/>
  </w:font>
  <w:font w:name="仿宋_GB2312">
    <w:altName w:val="FangSong"/>
    <w:panose1 w:val="02010609030101010101"/>
    <w:charset w:val="86"/>
    <w:family w:val="modern"/>
    <w:pitch w:val="default"/>
    <w:sig w:usb0="00000000" w:usb1="00000000" w:usb2="00000000" w:usb3="00000000" w:csb0="00040000" w:csb1="00000000"/>
  </w:font>
  <w:font w:name="FangSong">
    <w:panose1 w:val="02010609060101010101"/>
    <w:charset w:val="86"/>
    <w:family w:val="auto"/>
    <w:pitch w:val="default"/>
    <w:sig w:usb0="800002BF" w:usb1="38CF7CFA" w:usb2="00000016" w:usb3="00000000" w:csb0="00040001" w:csb1="00000000"/>
  </w:font>
  <w:font w:name="楷体_GB2312">
    <w:altName w:val="KaiTi"/>
    <w:panose1 w:val="02010609030101010101"/>
    <w:charset w:val="86"/>
    <w:family w:val="auto"/>
    <w:pitch w:val="default"/>
    <w:sig w:usb0="00000000" w:usb1="00000000" w:usb2="00000000" w:usb3="00000000" w:csb0="00040000" w:csb1="00000000"/>
  </w:font>
  <w:font w:name="KaiTi">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4"/>
                            <w:rPr>
                              <w:rFonts w:hint="eastAsia" w:eastAsia="SimSun"/>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pPr>
                      <w:pStyle w:val="4"/>
                      <w:rPr>
                        <w:rFonts w:hint="eastAsia" w:eastAsia="SimSun"/>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701FC4"/>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882C28"/>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E8579D5"/>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SimSun"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SimSun" w:hAnsi="SimSun" w:eastAsia="SimSun" w:cs="SimSun"/>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SimSun" w:cs="Times New Roman"/>
      <w:sz w:val="20"/>
      <w:szCs w:val="20"/>
    </w:rPr>
  </w:style>
  <w:style w:type="paragraph" w:customStyle="1" w:styleId="12">
    <w:name w:val="WPSOffice手动目录 2"/>
    <w:qFormat/>
    <w:uiPriority w:val="0"/>
    <w:pPr>
      <w:ind w:leftChars="200"/>
    </w:pPr>
    <w:rPr>
      <w:rFonts w:ascii="Times New Roman" w:hAnsi="Times New Roman" w:eastAsia="SimSun" w:cs="Times New Roman"/>
      <w:sz w:val="20"/>
      <w:szCs w:val="20"/>
    </w:rPr>
  </w:style>
  <w:style w:type="paragraph" w:customStyle="1" w:styleId="13">
    <w:name w:val="WPSOffice手动目录 1"/>
    <w:qFormat/>
    <w:uiPriority w:val="0"/>
    <w:pPr>
      <w:ind w:leftChars="0"/>
    </w:pPr>
    <w:rPr>
      <w:rFonts w:ascii="Times New Roman" w:hAnsi="Times New Roman" w:eastAsia="SimSun"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27</Pages>
  <Words>6235</Words>
  <Characters>7094</Characters>
  <Lines>0</Lines>
  <Paragraphs>0</Paragraphs>
  <TotalTime>12</TotalTime>
  <ScaleCrop>false</ScaleCrop>
  <LinksUpToDate>false</LinksUpToDate>
  <CharactersWithSpaces>7102</CharactersWithSpaces>
  <Application>WPS Office_11.8.2.11500_F1E327BC-269C-435d-A152-05C5408002CA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Administrator</cp:lastModifiedBy>
  <cp:lastPrinted>2024-07-22T11:58:00Z</cp:lastPrinted>
  <dcterms:modified xsi:type="dcterms:W3CDTF">2025-09-17T11:23:11Z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2052-11.8.2.11500</vt:lpwstr>
  </property>
  <property fmtid="{D5CDD505-2E9C-101B-9397-08002B2CF9AE}" pid="3" name="ICV">
    <vt:lpwstr>B858A68E913346F885B5BC17D4DBEB06_13</vt:lpwstr>
  </property>
  <property fmtid="{D5CDD505-2E9C-101B-9397-08002B2CF9AE}" pid="4" name="KSOTemplateDocerSaveRecord">
    <vt:lpwstr>eyJoZGlkIjoiZWE5M2E4OTRkNmEwYTUyNjM2Mzg3NThiMTA5NmIzZWUiLCJ1c2VySWQiOiI0OTMxMTE3MjUifQ==</vt:lpwstr>
  </property>
</Properties>
</file>