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C380A8"/>
    <w:p w14:paraId="7DCC0EA6">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2D3FC291">
      <w:pPr>
        <w:spacing w:line="540" w:lineRule="exact"/>
        <w:jc w:val="center"/>
        <w:rPr>
          <w:rFonts w:ascii="华文中宋" w:hAnsi="华文中宋" w:eastAsia="华文中宋" w:cs="宋体"/>
          <w:b/>
          <w:kern w:val="0"/>
          <w:sz w:val="52"/>
          <w:szCs w:val="52"/>
        </w:rPr>
      </w:pPr>
    </w:p>
    <w:p w14:paraId="7FEB7BD0">
      <w:pPr>
        <w:spacing w:line="540" w:lineRule="exact"/>
        <w:jc w:val="center"/>
        <w:rPr>
          <w:rFonts w:ascii="华文中宋" w:hAnsi="华文中宋" w:eastAsia="华文中宋" w:cs="宋体"/>
          <w:b/>
          <w:kern w:val="0"/>
          <w:sz w:val="52"/>
          <w:szCs w:val="52"/>
        </w:rPr>
      </w:pPr>
    </w:p>
    <w:p w14:paraId="7FAA3675">
      <w:pPr>
        <w:spacing w:line="540" w:lineRule="exact"/>
        <w:jc w:val="center"/>
        <w:rPr>
          <w:rFonts w:ascii="华文中宋" w:hAnsi="华文中宋" w:eastAsia="华文中宋" w:cs="宋体"/>
          <w:b/>
          <w:kern w:val="0"/>
          <w:sz w:val="52"/>
          <w:szCs w:val="52"/>
        </w:rPr>
      </w:pPr>
    </w:p>
    <w:p w14:paraId="209AF639">
      <w:pPr>
        <w:spacing w:line="540" w:lineRule="exact"/>
        <w:jc w:val="center"/>
        <w:rPr>
          <w:rFonts w:ascii="华文中宋" w:hAnsi="华文中宋" w:eastAsia="华文中宋" w:cs="宋体"/>
          <w:b/>
          <w:kern w:val="0"/>
          <w:sz w:val="52"/>
          <w:szCs w:val="52"/>
        </w:rPr>
      </w:pPr>
    </w:p>
    <w:p w14:paraId="79C4819F">
      <w:pPr>
        <w:spacing w:line="540" w:lineRule="exact"/>
        <w:jc w:val="center"/>
        <w:rPr>
          <w:rFonts w:ascii="华文中宋" w:hAnsi="华文中宋" w:eastAsia="华文中宋" w:cs="宋体"/>
          <w:b/>
          <w:kern w:val="0"/>
          <w:sz w:val="52"/>
          <w:szCs w:val="52"/>
        </w:rPr>
      </w:pPr>
    </w:p>
    <w:p w14:paraId="45704276">
      <w:pPr>
        <w:spacing w:line="540" w:lineRule="exact"/>
        <w:jc w:val="center"/>
        <w:rPr>
          <w:rFonts w:ascii="华文中宋" w:hAnsi="华文中宋" w:eastAsia="华文中宋" w:cs="宋体"/>
          <w:b/>
          <w:kern w:val="0"/>
          <w:sz w:val="52"/>
          <w:szCs w:val="52"/>
        </w:rPr>
      </w:pPr>
    </w:p>
    <w:p w14:paraId="7F8D03E9">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23951D0B">
      <w:pPr>
        <w:spacing w:line="540" w:lineRule="exact"/>
        <w:jc w:val="center"/>
        <w:rPr>
          <w:rFonts w:ascii="华文中宋" w:hAnsi="华文中宋" w:eastAsia="华文中宋" w:cs="宋体"/>
          <w:b/>
          <w:kern w:val="0"/>
          <w:sz w:val="52"/>
          <w:szCs w:val="52"/>
        </w:rPr>
      </w:pPr>
    </w:p>
    <w:p w14:paraId="3595E9BD">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038E5A8B">
      <w:pPr>
        <w:spacing w:line="540" w:lineRule="exact"/>
        <w:jc w:val="center"/>
        <w:rPr>
          <w:rFonts w:hAnsi="宋体" w:eastAsia="仿宋_GB2312" w:cs="宋体"/>
          <w:kern w:val="0"/>
          <w:sz w:val="30"/>
          <w:szCs w:val="30"/>
        </w:rPr>
      </w:pPr>
    </w:p>
    <w:p w14:paraId="37E75D8B">
      <w:pPr>
        <w:spacing w:line="540" w:lineRule="exact"/>
        <w:jc w:val="center"/>
        <w:rPr>
          <w:rFonts w:hAnsi="宋体" w:eastAsia="仿宋_GB2312" w:cs="宋体"/>
          <w:kern w:val="0"/>
          <w:sz w:val="30"/>
          <w:szCs w:val="30"/>
        </w:rPr>
      </w:pPr>
    </w:p>
    <w:p w14:paraId="0118FBAB">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 w:eastAsia="仿宋_GB2312" w:cs="宋体"/>
          <w:kern w:val="0"/>
          <w:sz w:val="30"/>
          <w:szCs w:val="30"/>
        </w:rPr>
      </w:pPr>
    </w:p>
    <w:p w14:paraId="6A994B94">
      <w:pPr>
        <w:spacing w:line="540" w:lineRule="exact"/>
        <w:jc w:val="center"/>
        <w:rPr>
          <w:rFonts w:hAnsi="宋体" w:eastAsia="仿宋_GB2312" w:cs="宋体"/>
          <w:kern w:val="0"/>
          <w:sz w:val="30"/>
          <w:szCs w:val="30"/>
        </w:rPr>
      </w:pPr>
    </w:p>
    <w:p w14:paraId="006DC37E">
      <w:pPr>
        <w:spacing w:line="540" w:lineRule="exact"/>
        <w:rPr>
          <w:rFonts w:hAnsi="宋体" w:eastAsia="仿宋_GB2312" w:cs="宋体"/>
          <w:kern w:val="0"/>
          <w:sz w:val="30"/>
          <w:szCs w:val="30"/>
        </w:rPr>
      </w:pPr>
    </w:p>
    <w:p w14:paraId="2AF15FBD">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4D762756">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巴财综【2023】005关于下达2023年自治州彩票公益金支持社会福利项目资金的通知--巴州儿童福利设施项目</w:t>
      </w:r>
    </w:p>
    <w:p w14:paraId="295B61C1">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新疆</w:t>
      </w:r>
      <w:r>
        <w:rPr>
          <w:rStyle w:val="19"/>
          <w:rFonts w:hint="eastAsia" w:ascii="楷体" w:hAnsi="楷体" w:eastAsia="楷体"/>
          <w:spacing w:val="-4"/>
          <w:sz w:val="28"/>
          <w:szCs w:val="28"/>
          <w:lang w:eastAsia="zh-CN"/>
        </w:rPr>
        <w:t>巴音郭楞蒙古自治州</w:t>
      </w:r>
      <w:bookmarkStart w:id="0" w:name="_GoBack"/>
      <w:bookmarkEnd w:id="0"/>
      <w:r>
        <w:rPr>
          <w:rStyle w:val="19"/>
          <w:rFonts w:hint="eastAsia" w:ascii="楷体" w:hAnsi="楷体" w:eastAsia="楷体"/>
          <w:spacing w:val="-4"/>
          <w:sz w:val="28"/>
          <w:szCs w:val="28"/>
        </w:rPr>
        <w:t>民政局</w:t>
      </w:r>
    </w:p>
    <w:p w14:paraId="29BBACA6">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新疆巴音郭楞蒙古自治州民政局</w:t>
      </w:r>
    </w:p>
    <w:p w14:paraId="6160D77A">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孟克其其格</w:t>
      </w:r>
    </w:p>
    <w:p w14:paraId="4A464703">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2025年03月20日</w:t>
      </w:r>
    </w:p>
    <w:p w14:paraId="7EF27320">
      <w:pPr>
        <w:spacing w:line="700" w:lineRule="exact"/>
        <w:ind w:firstLine="708" w:firstLineChars="236"/>
        <w:jc w:val="left"/>
        <w:rPr>
          <w:rFonts w:hAnsi="宋体" w:eastAsia="仿宋_GB2312" w:cs="宋体"/>
          <w:kern w:val="0"/>
          <w:sz w:val="30"/>
          <w:szCs w:val="30"/>
        </w:rPr>
      </w:pPr>
    </w:p>
    <w:p w14:paraId="63F43DA4">
      <w:pPr>
        <w:spacing w:line="540" w:lineRule="exact"/>
        <w:rPr>
          <w:rStyle w:val="19"/>
          <w:rFonts w:ascii="黑体" w:hAnsi="黑体" w:eastAsia="黑体"/>
          <w:b w:val="0"/>
          <w:spacing w:val="-4"/>
          <w:sz w:val="32"/>
          <w:szCs w:val="32"/>
        </w:rPr>
      </w:pPr>
    </w:p>
    <w:p w14:paraId="07263383">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4DD10725">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3DAAF879">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当前巴州各市、县的孤残儿童全部转移至巴州儿童福利院集中养育，短时间内巴州儿童福利设施的承担能力达到了极限，进入超饱和运转。巴音学院经过近几年的发展扩张，已经将巴州儿童福利设施包围其中，这使得很多社会残障儿童家属，没有办法再入院接受公益的康复和教育活动，给家有残障儿童的群众带来极大的不便。并且，由于现巴州儿童福利设施建设初期在床位设置、设施配套、人员配置等方面相对落后。导致目前巴州儿童福利设施只能加设临时床位，甚至安排部分孤残儿童入住工作人员宿舍以缓解相关压力。但这对儿童福利院内孩子身心健康的发展和安全管理工作都带来了不小的隐患。因此根据巴财综[2023]5号文件精神，开展“巴州儿童福利院”项目建设，项目建成后将为州福利院儿童提供更好的生活、学习环境，提高我州儿童照护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巴州儿童福利院建设的项目于2023年8月开工，2024年5月完工。建设的建筑工程面积6000平方米（不含人防工程），地上3层，框架结构，建设内容包括居住室、活动室、教室、业务用房、医务所、值班室、食堂、康复室、工作人员宿舍等，新建床位150张。配套资金360万元用于项目施工费用，项目建成后将为州福利院儿童提供更好的生活、学习环境，提高我州儿童照护水平，促进儿童福利事业的发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2024年开展项目主体施工，建筑工程面积5884.15平方米于2024年11月完工。项目建成后将为州困境儿童提供了安全、温馨、充满关爱的成长环境，保障了他们的基本生活与生存权利，使其免受饥寒困苦与不安全的因素的威胁，有效提升了儿童照护水平，有助于促进儿童的身心健康发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该项目年初预算数360万元，全年预算数360万元，该项目资金已全部落实到位，资金来源为财政拨款。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该项目年初预算数360万元，全年预算数360万元，全年执行数360万元，预算执行率为100%，主要用于：360万元用于建设5884.1㎡的巴州儿童福利院，并于2024年11月11日完工。</w:t>
      </w:r>
    </w:p>
    <w:p w14:paraId="48AD10E2">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10279CC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开展“巴州儿童福利院”项目建设，建筑工程面积6000平方米。配套资金360万元用于项目施工费用，计划本年度开展项目主体施工建设，年内项目完工。项目建成后将为州福利院儿童提供更好的生活、学习环境，提高我州儿童照护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1.第一季度：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完成项目前期准备工作，包括项目立项、设计规划、施工图纸的审核和批准。确定施工团队，签订施工合同，并进行施工前的场地准备，如清理、围挡搭建等。完成资金筹措，确保配套资金360万元到位，为施工提供充足的资金保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2.第二季度：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开始主体结构施工，包括地基挖掘、钢筋混凝土浇筑等基础工程。完成主体结构的1/3，确保施工进度符合计划。完成部分配套基础设施的设计和招标工作，如供水、供电、排水系统等。</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3.第三季度：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继续推进主体结构施工，完成主体结构的2/3。开始内外墙体的砌筑和抹灰工作，以及屋顶结构的搭建。确保配套基础设施的施工与主体结构施工同步进行，避免后期施工冲突。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4.第四季度：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完成主体结构施工，开始内部装修和设施安装工作。对外立面进行装饰，确保建筑外观符合设计要求。完成所有配套设施的安装和调试，如消防、安防、通风系统等。进行项目验收前的准备工作，包括整理施工文档、准备验收材料等。确保项目在年底前顺利完工，并通过相关验收标准，为儿童福利院的正式投入使用做好准备</w:t>
      </w:r>
    </w:p>
    <w:p w14:paraId="3C851358">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386B1945">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0437CCE5">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二、绩效评价工作开展情况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（一）绩效评价目的、对象和范围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 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编制过程中，严格遵循《中华人民共和国预算法》及财政部印发，规范项目支出绩效评价的内容、指标、方法和结果应用，适用于中央和地方财政资金项目的《项目支出绩效评价管理办法》（财预〔2020〕10号）等相关法规，确保评价内容的全面性与准确性。报告涵盖了项目从预算编制、执行到完成的全过程，对项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搭建评价指标体系时，充分考量项目特性、既定目标及预期成果，筛选出具有代表性、易于衡量的10个关键指标。这些指标横跨产出、成本、社会效益等多个维度，旨在从多个视角全面反映项目绩效。针对每个指标，不仅明确了评价标准，还清晰标注数据来源，确保评价结果客观公正、有据可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在数据收集与分析环节，采用了多种科学合理的方法，如问卷调查、数据分析等，可快速收集大量样本数据，尤其适用于大范围或跨区域的绩效评价（如员工满意度、客户反馈等）。 其次问卷调查具有匿名性， 受访者可能更愿意在匿名情况下表达真实意见，减少因顾虑导致的回答偏差。数据分析环节有预算数、执行数、资金来源及各部分投资占比等数据。并且对数据的变化和差异进行了分析，如建设面积的计划与实际差异，确保数据能够真实反映项目情况，以确保评价结论的科学性和可靠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报告的撰写结构上，并按照统一的格式和规范进行编排，内容层次分明、条理清晰。报告涵盖了项目从背景、规划到实施、评价的全流程信息。不仅详细介绍了项目开展的起因，还对项目内容、资金使用、绩效目标设定及完成情况进行了阐述。指出了项目在实施过程中存在的问题和不足，提出了相应的改进建议对数据的变化和差异进行了分析，如建设面积的计划与实际差异。最后对整个项目的绩效状况进行了综合总结，给出了明确的评价结论和后续工作的建议，项目建成后，为州困境儿童营造了安全、温馨且充满关爱的成长环境，对促进儿童身心健康发展具有重要意义，使报告内容更全面。为项目的持续改进和决策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内容、方法和数据等方面均具备较高的完整性，能够真实、客观地反映项目的绩效情况，为项目管理决策提供了有价值的参考依据。未来可进一步细化评价指标，如针对儿童成长环境改善，增加儿童身心健康指标的量化评估；优化评价方法，引入更多利益相关方的反馈，如儿童福利院工作人员、儿童家属等的意见，提升评价的全面性和客观性，更好地服务于项目管理和优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 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项目预算执行情况及各项绩效目标达成程度的系统性分析，全面、客观地评估项目在预定周期内的实施效果，包括经济效益：在资金执行上，年初预算数360万元，全年执行数360万元，预算执行率100%，且建成了建筑面积5884.15平方米的儿童福利院。这表明在既定预算下，实现了相应规模的设施建设，达成了资金投入与硬件产出的预期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社会效益：项目建成后为州困境儿童提供了安全、温馨的成长环境，新增150张床位，缓解了巴州儿童福利设施超饱和运转的压力，让更多孤残儿童能够得到妥善安置。同时，解决了社会残障儿童家属难以入院接受公益康复和教育活动的问题，提升了家有残障儿童群众的幸福感，达成了社会效益目标。为项目后续的改进与优化提供科学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通过对预算资金的梳理，清晰呈现了各项费用的占比。如在总投资中，工程费用、其他费用、预备费各自所占的比例。经分析，在项目实施过程中，严格按照预算安排进行资金分配，在建筑施工、配套设施采购等环节未出现资金浪费现象。且建筑工程面积5884.15平方米的规划，在配套资金360万元的支持下，实现了居住室、活动室等多种功能用房的建设，使资金得到了合理高效利用，提升了资源利用效率。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在项目实施过程中，明确由项目办牵头开展监督项目建设及配套资金使用。通过绩效评价，对项目办在项目进度把控、资金监管等方面的工作进行评估。如项目按计划于2023 年8月开工，2024年11月11日完工，表明项目办有效履行了项目进度管理职责。若项目出现延误或资金使用违规等问题，可依据绩效评价结果对项目办进行问责，促使其进一步优化管理流程。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对于项目主管部门和财政部门而言，绩效评价报告中的数据和分析结果极具价值。例如，报告中详细的资金使用情况、项目产出成果以及社会效益达成情况，能辅助主管部门在后续项目审批时，判断类似项目的可行性；财政部门在安排预算时，参考本项目的资金使用效率，合理确定其他儿童福利项目的资金额度，提升公共资源配置的精准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绩效评价发现，项目实际建设面积5884.15平方米与计划的6000平方米存在差距。针对这一问题，可建议项目团队在后续项目中，加强对施工过程的监控，优化施工方案，确保建设面积达到预期。同时，持续关注儿童福利事业的发展需求，根据实际情况对福利院的功能布局进行优化，形成项目绩效持续改进的良性循环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巴财综【2023】005关于下达2023年自治州彩票公益金支持社会福利项目资金的通知--巴州儿童福利设施项目及其预算执行情况。该项目由巴州民政局负责实施，旨在为州困境儿童提供了安全、温馨、充满关爱的成长环境，保障了他们的基本生活与生存权利，使其免受饥寒困苦与不安全的因素的威胁，有效提升了儿童照护水平，有助于促进儿童的身心健康发展。项目预算涵盖从2024年1月1日至2024年11月11日的全部资金投入与支出，涉及资金总额为360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预算编制与执行：秉持严谨的态度，对项目预算的编制依据展开深入溯源，全面评估其合理性与科学性。密切跟踪项目预算的实际执行轨迹，针对预算调整行为，细致剖析背后的深层原因，并精准衡量其实施效果，通过系统分析，为优化后续预算管理提供有力支撑。</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管理：运用科学的方法，对项目资金的分配机制进行深度剖析，跟踪资金从下拨到使用的全过程，确保资金使用合规、透明。同时，通过对资金流向和使用效益的评估，及时发现潜在问题，挖掘提升资金使用效率的空间，实现财政资金效益的最大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项目实施进度与产出：严格对照既定计划，采用定量与定性相结合的方式，评估项目推进过程的流畅性，核查各项任务是否按时、高质量完成。从数量、质量和时效性等多维度，对项目产出进行系统评估，确保项目达成预期的建设目标，为儿童福利事业提供坚实的硬件和服务保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社会影响：从宏观视角出发，全面考察项目对社会和经济领域产生的综合影响。评估项目在提升儿童福利水平、推动社会公平、带动区域经济发展等方面发挥的作用，深入分析项目的长期价值与战略意义，为同类项目的开展提供有益借鉴。</w:t>
      </w:r>
    </w:p>
    <w:p w14:paraId="7BF3E56F">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4F31A2CF">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（二）绩效评价原则、评价指标体系（详情见表1）、评价方法、评价标准。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（1）科学公正。绩效评价应当运用科学合理的方法，按照规范的程序，对项目绩效进行客观、公正的反映。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（2）统筹兼顾。单位自评、部门评价和财政评价应职责明确，各有侧重，相互衔接。单位自评应由项目单位自主实施，即“谁支出、谁自评”。部门评价和财政评价应在单位自评的基础上开展。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（4）公开透明。绩效评价结果应依法依规公开，并自觉接受社会监督。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  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因素分析法。是指综合分析影响绩效目标实现、实施效果的内外部因素的方法。能将复杂的财务指标分解为多个构成因素，清晰展现每个因素对总体结果的影响程度。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计划标准。指以预先制定的目标、计划、预算、定额等作为评价标准。</w:t>
      </w:r>
    </w:p>
    <w:p w14:paraId="451D40B6">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6D35373B">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 前期筹备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在项目绩效评价工作正式启动之际，迅速开展会议，分配讨论评价工作，与此同时，通过对项目关键信息的梳理，精准确定评价的关键要素，为后续各项评价工作的有序开展筑牢根基。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 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紧密围绕巴州儿童福利院项目的独特特性与既定目标，精心搭建科学合理的绩效评价指标体系。该体系全面覆盖项目决策、执行过程、实际产出以及最终效益四个核心维度。在指标选取过程中，着重挑选可量化9条的关键指标，清晰明确各指标的评价标准，并运用科学方法确定其权重。通过这种方式，确保评价体系能够全方位、客观地反映项目的真实绩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 数据收集整理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的计划文件、预算报告等资料，都由项目实施主体巴州民政局掌握，数据的真实性和可靠性有保障。例如，在评价项目预算执行情况时，年初预算数1011.52万元，全年预算数1011.52万元，全年执行数1011.52万元，预算执行率为100%，这些数据与项目计划预算直接对比，就能清晰地反映出预算执行的情况，减少因数据收集困难或数据偏差导致的评价误差，保证评价结果客观、公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 分析评估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将绩效指标的实际完成情况与预期目标进行细致对比，精确计算各项指标的达成率，精准找出项目实施过程中的优势与不足。如建设面积的计划与实际差异，是由于预测面积时，测量方法不准确，导致预测面积与实际面积存在偏差，并提出改进措施：在项目前期，充分开展考察工作，选取更准确的测量方法，为准确的预测面积提供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 报告撰写反馈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依据系统的分析结果，撰写内容详实的评价报告。报告全面涵盖项目概况、所采用的评价方法、具体的绩效结果以及切实可行的改进建议等内容。报告完成后，第一时间向项目实施方进行反馈，并积极收集各方意见。通过对报告的反复优化，进一步增强其在实际项目管理中的实用性。</w:t>
      </w:r>
    </w:p>
    <w:p w14:paraId="092382BF">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20BB3568">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三、综合评价情况及评价结论（附相关评分表）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巴财综【2023】005关于下达2023年自治州彩票公益金支持社会福利项目资金的通知--巴州儿童福利设施项目在巴州儿童福利院项目设计变更率、竣工验收合格率等方面表现出色，达到了预期的标准与要求。同时，项目也在支付成本环节取得了显著的成效，如项目预算控制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在项目管理方面，巴州民政局通过有效的规划、组织与协调，项目得以顺利实施，并在预算与时间上保持了良好的控制。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从项目效益的角度来看，本项目不仅实现了预期的社会效益方面产生了积极的影响。具体而言，经济效益方面的提升，为项目的利益相关者带来了实实在在的利益。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综上所述，巴财综【2023】005关于下达2023年自治州彩票公益金支持社会福利项目资金的通知--巴州儿童福利设施项目在绩效评价中表现出色，达到了项目的预期目标，并在多个方面取得了显著的成效。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99分，属于“优”。其中，项目决策类指标权重为20分，得分为 20分，得分率为 100%。项目过程类指标权重为20分，得分为20分，得分率为 100%。项目产出类指标权重为40分，得分为39分，得分率为 97.5%。项目效益类指标权重为20分，得分为20分，得分率为100%。具体打分情况详见：附件1综合评分表。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39</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99</w:t>
      </w:r>
    </w:p>
    <w:p w14:paraId="5AA16753">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206CCFEA">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502D20B6">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四、绩效评价指标分析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（一）项目决策情况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立项根据《自治州第十届党委财经委员会第八次会议纪要》中关于“建设巴州民政福利产业园区”的相关精神和《“十四五”时期全民健身设施补短板工程实施方案》《“十四五”时期社会服务设施兜底线工程实施方案》(发改社会〔2021〕560号)文件，符合国家相关法律法规及发展政策，符合行业规划要求，围绕工作计划制定经费预算，属于公共财政支持范围。本项目与部门内部其他相关项目不重复。部门发展规划及职能文件等归档完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严格遵循行政单位项目管理相关规章制度开展申请与设立工作。在项目筹备阶段，组织专业人员按照审批流程，全面梳理并准备符合要求的申报文件与材料，确保申报材料的真实性、完整性。以决算依据为指引，主动与项目分管领导、项目负责部门开展多轮沟通，结合单位年度工作重点与资金状况，科学制定项目经费年度工作计划。项目审批文件与材料均符合相关政策法规要求，且事前通过专业第三方机构开展绩效评估，并经单位领导班子集体决策，确保项目立项程序合法合规，保障项目实施的规范性与可行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年初，紧密围绕行政单位核心职能与实际工作需求，设定项目绩效目标。绩效目标制定过程中，深入调研分析项目实施的必要性与预期效果，确保目标依据充分、符合客观实际，能准确反映和考核项目绩效与项目实施的相符程度。依据绩效目标，细化设计绩效指标，做到清晰、可量化、可考核，全面反映项目绩效目标的明细化情况。绩效目标表经单位内部多部门审核，确保绩效目标与行政工作内容紧密相关，项目预算与确定的投资额精准匹配，并对项目任务进行详细分解。项目预期产出效益及效果设定合理，符合行政单位正常履职的业绩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项目设置了明确的预期产出效益和效果，将绩效目标细化分解为具体的10条绩效指标，绩效目标与项目目标任务数相对应，其中8条可量化指标，量化率为80%。清晰反映和考核项目绩效目标的明细化情况。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编制工作秉持严谨、科学的态度，践行行政单位精细化管理要求。预算编制初期，组织专业财务人员与业务骨干，运用科学的成本估算方法，对项目所需的人力、物力、财力等各项资源进行全面估算，确保资源预估合理、分配科学。结合项目特点与行政单位实际工作情况，深入分析项目不同阶段、不同任务的资金需求，为预算编制提供精准依据。在预算编制过程中，始终贯彻成本控制与效益最大化原则，通过优化资源配置、规范预算编制流程，提高资金使用效率。同时，充分考虑项目实施过程中的风险因素，预留一定比例的资金应对可能出现的超支情况，增强预算的弹性与稳定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资金分配严格遵循公平、公正、透明的原则，确保资金使用效益最大化。在分配过程中，充分结合行政单位项目实施的实际需求与目标，对项目不同阶段、不同任务的资金进行科学规划。优先保障项目关键领域与重要环节的资金需求，确保项目顺利推进。同时，注重资金的均衡分配，避免出现资金闲置或浪费现象。在资金分配方案制定过程中，充分考虑可能出现的风险因素，预留一定的资金进行动态调整，保障项目资金使用的合理性与安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0CBC2A3F">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7A746240">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（二）项目过程情况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项目过程类指标包括资金管理和组织实施两方面的内容，由5个三级指标构成，权重分值为20分，实际得分20分，得分率为100%。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本项目总投资360万元，财政资金及时足额到位，到位率100%，预算资金按计划进度执行。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预算编制较为详细，项目资金支出总体能够按照预算执行，预算资金支出360万元，预算执行率为100%。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严格遵守国家相关法律法规、财政部门及行政单位内部财务制度，建立健全财务管理体系，对资金流动实施全程监控与记录。在资金使用过程中，坚持专款专用原则，杜绝资金挪用、截留等违规行为。加强对资金使用的审计与监督，定期开展财务收支自查自纠工作，主动接受上级部门与社会公众的监督，及时发现并纠正潜在问题。同时，充分考虑成本效益原则，通过优化资源配置、提高资金使用效率，实现项目资金的最大化利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结合行政单位项目管理实际需求，构建一套全面、系统的管理制度体系。该体系围绕项目全生命周期，涵盖项目策划、组织实施、过程监控、验收评价等各个环节。在制度设计过程中，充分征求各部门意见，确保制度条款既符合国家政策法规要求，又具有较强的可操作性。针对项目实施过程中可能出现的风险，制定详细的风险应对策略与应急预案，提前防范化解各类风险。建立常态化监督机制与双向反馈机制，定期对项目执行情况进行巡检评估，及时发现并纠正执行偏差，保障项目顺利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过程中，行政单位高度重视管理制度的执行工作，通过明确责任分工、制定详细执行计划、加强监督考核等措施，确保各项管理制度得到有效落实。项目团队成员严格按照制度要求开展工作，形成良好的制度执行氛围。建立高效的沟通机制与反馈机制，及时传递项目信息，快速解决项目实施过程中出现的问题，进一步提高制度执行的效率与效果，为项目目标的顺利实现提供有力保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02BC6894">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7F03EFD5">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（三）项目产出情况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项目产出类指标包括产出数量、产出质量、产出时效、产出成本四方面的内容，由7个三级指标构成，权重分为40分，实际得分39分，得分率为97.5%。具体产出指标完成情况如下：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指标1巴州儿童福利院建设数量，指标值：&gt;=1个，实际完成值：1个，指标完成率100%，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巴州儿童福利院建设面积，指标值：&gt;=6000平方米，实际完成值：=5884.15平方米，指标完成率98.07%，偏差原因：由于预测面积时，测量方法不准确，导致预测面积与实际面积存在偏差。改进措施：在项目前期，充分开展考察工作，选取更准确的测量方法，为准确的预测面积提供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此项权重分值为10分，得分为9分。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指标1项目设计变更率，指标值：&lt;=10%，实际完成值：=0%，指标完成率100%，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指标2竣工验收合格率，指标值：&gt;=90%，实际完成值：=100%，指标完成率100%，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指标3项目资金支付率，指标值：&gt;=90%，实际完成值：=100%，指标完成率100%。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指标1项目按计划完工时间，指标值：2024年12月，实际完成值：2024年11月，指标完成率100%。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指标1项目预算控制率，指标值：&lt;=100%，实际完成值：=100%，指标完成率100%。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0518AE39">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74EDD121">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（四）项目效益情况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项目效益类指标包括项目实施效益和满意度两方面的内容，由3个三级指标构成，权重分为20分，实际得分20分，得分率为100%。具体效益指标及满意度指标完成情况如下：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①社会效益指标：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指标1正常运转率，指标值：&gt;=90%，实际完成值：=100%，指标完成率100%，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指标2儿童照护水平，指标值：不断提高，实际完成值：达成目标，指标完成率100%。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295EBB80">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2.满意度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指标1服务对象满意度，指标值：=100%，实际完成值：=100%，指标完成率100%。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（五）预算执行进度与绩效指标总体完成率偏差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财综【2023】005关于下达2023年自治州彩票公益金支持社会福利项目资金的通知--巴州儿童福利设施项目年初预算360万元，全年预算360万元，实际支出360万元，预算执行率为100%，项目绩效指标总体完成率为99.66%，总体偏差率为0.34%，偏差原因由于预测面积时，测量方法不准确，导致预测面积与实际面积存在偏差。改进措施：在项目前期，充分开展考察工作，选取更准确的测量方法，为准确的预测面积提供依据。</w:t>
      </w:r>
    </w:p>
    <w:p w14:paraId="570D82E1">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27033971">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五.主要经验及做法、存在的问题及原因分析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提前做好项目规划，将所列计划再三审核。建立完善的建设标准与规范，涵盖设施选址、建筑设计、装修装饰、设备配备等方面，严格遵循国家标准与行业规范，确保设施安全性、功能性与舒适性达标，同时加强建设过程管理，严格把握工程质量、进度与成本，确保项目顺利推进。为确保项目顺利进行，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相关绩效管理方面专业知识的系统性学习有待加强。各项指标的设置要进一步优化、完善，主要在细化、量化上改进。在绩效自评过程中，由干部分人员缺乏相关绩效管理专业知识，自评价工作还存在自我审定的局限性，影响评价质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从事儿童福利工作的专业人员数量有限，尤其是具备特殊教育、康复治疗、心理咨询等专业技能的人才短缺，这导致在设施运营过程中，难以为有特殊需求的儿童提供全面、专业的服务，影响儿童福利设施的功能发挥和服务品质提升。</w:t>
      </w:r>
    </w:p>
    <w:p w14:paraId="34A885FB">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062B877F">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六.有关建议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1.加强绩效管理知识培训与指标优化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开展系统性培训：组织面向项目团队的绩效管理专业培训，邀请行业专家进行集中授课，课程内容涵盖绩效指标设计、自评流程与方法、绩效管理工具应用等知识，系统性提升团队成员的专业素养。同时，收集、整理绩效管理相关的优质学习资料，分享给团队成员，鼓励他们进行自主学习与提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优化指标体系：组建由财务专家、项目管理骨干、一线业务人员构成的指标优化小组，共同对现有绩效指标进行审查。根据项目实际情况，对指标进行细化与量化，确保每项指标可衡量、可考核。例如，针对服务完成进度，设置具体的时间节点和量化的完成比例；对服务质量，制定明确的评分标准与客户反馈机制。此外，建立指标动态调整机制，根据项目进展与外部环境变化，及时对指标进行优化更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2.强化儿童福利专业人才队伍建设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拓宽人才招聘渠道：与高校特殊教育、康复治疗、心理咨询等相关专业建立合作关系，通过校园招聘、设立实习基地等方式，吸引优秀毕业生加入儿童福利工作队伍。同时，利用网络招聘平台、社交媒体等渠道，发布具有竞争力的岗位信息，面向社会广泛招募有经验的专业人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开展专业技能培训：定期组织内部培训，邀请行业专家对在职人员进行专业技能培训，提升其服务能力。例如，开展特殊教育教学方法、康复治疗技术、心理咨询技巧等方面的培训课程。鼓励员工参加外部专业培训与学术交流活动，为员工提供学习交流的机会，拓宽他们的视野，及时掌握行业最新动态与技术。</w:t>
      </w:r>
    </w:p>
    <w:p w14:paraId="603AE546">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1FCB2271">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本项目无其他需说明的问题。</w:t>
      </w:r>
    </w:p>
    <w:p w14:paraId="210ABA90">
      <w:pPr>
        <w:spacing w:line="540" w:lineRule="exact"/>
        <w:ind w:firstLine="567"/>
        <w:rPr>
          <w:rStyle w:val="19"/>
          <w:rFonts w:ascii="仿宋" w:hAnsi="仿宋" w:eastAsia="仿宋"/>
          <w:b w:val="0"/>
          <w:spacing w:val="-4"/>
          <w:sz w:val="32"/>
          <w:szCs w:val="32"/>
        </w:rPr>
      </w:pPr>
    </w:p>
    <w:p w14:paraId="26AAF7B1">
      <w:pPr>
        <w:spacing w:line="540" w:lineRule="exact"/>
        <w:ind w:firstLine="567"/>
        <w:rPr>
          <w:rStyle w:val="19"/>
          <w:rFonts w:ascii="仿宋" w:hAnsi="仿宋" w:eastAsia="仿宋"/>
          <w:b w:val="0"/>
          <w:spacing w:val="-4"/>
          <w:sz w:val="32"/>
          <w:szCs w:val="32"/>
        </w:rPr>
      </w:pPr>
    </w:p>
    <w:p w14:paraId="37356C47">
      <w:pPr>
        <w:spacing w:line="540" w:lineRule="exact"/>
        <w:ind w:firstLine="567"/>
        <w:rPr>
          <w:rStyle w:val="19"/>
          <w:rFonts w:ascii="仿宋" w:hAnsi="仿宋" w:eastAsia="仿宋"/>
          <w:b w:val="0"/>
          <w:spacing w:val="-4"/>
          <w:sz w:val="32"/>
          <w:szCs w:val="32"/>
        </w:rPr>
      </w:pPr>
    </w:p>
    <w:p w14:paraId="0D194BF3">
      <w:pPr>
        <w:spacing w:line="540" w:lineRule="exact"/>
        <w:ind w:firstLine="567"/>
        <w:rPr>
          <w:rStyle w:val="19"/>
          <w:rFonts w:ascii="仿宋" w:hAnsi="仿宋" w:eastAsia="仿宋"/>
          <w:b w:val="0"/>
          <w:spacing w:val="-4"/>
          <w:sz w:val="32"/>
          <w:szCs w:val="32"/>
        </w:rPr>
      </w:pPr>
    </w:p>
    <w:p w14:paraId="5F50EA20">
      <w:pPr>
        <w:spacing w:line="540" w:lineRule="exact"/>
        <w:ind w:firstLine="567"/>
        <w:rPr>
          <w:rStyle w:val="19"/>
          <w:rFonts w:ascii="仿宋" w:hAnsi="仿宋" w:eastAsia="仿宋"/>
          <w:b w:val="0"/>
          <w:spacing w:val="-4"/>
          <w:sz w:val="32"/>
          <w:szCs w:val="32"/>
        </w:rPr>
      </w:pPr>
    </w:p>
    <w:p w14:paraId="222B1E34">
      <w:pPr>
        <w:spacing w:line="540" w:lineRule="exact"/>
        <w:ind w:firstLine="567"/>
        <w:rPr>
          <w:rStyle w:val="19"/>
          <w:rFonts w:ascii="仿宋" w:hAnsi="仿宋" w:eastAsia="仿宋"/>
          <w:b w:val="0"/>
          <w:spacing w:val="-4"/>
          <w:sz w:val="32"/>
          <w:szCs w:val="32"/>
        </w:rPr>
      </w:pPr>
    </w:p>
    <w:p w14:paraId="64766088">
      <w:pPr>
        <w:spacing w:line="540" w:lineRule="exact"/>
        <w:ind w:firstLine="567"/>
        <w:rPr>
          <w:rStyle w:val="19"/>
          <w:rFonts w:ascii="仿宋" w:hAnsi="仿宋" w:eastAsia="仿宋"/>
          <w:b w:val="0"/>
          <w:spacing w:val="-4"/>
          <w:sz w:val="32"/>
          <w:szCs w:val="32"/>
        </w:rPr>
      </w:pPr>
    </w:p>
    <w:p w14:paraId="776CD84E">
      <w:pPr>
        <w:spacing w:line="540" w:lineRule="exact"/>
        <w:ind w:firstLine="567"/>
        <w:rPr>
          <w:rStyle w:val="19"/>
          <w:rFonts w:ascii="仿宋" w:hAnsi="仿宋" w:eastAsia="仿宋"/>
          <w:b w:val="0"/>
          <w:spacing w:val="-4"/>
          <w:sz w:val="32"/>
          <w:szCs w:val="32"/>
        </w:rPr>
      </w:pPr>
    </w:p>
    <w:p w14:paraId="4EF7CCFC">
      <w:pPr>
        <w:spacing w:line="540" w:lineRule="exact"/>
        <w:ind w:firstLine="567"/>
        <w:rPr>
          <w:rStyle w:val="19"/>
          <w:rFonts w:ascii="仿宋" w:hAnsi="仿宋" w:eastAsia="仿宋"/>
          <w:b w:val="0"/>
          <w:spacing w:val="-4"/>
          <w:sz w:val="32"/>
          <w:szCs w:val="32"/>
        </w:rPr>
      </w:pPr>
    </w:p>
    <w:p w14:paraId="29643CA1">
      <w:pPr>
        <w:spacing w:line="540" w:lineRule="exact"/>
        <w:ind w:firstLine="567"/>
        <w:rPr>
          <w:rStyle w:val="19"/>
          <w:rFonts w:ascii="仿宋" w:hAnsi="仿宋" w:eastAsia="仿宋"/>
          <w:b w:val="0"/>
          <w:spacing w:val="-4"/>
          <w:sz w:val="32"/>
          <w:szCs w:val="32"/>
        </w:rPr>
      </w:pPr>
    </w:p>
    <w:p w14:paraId="4C543CE9">
      <w:pPr>
        <w:spacing w:line="540" w:lineRule="exact"/>
        <w:ind w:firstLine="567"/>
        <w:rPr>
          <w:rStyle w:val="19"/>
          <w:rFonts w:ascii="仿宋" w:hAnsi="仿宋" w:eastAsia="仿宋"/>
          <w:b w:val="0"/>
          <w:spacing w:val="-4"/>
          <w:sz w:val="32"/>
          <w:szCs w:val="32"/>
        </w:rPr>
      </w:pPr>
    </w:p>
    <w:p w14:paraId="35C52F9F">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58E80F7-661B-4FF2-8C3A-9F948C60AA4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0F1E261A-5870-4FE7-BCAF-008F74D4A91A}"/>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9FD1BB8B-3490-4E06-AF2E-897854947971}"/>
  </w:font>
  <w:font w:name="华文中宋">
    <w:panose1 w:val="02010600040101010101"/>
    <w:charset w:val="86"/>
    <w:family w:val="auto"/>
    <w:pitch w:val="default"/>
    <w:sig w:usb0="00000287" w:usb1="080F0000" w:usb2="00000000" w:usb3="00000000" w:csb0="0004009F" w:csb1="DFD70000"/>
    <w:embedRegular r:id="rId4" w:fontKey="{A781EA5C-CAC3-444A-A8E0-FB1905FE3B11}"/>
  </w:font>
  <w:font w:name="方正小标宋_GBK">
    <w:panose1 w:val="02000000000000000000"/>
    <w:charset w:val="86"/>
    <w:family w:val="script"/>
    <w:pitch w:val="default"/>
    <w:sig w:usb0="A00002BF" w:usb1="38CF7CFA" w:usb2="00082016" w:usb3="00000000" w:csb0="00040001" w:csb1="00000000"/>
    <w:embedRegular r:id="rId5" w:fontKey="{65ACB179-B3D3-4916-A56E-15D8D7146E7A}"/>
  </w:font>
  <w:font w:name="仿宋_GB2312">
    <w:altName w:val="仿宋"/>
    <w:panose1 w:val="02010609030101010101"/>
    <w:charset w:val="86"/>
    <w:family w:val="modern"/>
    <w:pitch w:val="default"/>
    <w:sig w:usb0="00000000" w:usb1="00000000" w:usb2="00000000" w:usb3="00000000" w:csb0="00040000" w:csb1="00000000"/>
    <w:embedRegular r:id="rId6" w:fontKey="{5A4CB03F-FB48-4422-BBB7-8757A66CFCD3}"/>
  </w:font>
  <w:font w:name="楷体">
    <w:panose1 w:val="02010609060101010101"/>
    <w:charset w:val="86"/>
    <w:family w:val="modern"/>
    <w:pitch w:val="default"/>
    <w:sig w:usb0="800002BF" w:usb1="38CF7CFA" w:usb2="00000016" w:usb3="00000000" w:csb0="00040001" w:csb1="00000000"/>
    <w:embedRegular r:id="rId7" w:fontKey="{654CD2CE-24D5-4298-A5D2-06E0BACC5FF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481999EC">
        <w:pPr>
          <w:pStyle w:val="12"/>
          <w:jc w:val="center"/>
        </w:pPr>
        <w:r>
          <w:fldChar w:fldCharType="begin"/>
        </w:r>
        <w:r>
          <w:instrText xml:space="preserve">PAGE   \* MERGEFORMAT</w:instrText>
        </w:r>
        <w:r>
          <w:fldChar w:fldCharType="separate"/>
        </w:r>
        <w:r>
          <w:rPr>
            <w:lang w:val="zh-CN"/>
          </w:rPr>
          <w:t>1</w:t>
        </w:r>
        <w:r>
          <w:fldChar w:fldCharType="end"/>
        </w:r>
      </w:p>
    </w:sdtContent>
  </w:sdt>
  <w:p w14:paraId="5C274862">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7A24CF"/>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a7e427d6-e7ef-45de-a7f9-a7736ccefa3e}">
  <ds:schemaRefs/>
</ds:datastoreItem>
</file>

<file path=docProps/app.xml><?xml version="1.0" encoding="utf-8"?>
<Properties xmlns="http://schemas.openxmlformats.org/officeDocument/2006/extended-properties" xmlns:vt="http://schemas.openxmlformats.org/officeDocument/2006/docPropsVTypes">
  <Template>Normal.dotm</Template>
  <Pages>23</Pages>
  <Words>11424</Words>
  <Characters>11877</Characters>
  <Lines>5</Lines>
  <Paragraphs>1</Paragraphs>
  <TotalTime>0</TotalTime>
  <ScaleCrop>false</ScaleCrop>
  <LinksUpToDate>false</LinksUpToDate>
  <CharactersWithSpaces>11921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2025-09-22T04:30:58Z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