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E4C630"/>
    <w:p w14:paraId="123CA5F4">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2CC7A626">
      <w:pPr>
        <w:spacing w:line="540" w:lineRule="exact"/>
        <w:jc w:val="center"/>
        <w:rPr>
          <w:rFonts w:ascii="华文中宋" w:hAnsi="华文中宋" w:eastAsia="华文中宋" w:cs="宋体"/>
          <w:b/>
          <w:kern w:val="0"/>
          <w:sz w:val="52"/>
          <w:szCs w:val="52"/>
        </w:rPr>
      </w:pPr>
    </w:p>
    <w:p w14:paraId="62588EC3">
      <w:pPr>
        <w:spacing w:line="540" w:lineRule="exact"/>
        <w:jc w:val="center"/>
        <w:rPr>
          <w:rFonts w:ascii="华文中宋" w:hAnsi="华文中宋" w:eastAsia="华文中宋" w:cs="宋体"/>
          <w:b/>
          <w:kern w:val="0"/>
          <w:sz w:val="52"/>
          <w:szCs w:val="52"/>
        </w:rPr>
      </w:pPr>
    </w:p>
    <w:p w14:paraId="66591BFE">
      <w:pPr>
        <w:spacing w:line="540" w:lineRule="exact"/>
        <w:jc w:val="center"/>
        <w:rPr>
          <w:rFonts w:ascii="华文中宋" w:hAnsi="华文中宋" w:eastAsia="华文中宋" w:cs="宋体"/>
          <w:b/>
          <w:kern w:val="0"/>
          <w:sz w:val="52"/>
          <w:szCs w:val="52"/>
        </w:rPr>
      </w:pPr>
    </w:p>
    <w:p w14:paraId="4873FA4F">
      <w:pPr>
        <w:spacing w:line="540" w:lineRule="exact"/>
        <w:jc w:val="center"/>
        <w:rPr>
          <w:rFonts w:ascii="华文中宋" w:hAnsi="华文中宋" w:eastAsia="华文中宋" w:cs="宋体"/>
          <w:b/>
          <w:kern w:val="0"/>
          <w:sz w:val="52"/>
          <w:szCs w:val="52"/>
        </w:rPr>
      </w:pPr>
    </w:p>
    <w:p w14:paraId="3A906A76">
      <w:pPr>
        <w:spacing w:line="540" w:lineRule="exact"/>
        <w:jc w:val="center"/>
        <w:rPr>
          <w:rFonts w:ascii="华文中宋" w:hAnsi="华文中宋" w:eastAsia="华文中宋" w:cs="宋体"/>
          <w:b/>
          <w:kern w:val="0"/>
          <w:sz w:val="52"/>
          <w:szCs w:val="52"/>
        </w:rPr>
      </w:pPr>
    </w:p>
    <w:p w14:paraId="1C68BE7C">
      <w:pPr>
        <w:spacing w:line="540" w:lineRule="exact"/>
        <w:jc w:val="center"/>
        <w:rPr>
          <w:rFonts w:ascii="华文中宋" w:hAnsi="华文中宋" w:eastAsia="华文中宋" w:cs="宋体"/>
          <w:b/>
          <w:kern w:val="0"/>
          <w:sz w:val="52"/>
          <w:szCs w:val="52"/>
        </w:rPr>
      </w:pPr>
    </w:p>
    <w:p w14:paraId="7F83A6CE">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07509902">
      <w:pPr>
        <w:spacing w:line="540" w:lineRule="exact"/>
        <w:jc w:val="center"/>
        <w:rPr>
          <w:rFonts w:ascii="华文中宋" w:hAnsi="华文中宋" w:eastAsia="华文中宋" w:cs="宋体"/>
          <w:b/>
          <w:kern w:val="0"/>
          <w:sz w:val="52"/>
          <w:szCs w:val="52"/>
        </w:rPr>
      </w:pPr>
    </w:p>
    <w:p w14:paraId="541EFBDA">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123B0738">
      <w:pPr>
        <w:spacing w:line="540" w:lineRule="exact"/>
        <w:jc w:val="center"/>
        <w:rPr>
          <w:rFonts w:hAnsi="宋体" w:eastAsia="仿宋_GB2312" w:cs="宋体"/>
          <w:kern w:val="0"/>
          <w:sz w:val="30"/>
          <w:szCs w:val="30"/>
        </w:rPr>
      </w:pPr>
    </w:p>
    <w:p w14:paraId="083BC323">
      <w:pPr>
        <w:spacing w:line="540" w:lineRule="exact"/>
        <w:jc w:val="center"/>
        <w:rPr>
          <w:rFonts w:hAnsi="宋体" w:eastAsia="仿宋_GB2312" w:cs="宋体"/>
          <w:kern w:val="0"/>
          <w:sz w:val="30"/>
          <w:szCs w:val="30"/>
        </w:rPr>
      </w:pPr>
    </w:p>
    <w:p w14:paraId="168DE2F2">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289A0C09">
      <w:pPr>
        <w:spacing w:line="540" w:lineRule="exact"/>
        <w:jc w:val="center"/>
        <w:rPr>
          <w:rFonts w:hAnsi="宋体" w:eastAsia="仿宋_GB2312" w:cs="宋体"/>
          <w:kern w:val="0"/>
          <w:sz w:val="30"/>
          <w:szCs w:val="30"/>
        </w:rPr>
      </w:pPr>
    </w:p>
    <w:p w14:paraId="7FC24FCA">
      <w:pPr>
        <w:spacing w:line="540" w:lineRule="exact"/>
        <w:jc w:val="center"/>
        <w:rPr>
          <w:rFonts w:hAnsi="宋体" w:eastAsia="仿宋_GB2312" w:cs="宋体"/>
          <w:kern w:val="0"/>
          <w:sz w:val="30"/>
          <w:szCs w:val="30"/>
        </w:rPr>
      </w:pPr>
    </w:p>
    <w:p w14:paraId="01111362">
      <w:pPr>
        <w:spacing w:line="540" w:lineRule="exact"/>
        <w:jc w:val="center"/>
        <w:rPr>
          <w:rFonts w:hAnsi="宋体" w:eastAsia="仿宋_GB2312" w:cs="宋体"/>
          <w:kern w:val="0"/>
          <w:sz w:val="30"/>
          <w:szCs w:val="30"/>
        </w:rPr>
      </w:pPr>
    </w:p>
    <w:p w14:paraId="4B8BA192">
      <w:pPr>
        <w:spacing w:line="540" w:lineRule="exact"/>
        <w:rPr>
          <w:rFonts w:hAnsi="宋体" w:eastAsia="仿宋_GB2312" w:cs="宋体"/>
          <w:kern w:val="0"/>
          <w:sz w:val="30"/>
          <w:szCs w:val="30"/>
        </w:rPr>
      </w:pPr>
    </w:p>
    <w:p w14:paraId="088803BF">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00EAEA0">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提前下达2024年自治区彩票公益金支持儿童福利类项目-政府购买乡镇街道未成年人保护工作服务示范项目</w:t>
      </w:r>
    </w:p>
    <w:p w14:paraId="1E47BECF">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民政局</w:t>
      </w:r>
    </w:p>
    <w:p w14:paraId="71CDB818">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新疆巴音郭楞蒙古自治州民政局</w:t>
      </w:r>
    </w:p>
    <w:p w14:paraId="0C940EC2">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王建伟</w:t>
      </w:r>
    </w:p>
    <w:p w14:paraId="51752589">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2025年03月27日</w:t>
      </w:r>
    </w:p>
    <w:p w14:paraId="1739F062">
      <w:pPr>
        <w:spacing w:line="700" w:lineRule="exact"/>
        <w:ind w:firstLine="708" w:firstLineChars="236"/>
        <w:jc w:val="left"/>
        <w:rPr>
          <w:rFonts w:hAnsi="宋体" w:eastAsia="仿宋_GB2312" w:cs="宋体"/>
          <w:kern w:val="0"/>
          <w:sz w:val="30"/>
          <w:szCs w:val="30"/>
        </w:rPr>
      </w:pPr>
    </w:p>
    <w:p w14:paraId="76A9AB22">
      <w:pPr>
        <w:spacing w:line="540" w:lineRule="exact"/>
        <w:rPr>
          <w:rStyle w:val="19"/>
          <w:rFonts w:ascii="黑体" w:hAnsi="黑体" w:eastAsia="黑体"/>
          <w:b w:val="0"/>
          <w:spacing w:val="-4"/>
          <w:sz w:val="32"/>
          <w:szCs w:val="32"/>
        </w:rPr>
      </w:pPr>
    </w:p>
    <w:p w14:paraId="54037C55">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35620F7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4F07257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国家高度重视未成年人保护工作，为落实《中华人民共和国未成年人保护法》中关于乡镇人民政府和街道办事处设立未成年人保护工作站的法定要求，政府明确了保护原则、责任与措施，确立了政府的主导作用。当前，未成年人面临家庭监护缺失、学校教育局限和社会环境复杂等多重风险。部分乡镇街道家庭监护不足，学校难以关注学生个性化需求，社会不良因素频发。在此背景下，政府购买乡镇街道未成年人保护工作服务示范项目意义重大。对未成年人，能提供全面个性化保护，促进其身心健康全面发展；对家庭，可给予支持指导，缓解压力、改善关系、提升教育水平；对乡镇街道，有助于完善服务体系，提升社区治理能力，促进文化建设。从社会层面看，该项目有助于预防未成年人问题，培养未来栋梁之才，推动社会治理创新。总之，此项目是加强未成年人保护、促进社会和谐发展的重要举措，为构建全方位未成年人保护体系奠定基础，加强基层未成年人保护工作高质量发展，具有深远的社会价值和现实意义，值得我们全力推进和不断完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针对遭受性侵害、家庭暴力、欺凌等伤害的未成年人，政府通过购买服务，在乡镇街道设立13个未保站并投入230万元资金补助，确保每个站点配备1名专业社会工作服务者，以提供人际调适、精神慰藉、心理疏导和教育引导等关爱服务。目标是实现未成年人服务保障全覆盖，其中7个服务3万以上人口的乡镇街道未保站各获20万元补助，6个人口3万以下的乡镇街道未保站各获15万元补助。</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在未成年人保护工作中，已完成对7个人口规模三万以上乡镇街道的补助，每个20万元，以及对6个人口规模三万以下乡镇街道的补助，每个15万元，共配备26名社会工作者，实现了不同规模乡镇街道未成年人保护工作的全面覆盖。为辖区内未成年人提供监护评估、心理疏导、安全自护、协助维权及宣传培训等多种服务，尤其是针对遭受性侵害、家庭暴力、欺凌等伤害的未成年人，提供人际调适、精神慰藉、心理疏导和教育引导等专业性关爱服务，有力推动全州乡镇（街道）未成年人保护工作站建设，加强基层未成年人保护工作高质量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该项目年初预算数230万元，全年预算数230万元，该项目资金已全部落实到位，资金来源为财政拨款。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230万元，全年预算数230万元，全年执行数230万元，预算执行率为100%，主要用于：为7个人口规模三万以上的乡镇街道分别提供20万元补助，共计140万元；为6个人口规模三万以下的乡镇街道分别提供15万元补助，共计90万元，并配备总计26名社会工作者，实现了对不同规模乡镇街道未成年人保护工作的有效覆盖。</w:t>
      </w:r>
    </w:p>
    <w:p w14:paraId="29FF0F4E">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79D4528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给巴州未成年人全力提供规范化、专业化、精准化服务，为13个未保站提供补助，配备参与项目的儿童福利社会工作者至少13人，为辖区内孤儿、留守儿童、困境儿童及其家庭开展需求评估，提供危机干预、监护评估、心理疏导、安全自护、个案处置、社会融入、协助维权、开展宣传培训等服务，以及针对遭受性侵害、家庭暴力、欺凌等伤害事件的未成年人提供人际调适、精神慰藉、心理疏导、教育引导等专业性关爱服务，更好地推动全州乡镇（街道）未成年人保护工作站建设和加强基层未成年人保护工作高质量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第一季度：组建专业团队，设计评估工具，试点评估困境儿童；全面走访、问卷、访谈，收集分析数据，建立困境儿童档案。完成需求评估报告，制定个性化服务方案初稿。</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二季度：根据需求评估结果，为13个未保站配备至少1名儿童福利社会工作者，开展基础培训；儿童福利社会工作者开始对困境儿童及其家庭进行监护评估、心理疏导等基础服务；建立服务跟踪机制，定期回访困境儿童及其家庭，调整服务方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三季度：开展中期评估，检查各项服务的实施情况和效果；根据中期评估结果，调整服务策略和内容；策划并组织未成年人保护工作宣传活动，如线下讲座等；持续开展宣传培训活动，扩大活动覆盖范围，提高社会各界关注度；对宣传培训效果进行评估，总结经验教训，优化活动方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第四季度：开展末期评估，检查各项服务的实施情况和效果；加强与其他部门的协作；总结全年工作，整理案例资料，待项目验收合格后，支付剩余资金。</w:t>
      </w:r>
    </w:p>
    <w:p w14:paraId="5A1240EB">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2DCAE696">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55269A3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如服务覆盖率：接受心理健康辅导、参加安全自护培训的未成年人占辖区内未成年人总数的比例；服务质量：通过对服务对象及其家长的问卷调查、访谈等方式，了解他们对服务质量的评价，包括服务内容的针对性、服务方式的有效性等；社会效益：评估项目对未成年人成长环境和社区氛围的积极影响，如未成年人违法犯罪率的变化、社区对未成年人保护工作的关注度提升程度等。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实地调研：深入乡镇街道未保站、学校、社区等场所，观察服务项目的实际开展情况，与服务对象、工作人员进行面对面交流，获取第一手资料；问卷调查：设计针对未成年人、家长、教师及社区居民的问卷，广泛收集他们对项目的认知度、参与度、满意度等信息；数据分析：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方面，遵循统一的格式与规范精心编排，内容层次清晰、条理分明。起初从国家法律法规维度和未成年人社会现实需求层面等出发，借助实地调研学校与社区，科学合理地设定目标及预算安排，为后续绩效评价筑牢背景根基；继而详细阐释绩效评价的指标体系、评价方法与数据来源，以此保障评价过程透明且可复现；而后逐一对各项绩效指标的达成情况展开深入剖析与评价，精准指出项目实施中的问题与不足，并提出针对性改进建议；最终全面总结项目整体绩效状况，给出明确评价结论及后续工作建议，有力支撑项目的持续优化与决策进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政府购买乡镇街道未成年人保护工作服务示范项目的预算绩效评价报告，在内容完整性、方法科学性及数据可靠性等方面均表现出色，真实且客观地展现了项目的绩效状况，为项目管理及决策提供了极具价值的参考依据。展望未来，我们将持续优化绩效评价体系，不断提高评价工作的质量和水平，从而更有效地服务于该项目的管理与优化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政府购买乡镇街道未成年人保护工作服务示范项目预算执行情况及各项绩效目标达成程度的系统性分析，全面、客观地评估项目在预定周期内的实施效果，包括社会效益等多维度指标，推动未成年人保护工作高质量发展，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项目预算资金的投入与产出关系，识别资金使用过程中的冗余环节与低效领域，科学合理改进政府购买乡镇街道未成年人保护工作服务示范项目的工作计划及资金使用计划，挖掘潜在的资源优化配置空间，推动项目在有限的预算资源下实现更高的绩效产出，提升整体资源利用效率，达到社会效益最大化，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绩效管理工作中，应清晰界定各参与主体的职责与任务。巴州民政局在政府购买乡镇街道未成年人保护工作服务示范项目中就承担着重要的监督与管理职责。其需要严密监督购买服务的第三方，严格依照项目工作计划及资金使用计划推进项目。同时，巴州民政局借助绩效评价结果，对项目管理过程展开监督与问责，以此促使购买政府服务的项目承接方强化责任意识，主动对管理流程予以优化，完善内部控制机制，提升项目管理水平与执行力，从而保障项目能够按计划、高质量地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巴州民政局、巴州财政部门及相关决策层提供详实、准确的绩效评价信息，辅助其在项目审批、预算安排、政策调整等关键决策环节做出更加科学、合理的判断，促进政府购买乡镇街道未成年人保护工作服务示范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巴州民政局及政府购买服务方聚焦关键环节，持续优化项目实施方案，帮助未成年人树立正确的价值观和行为准则，促进身心健康发展。加强过程监控与质量把控，形成项目绩效持续改进的良性循环，不断提升项目整体绩效水平，实现项目长期稳定发展的目标，未成年人是社会的未来和希望，为他们提供优质的保护和服务，有助于培养具有良好道德品质、创新精神和实践能力的高素质人才，这些人才将成为推动社会发展、进步的重要力量，为国家的繁荣富强奠定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通过早期干预和服务，及时发现并解决未成年人在成长过程中出现的各种问题，如违法犯罪、不良行为等，有效预防未成年人问题的恶化和蔓延。这有助于减少社会不稳定因素，维护社会的和谐与稳定。</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提前下达2024年自治区彩票公益金支持儿童福利类项目-政府购买乡镇街道未成年人保护工作服务示范项目及其预算执行情况。该项目由巴州民政局负责实施，旨在为人口规模三万以上的7个乡镇街道，以及人口规模三万以下的6个乡镇街道，共配备26名社会工作者，为辖区内的未成年人提供监护评估、心理疏导、安全自护等服务，实现了对不同规模的乡镇街道未成年人保护工作的有效覆盖。项目预算涵盖从2024年1月1日至2024年12月25日的全部资金投入与支出，涉及资金总额为230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（4）社会影响：考察项目对未成年人保护工作的高质量发展。</w:t>
      </w:r>
    </w:p>
    <w:p w14:paraId="330071F2">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2965A27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（1）科学公正。绩效评价应当运用科学合理的方法，按照规范的程序，从项目的资金使用情况、目标实际完成情况、社会效益等方面对项目绩效进行客观、公正的反映。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（2）统筹兼顾。单位自评、部门评价和财政评价应职责明确，各有侧重，相互衔接。单位自评应由巴州民政局自主实施，即“谁支出、谁自评”。部门评价和财政评价应在单位自评的基础上开展。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（4）公开透明。绩效评价结果应在巴州人民政府网依法依规公开，使项目资金使用情况、项目成效透明，并自觉接受社会监督。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因素分析法，原因是提前下达2024年自治区彩票公益金支持儿童福利类项目-政府购买乡镇街道未成年人保护工作服务示范项目资金影响绩效目标实现因素多，运用因素分析法能综合分析项目预算编制科学性、资金分配合理性、资金使用合规性等因素，能充分反映绩效评价的全面性及准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原因是提前下达2024年自治区彩票公益金支持儿童福利类项目-政府购买乡镇街道未成年人保护工作服务示范项目资金量化指标较多，采用计划标准能预先制定目标、计划、预算、定额等作为评价标准，可以科学合理的帮助本次项目明确绩效评价指标，提高绩效评估效率。</w:t>
      </w:r>
    </w:p>
    <w:p w14:paraId="00A2F643">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77E8592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民政局通过政府购买服务，相关业务科室为组员以及第三方机构组成的评价工作组，开展前期调研；其次提前下达2024年自治区彩票公益金支持儿童福利类项目-政府购买乡镇街道未成年人保护工作服务示范项目资金使用计划明确项目绩效目标，设计绩效评价指标体系并确定绩效评价方法；接着确定现场和非现场评价范围，设计资料清单，包括调查问卷及相关分析报告等；最后制定评价实施方案，通过召集相关负责人集体决策进行论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考虑到政府购买乡镇街道未成年人保护工作项目的独特性质、明确目标以及预期成果，我单位精心构建了一个科学合理的绩效评价指标体系。该体系全面涵盖项目决策的科学性、项目过程的规范性、项目产出的有效性以及项目效益的持续性四个核心维度，并精选了一系列具有代表性且易于衡量的关键指标。例如，社会效益指标“推动未成年人保护工作高质量发展”，通过这一指标能够清晰展现政府购买乡镇街道未成年人保护工作项目为未成年人提供优质保护和服务的成果，有助于培养具备良好道德品质、创新精神和实践能力的高素质人才。这些人才将成为推动社会发展与进步的重要力量，为国家的繁荣富强筑牢坚实根基。同时，为每个指标明确了具体评价标准，并合理分配权重，以此确保评价结果能够全面、精准地反映该项目的实际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阶段，我们广泛涉猎了与政府购买乡镇街道未成年人保护工作项目相关的各类数据来源，包括详细的财务报表如明确该项目的每笔资金使用情况、全面的项目文档如活动方案、活动场次及活动人员名单等，以及来自受益未成年人对项目的活动过程、工作人员等的真实反馈。我们高度重视所收集数据的质量与完整性，对于任何缺失或异常的数据，都采取了严谨的科学处理方法进行合理的补充和修正。随后，对这些宝贵的数据进行了系统的分类和整理，以便及时调整方案中的不足，使项目工作计划更加条理清晰、易于分析，从而为后续的深入数据分析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整理完毕后，我们运用先进的数据分析方法，对收集的数据进行深度挖掘与分析。例如，通过对参与活动的未成年人展开关于活动方案、活动过程、工作人员等方面的问卷调查，并进行统计分析，以便及时调整活动方案，使项目更加顺利地推进，实现项目成效的最大化。同时，通过细致对比各项绩效指标的实际完成情况与预设预期目标，精确计算各指标的达成率，并结合预先设定的指标权重，进行综合评分，从而得出政府购买乡镇街道未成年人保护工作项目的整体绩效评价结果。在分析过程中，我们特别注重数据之间的逻辑关联与内在规律，深入剖析项目绩效背后的深层次原因，准确识别项目实施过程中的优势与潜在不足，为后续提出针对性的改进建议提供了有力的数据支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深入的数据分析与评估结果，我们严格按照统一格式和规范撰写了政府购买乡镇街道未成年人保护工作项目的预算绩效评价报告。该报告内容全面详实，涵盖项目背景（从国家法律法规层面及社会层面分析项目实施的必要性）、评价目的、评价指标体系、数据收集与分析方法、绩效评价结果、存在的问题以及具体改进建议等多个方面。在撰写过程中，我们力求报告内容条理清晰、重点突出、语言简洁明了，以便更好地传达评价结果和建议。报告完成后，我们及时向巴州民政局相关业务科室及项目承接方等进行了反馈和沟通，充分听取各方意见和建议，并对报告内容进一步优化完善，确保评价报告的质量和实用性得到最大程度提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提交评价报告后，我们将持续关注政府购买乡镇街道未成年人保护工作项目的改进措施落实情况，并定期对项目绩效进行复查和评估。我们深知持续改进的重要性，因此将确保项目能够根据评价结果及时进行调整和优化，以实现绩效的持续提升。同时，我们也密切关注项目实施过程中出现的新情况、新问题，并适时对绩效评价指标体系与方法进行调整和完善，以保持评价工作的适应性和前瞻性。我们坚信通过持续的努力和改进，将为政府购买乡镇街道未成年人保护工作项目的长期稳定发展提供有力保障。</w:t>
      </w:r>
    </w:p>
    <w:p w14:paraId="13F9A71C">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1CD2AF38">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提前下达2024年自治区彩票公益金支持儿童福利类项目-政府购买乡镇街道未成年人保护工作服务示范项目在参与项目的儿童福利社会工作者人数、未成年人服务保障率，达到了预期的标准与要求。同时，项目也在推动未成年人保护工作高质量发展等方面表现出色取得了显著的成效，如该项目帮助困境儿童提高社交能力、缓解家庭关系等方面具有显著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在项目管理方面，巴州民政局通过政府购买服务以及有效的规划、组织与协调，项目得以顺利实施，并在预算与时间上保持了良好的控制。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实现了预期的社会效益推动未成年人保护工作高质量发展方面产生了积极的影响。具体而言，困境儿童的心里状态更加积极健康、家庭关系愈发和谐融洽等，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综上所述，提前下达2024年自治区彩票公益金支持儿童福利类项目-政府购买乡镇街道未成年人保护工作服务示范项目在绩效评价中表现出色，达到了项目的预期目标，并在多个方面取得了显著的成效。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100分，属于“优”。其中，项目决策类指标权重为20分，得分为20分，得分率为 100%。项目过程类指标权重为20分，得分为20分，得分率为 100%。项目产出类指标权重为40分，得分为40分，得分率为 100%。项目效益类指标权重为20分，得分为20分，得分率为100%。具体打分情况详见：附件1综合评分表。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w:t>
      </w:r>
    </w:p>
    <w:p w14:paraId="21FFF8CF">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500EA7A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5EC7A18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贯彻落实《中华人民共和国未成年人保护法》政府保护专章第八十一条“乡镇人民政府和街道办事处应当设立未成年人保护工作站或者指定专门人员，及时办理未成年人相关事务”的法定要求，依据《国务院未成年人保护工作领导小组关于加强未成年人保护工作的意见》（国未保组〔2021〕1 号）、《自治区未成年人保护工作领导小组关于加强未成年人保护工作的意见》（新未保组〔2021〕1 号）以及民政部、中央编办等14部门《关于进一步推进儿童福利机构优化提质和创新转型高质量发展的意见》（民发〔2021〕44 号）相关规定，为更好地推动全州乡镇（街道）未成年人保护工作站建设和加强基层未成年人保护工作高质量发展，本项目立项符合国家相关法律法规及发展政策，契合行业规划要求，围绕本年度工作重点和计划制定经费预算，属公共财政支持范围，且与部门内部其他相关项目无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与设立过程严格遵循相关规定，精心准备符合要求的文件及材料，确保审批流程的严谨性。依据决算依据编制工作计划与经费预算，并积极与巴州民政局项目分管领导进行深入沟通、科学筛选，以确定合理的经费预算计划，进而形成最终预算方案。项目的审批文件与材料均符合标准，事前通过必要的绩效评估与集体决策等环节，有效保障了程序的规范性与合法性。在整个过程中，充分考虑行政单位的工作特性与要求，确保项目立项的科学性与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我们紧密结合政府购买乡镇街道未成年人保护工作服务示范项目的实际工作内容，设定了9个三级绩效目标。这些目标依据项目工作计划和资金使用计划而设定，完全符合项目实际情况，能够精准地反映和考核项目绩效目标与项目实施的相符程度。基于这些精心设定的绩效目标，确保其既清晰又可衡量，能够全面反映和考核项目绩效目标的明细化情况。绩效目标表已经过严格审核，保证了绩效目标与实际工作内容的紧密相关性。同时，预算编制与确定的项目投资额相匹配，确保资金使用的合理性和有效性。我们对项目任务进行了详细分解，并明确了各阶段的具体目标和责任人，以确保项目的顺利实施和高效推进。此外，项目预期产出的效益及效果也经过了科学预测和评估，完全符合正常的业绩水平，彰显了政府在未成年人保护工作方面的坚定决心和显著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明确了以推动未成年人保护工作高质量发展为目标的预期产出社会效益，并将绩效目标精细分解为9个具体的绩效指标。这些绩效指标与项目目标任务数紧密对应，确保了绩效目标的清晰性、细化程度和可衡量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政府购买乡镇街道未成年人保护工作项目的预算编制严谨且科学，充分彰显了精细化管理的理念。在预算编制初期，我们便开展了全面而细致的成本估算工作，确定对乡镇街道人口在3万以上的7个未保站各补助20万元，对人口在3万以下的6个未保站各补助15万元，以此确保项目所需的每一项资源都能得到合理的预估与分配。同时，预算编制紧密贴合项目的特点与实际需求，针对项目不同阶段、不同任务的资金需求进行了深入剖析与精确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我们始终注重成本控制与效益最大化的原则。通过优化资源配置、提升资金使用效率等措施，确保项目在有限的预算内能够取得最大的社会效益。此外，预算编制还充分考虑了各种风险因素，对可能出现的超支情况进行了合理的预留与规划，以应对项目实施过程中的不确定性和潜在风险。</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本项目的资金分配遵循了公平、公正、透明的原则，确保了项目资源的合理配置与高效利用。在资金分配过程中，我们充分考虑了项目的实际需求与目标，对不同阶段、不同任务的资金进行了科学的规划与安排。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确定对乡镇街道人口在3万以上的7个未保站各补助20万元，对人口在3万以下的6个未保站各补助15万元，对关键领域与重要环节给予了重点支持。同时，我们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7156882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31468FC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本项目总投资230万元，财政资金及时足额到位，到位率100%，预算资金按计划进度执行。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预算编制较为详细，项目资金支出总体能够按照预算执行，预算资金支出230万元，预算执行率为100%。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提前下达2024年自治区彩票公益金支持儿童福利类项目-政府购买乡镇街道未成年人保护工作服务示范项目的资金使用严格遵循了国家相关法律法规与财务制度，确保了资金的合规性与安全性。在资金使用过程中，我们建立了完善的财务管理体系，做到笔笔有记录，笔笔有依据，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每笔资金的支出须经过巴州民政局相关业务科室领导签字通过后方可支付资金，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政府购买乡镇街道未成年人保护工作项目拥有一套完善、健全的管理制度体系，巴州民政局根据项目进度组织相关业务科室及第三方服务机构对项目进行中期和末期评估，涵盖了项目的策划、组织、实施等环节，根据评估发现的问题及时进行调整和优化，为项目的成功实施提供了坚实的制度保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巴州民政局建立了有效的监督机制与反馈机制，通过项目业务科室根据工作计划按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管理制度得到了全面、有效的落实，巴州民政局根据项目进度组织相关业务科室及第三方服务机构对项目策划、组织、实施等环节的进行中期和末期评估，为确保项目的顺利实施与目标实现提供了坚实的保障。项目单位重视制度执行的重要性，通过明确相关业务科室人员分工、制定详细的工作执行计划、加强对政府购买服务的第三方的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在具体执行过程中，项目团队成员严格按照制度要求进行操作。同时，我们还建立了有效的沟通机制与反馈机制，确保项目信息的及时传递与问题的及时解决，进一步提高了制度执行的效率与效果。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757B5DE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4B581EC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项目产出类指标包括产出数量、产出质量、产出时效、产出成本四方面的内容，由7个三级指标构成，权重分为40分，实际得分40分，得分率为100%。具体产出指标完成情况如下：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指标1：参与项目的儿童福利社会工作者人数，指标值：&gt;=13人 ，实际完成值：26人，指标完成率200%。偏差原因：原有工作量增加，为提供更细致的服务，需要更多人员承担。改进措施：通过项目开展前进行深入调研，以后更加科学合理的按需求配备相关工作人员，保障工作高质量完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指标2：补助乡镇街道人口在3万以上的未保站数，指标值：&gt;=7个，实际完成值：7个，指标完成率100%。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指标3：补助乡镇街道人口在3万以下的未保站数，指标值：&gt;=6个 ，实际完成值：6个，指标完成率100%。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指标1：未成年人服务保障率，指标值：=100% ，实际完成值：100%，指标完成率100%。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指标1：项目资金支付完成率，指标值：&gt;=80% ，实际完成值：100%，指标完成率100%。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指标1：乡镇街道人口在3万以上的未保站补助标准 ，指标值：&lt;=20万元 ，实际完成值：20万元，指标完成率100%。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指标2：乡镇街道人口在3万以下的未保站补助标准 ，指标值：&lt;=15万元 ，实际完成值：15万元，指标完成率100%。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6B4421D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4F9D2658">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指标1：推动未成年人保护工作高质量发展 ，指标值：有效提高，实际完成值：达成目标，指标完成率100%。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0B0F8156">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指标1：受益未成年人满意度，指标值：&gt;=90%，实际完成值：100%，指标完成率100%。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0C4BDF29">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4414E65E">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精准需求评估，靶向服务优化：全面调研、掌握实情：项目启动初期，组建专业调研团队，深入各乡镇街道，通过问卷调查、实地走访、个案访谈等方式，全面了解当地未成年人保护工作的发展现状、面临的困境以及未成年人的实际需求，调研团队与学校、社区、家庭多方沟通，发现因家长外出务工导致的留守儿童心理问题较为突出，同时社区内缺乏专业的心理咨询资源。基于这些精准信息，为后续制定个性化服务项目提供了坚实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分类施策，满足多元需求：根据调研结果，将未成年人保护服务需求分为心理辅导、行为矫治、家庭教育支持、法律权益维护等多类别。针对不同类别需求，分别设计相应的服务项目。如针对心理辅导需求，招聘专业心理咨询师，在社区设立心理咨询室，为未成年人提供一对一心理疏导；对于行为矫治，联合社会组织开展行为矫正训练营，帮助有不良行为倾向的未成年人纠正行为习惯，有效提升了服务的针对性和精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强化资源整合，凝聚多方合力，构建联动机制：加强与民政、教育、公安、司法等多部门的沟通协作，建立常态化的联席会议制度和信息共享平台。民政部门负责总体协调和服务监管，教育部门引导学校开展校园安全教育和心理健康教育课程，公安部门加强对涉及未成年人案件的侦办力度，并为项目实施提供安全保障，司法部门提供法律援助和法治宣传教育资源。通过多部门的紧密配合，形成了全方位、多层次的未成年人保护网络，避免了部门之间的职责推诿和服务空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（一）区域差异带来的服务不均衡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问题表现：不同乡镇街道之间由于经济发展水平、人口结构、社会文化等因素的差异，未成年人保护工作的基础条件和需求特点存在较大区别。在经济相对发达的地区，项目实施进展顺利，服务资源丰富多样，未成年人能够享受到高质量的保护服务；而在一些偏远贫困地区，由于资金投入有限、专业人才匮乏、基础设施薄弱等原因，服务项目难以全面铺开，服务质量和覆盖面相对较低，导致区域之间未成年人保护服务水平差距逐渐拉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原因分析：一是地域经济发展不平衡是根本原因。经济发达地区财政收入较高，能够为项目提供更多的资金支持和社会资源，而贫困地区则受到资金短缺的制约，在基础设施建设、人才引进等方面力不从心。二是人才流动失衡加剧了区域差异。专业人才倾向于向经济发达、生活环境优越的地区聚集，导致偏远地区专业人才严重不足，影响了项目的执行能力和服务水平。三是前期对区域差异的预估不足，在项目规划和资源配置时未能充分考虑不同地区的实际情况，采用了“一刀切”的服务标准和资源分配模式，使得资源无法精准投放到最需要的地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（二）特殊未成年人群体服务难度较大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问题表现：针对一些处于特殊困境的未成年人群体，如重度残疾未成年人、遭受严重家庭暴力或性侵害的未成年人、流浪乞讨未成年人等，现有的服务项目在服务的深度和广度上还存在不足。这些未成年人往往面临更为复杂的心理创伤和生活困境，需要更加专业、长期且个性化的服务干预，但在实际工作中，由于专业服务资源有限、服务协调机制不畅等原因，导致他们难以得到及时有效的帮助，服务效果不尽如人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原因分析：一是专业服务能力有待提升。对于特殊未成年人群体的服务，需要具备更高级别的专业知识和技能，如特殊教育、康复治疗、创伤修复等，但目前项目中此类专业人才相对稀缺，现有服务人员的专业技能水平难以满足实际需求。二是服务协调机制不完善。特殊未成年人群体的问题通常涉及多个部门和社会主体，需要各方之间密切配合、协同作战。然而，在实际工作中，由干部门之间的信息沟通不畅、职责分工不明确以及缺乏统一的协调调度机制，导致服务资源分散、重复服务或服务断档等问题时有发生，影响了对特殊群体的服务效果。三是社会关注度和支持力度不够。与普通未成年人相比，特殊未成年人群体的数量相对较少且问题更为隐蔽，容易受到社会的忽视。这使得他们在获取社会资源和公众关爱方面面临更大困难，进一步加剧了服务的难度。</w:t>
      </w:r>
    </w:p>
    <w:p w14:paraId="7F5A17AF">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4271D2CC">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均衡服务资源配置：制定区域差异化的服务资源分配政策，根据各乡镇街道的经济社会发展水平和未成年人保护工作实际需求，合理调配专业人才、资金和服务设施等资源。加大对偏远贫困地区的政策扶持力度，通过设立专项资金、提供岗位补贴、改善工作环境等方式，吸引更多优秀人才投身到当地未成年人保护工作中，缩小城乡之间、区域之间的服务差距。</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加强服务人员培训与能力建设：建立完善的服务人员培训体系，制定长期的培训计划和职业发展规划，定期组织专业培训课程和学术交流活动，邀请国内知名专家学者授课讲学，提升服务人员在未成年人心理健康、社会工作方法、法律政策等方面的专业知识和技能水平。鼓励服务人员参加相关职业资格考试和认证，提高其专业素养和服务能力，打造一支高素质、专业化的未成年人保护服务队伍。</w:t>
      </w:r>
    </w:p>
    <w:p w14:paraId="6744ADD0">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7607CEB9">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7AEC19DB">
      <w:pPr>
        <w:spacing w:line="540" w:lineRule="exact"/>
        <w:ind w:firstLine="567"/>
        <w:rPr>
          <w:rStyle w:val="19"/>
          <w:rFonts w:ascii="仿宋" w:hAnsi="仿宋" w:eastAsia="仿宋"/>
          <w:b w:val="0"/>
          <w:spacing w:val="-4"/>
          <w:sz w:val="32"/>
          <w:szCs w:val="32"/>
        </w:rPr>
      </w:pPr>
    </w:p>
    <w:p w14:paraId="170CADF6">
      <w:pPr>
        <w:spacing w:line="540" w:lineRule="exact"/>
        <w:ind w:firstLine="567"/>
        <w:rPr>
          <w:rStyle w:val="19"/>
          <w:rFonts w:ascii="仿宋" w:hAnsi="仿宋" w:eastAsia="仿宋"/>
          <w:b w:val="0"/>
          <w:spacing w:val="-4"/>
          <w:sz w:val="32"/>
          <w:szCs w:val="32"/>
        </w:rPr>
      </w:pPr>
    </w:p>
    <w:p w14:paraId="097B8B10">
      <w:pPr>
        <w:spacing w:line="540" w:lineRule="exact"/>
        <w:ind w:firstLine="567"/>
        <w:rPr>
          <w:rStyle w:val="19"/>
          <w:rFonts w:ascii="仿宋" w:hAnsi="仿宋" w:eastAsia="仿宋"/>
          <w:b w:val="0"/>
          <w:spacing w:val="-4"/>
          <w:sz w:val="32"/>
          <w:szCs w:val="32"/>
        </w:rPr>
      </w:pPr>
    </w:p>
    <w:p w14:paraId="02F78E19">
      <w:pPr>
        <w:spacing w:line="540" w:lineRule="exact"/>
        <w:ind w:firstLine="567"/>
        <w:rPr>
          <w:rStyle w:val="19"/>
          <w:rFonts w:ascii="仿宋" w:hAnsi="仿宋" w:eastAsia="仿宋"/>
          <w:b w:val="0"/>
          <w:spacing w:val="-4"/>
          <w:sz w:val="32"/>
          <w:szCs w:val="32"/>
        </w:rPr>
      </w:pPr>
    </w:p>
    <w:p w14:paraId="4AF346F3">
      <w:pPr>
        <w:spacing w:line="540" w:lineRule="exact"/>
        <w:ind w:firstLine="567"/>
        <w:rPr>
          <w:rStyle w:val="19"/>
          <w:rFonts w:ascii="仿宋" w:hAnsi="仿宋" w:eastAsia="仿宋"/>
          <w:b w:val="0"/>
          <w:spacing w:val="-4"/>
          <w:sz w:val="32"/>
          <w:szCs w:val="32"/>
        </w:rPr>
      </w:pPr>
    </w:p>
    <w:p w14:paraId="270E42CD">
      <w:pPr>
        <w:spacing w:line="540" w:lineRule="exact"/>
        <w:ind w:firstLine="567"/>
        <w:rPr>
          <w:rStyle w:val="19"/>
          <w:rFonts w:ascii="仿宋" w:hAnsi="仿宋" w:eastAsia="仿宋"/>
          <w:b w:val="0"/>
          <w:spacing w:val="-4"/>
          <w:sz w:val="32"/>
          <w:szCs w:val="32"/>
        </w:rPr>
      </w:pPr>
    </w:p>
    <w:p w14:paraId="47F867BE">
      <w:pPr>
        <w:spacing w:line="540" w:lineRule="exact"/>
        <w:ind w:firstLine="567"/>
        <w:rPr>
          <w:rStyle w:val="19"/>
          <w:rFonts w:ascii="仿宋" w:hAnsi="仿宋" w:eastAsia="仿宋"/>
          <w:b w:val="0"/>
          <w:spacing w:val="-4"/>
          <w:sz w:val="32"/>
          <w:szCs w:val="32"/>
        </w:rPr>
      </w:pPr>
    </w:p>
    <w:p w14:paraId="4BF7F18F">
      <w:pPr>
        <w:spacing w:line="540" w:lineRule="exact"/>
        <w:ind w:firstLine="567"/>
        <w:rPr>
          <w:rStyle w:val="19"/>
          <w:rFonts w:ascii="仿宋" w:hAnsi="仿宋" w:eastAsia="仿宋"/>
          <w:b w:val="0"/>
          <w:spacing w:val="-4"/>
          <w:sz w:val="32"/>
          <w:szCs w:val="32"/>
        </w:rPr>
      </w:pPr>
    </w:p>
    <w:p w14:paraId="77C3ED25">
      <w:pPr>
        <w:spacing w:line="540" w:lineRule="exact"/>
        <w:ind w:firstLine="567"/>
        <w:rPr>
          <w:rStyle w:val="19"/>
          <w:rFonts w:ascii="仿宋" w:hAnsi="仿宋" w:eastAsia="仿宋"/>
          <w:b w:val="0"/>
          <w:spacing w:val="-4"/>
          <w:sz w:val="32"/>
          <w:szCs w:val="32"/>
        </w:rPr>
      </w:pPr>
    </w:p>
    <w:p w14:paraId="090C13C3">
      <w:pPr>
        <w:spacing w:line="540" w:lineRule="exact"/>
        <w:ind w:firstLine="567"/>
        <w:rPr>
          <w:rStyle w:val="19"/>
          <w:rFonts w:ascii="仿宋" w:hAnsi="仿宋" w:eastAsia="仿宋"/>
          <w:b w:val="0"/>
          <w:spacing w:val="-4"/>
          <w:sz w:val="32"/>
          <w:szCs w:val="32"/>
        </w:rPr>
      </w:pPr>
    </w:p>
    <w:p w14:paraId="44114B94">
      <w:pPr>
        <w:spacing w:line="540" w:lineRule="exact"/>
        <w:ind w:firstLine="567"/>
        <w:rPr>
          <w:rStyle w:val="19"/>
          <w:rFonts w:ascii="仿宋" w:hAnsi="仿宋" w:eastAsia="仿宋"/>
          <w:b w:val="0"/>
          <w:spacing w:val="-4"/>
          <w:sz w:val="32"/>
          <w:szCs w:val="32"/>
        </w:rPr>
      </w:pPr>
    </w:p>
    <w:p w14:paraId="06F6E933">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CC07D8A-5D0D-4476-ACE9-AEC0D9368DD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0F2722F3-375E-4748-BD81-7BF896DFE2E2}"/>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7934BEA5-C1BD-4486-AE17-1AA2B060DE77}"/>
  </w:font>
  <w:font w:name="华文中宋">
    <w:panose1 w:val="02010600040101010101"/>
    <w:charset w:val="86"/>
    <w:family w:val="auto"/>
    <w:pitch w:val="default"/>
    <w:sig w:usb0="00000287" w:usb1="080F0000" w:usb2="00000000" w:usb3="00000000" w:csb0="0004009F" w:csb1="DFD70000"/>
    <w:embedRegular r:id="rId4" w:fontKey="{FB40F596-B921-4EFC-A679-3D83088CA1E4}"/>
  </w:font>
  <w:font w:name="方正小标宋_GBK">
    <w:panose1 w:val="02000000000000000000"/>
    <w:charset w:val="86"/>
    <w:family w:val="script"/>
    <w:pitch w:val="default"/>
    <w:sig w:usb0="A00002BF" w:usb1="38CF7CFA" w:usb2="00082016" w:usb3="00000000" w:csb0="00040001" w:csb1="00000000"/>
    <w:embedRegular r:id="rId5" w:fontKey="{62340274-B029-4535-AEB4-5EE63D7D23CE}"/>
  </w:font>
  <w:font w:name="仿宋_GB2312">
    <w:altName w:val="仿宋"/>
    <w:panose1 w:val="02010609030101010101"/>
    <w:charset w:val="86"/>
    <w:family w:val="modern"/>
    <w:pitch w:val="default"/>
    <w:sig w:usb0="00000000" w:usb1="00000000" w:usb2="00000000" w:usb3="00000000" w:csb0="00040000" w:csb1="00000000"/>
    <w:embedRegular r:id="rId6" w:fontKey="{4BB41834-2DDA-432A-A9AF-75BE9BA6A744}"/>
  </w:font>
  <w:font w:name="楷体">
    <w:panose1 w:val="02010609060101010101"/>
    <w:charset w:val="86"/>
    <w:family w:val="modern"/>
    <w:pitch w:val="default"/>
    <w:sig w:usb0="800002BF" w:usb1="38CF7CFA" w:usb2="00000016" w:usb3="00000000" w:csb0="00040001" w:csb1="00000000"/>
    <w:embedRegular r:id="rId7" w:fontKey="{74E795B9-C2D5-4D93-9258-A6566810DBF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6B58E352">
        <w:pPr>
          <w:pStyle w:val="12"/>
          <w:jc w:val="center"/>
        </w:pPr>
        <w:r>
          <w:fldChar w:fldCharType="begin"/>
        </w:r>
        <w:r>
          <w:instrText xml:space="preserve">PAGE   \* MERGEFORMAT</w:instrText>
        </w:r>
        <w:r>
          <w:fldChar w:fldCharType="separate"/>
        </w:r>
        <w:r>
          <w:rPr>
            <w:lang w:val="zh-CN"/>
          </w:rPr>
          <w:t>1</w:t>
        </w:r>
        <w:r>
          <w:fldChar w:fldCharType="end"/>
        </w:r>
      </w:p>
    </w:sdtContent>
  </w:sdt>
  <w:p w14:paraId="4E2570B0">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5306173"/>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c1b236f2-555d-4326-9b19-133d521cfe9e}">
  <ds:schemaRefs/>
</ds:datastoreItem>
</file>

<file path=docProps/app.xml><?xml version="1.0" encoding="utf-8"?>
<Properties xmlns="http://schemas.openxmlformats.org/officeDocument/2006/extended-properties" xmlns:vt="http://schemas.openxmlformats.org/officeDocument/2006/docPropsVTypes">
  <Template>Normal.dotm</Template>
  <Pages>27</Pages>
  <Words>14034</Words>
  <Characters>14303</Characters>
  <Lines>5</Lines>
  <Paragraphs>1</Paragraphs>
  <TotalTime>0</TotalTime>
  <ScaleCrop>false</ScaleCrop>
  <LinksUpToDate>false</LinksUpToDate>
  <CharactersWithSpaces>14345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2025-09-22T05:09:33Z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