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E20B64F"/>
    <w:p w14:paraId="3856BFBC">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14:paraId="73B1E620">
      <w:pPr>
        <w:spacing w:line="540" w:lineRule="exact"/>
        <w:jc w:val="center"/>
        <w:rPr>
          <w:rFonts w:ascii="华文中宋" w:hAnsi="华文中宋" w:eastAsia="华文中宋" w:cs="宋体"/>
          <w:b/>
          <w:kern w:val="0"/>
          <w:sz w:val="52"/>
          <w:szCs w:val="52"/>
        </w:rPr>
      </w:pPr>
    </w:p>
    <w:p w14:paraId="79C4FBF7">
      <w:pPr>
        <w:spacing w:line="540" w:lineRule="exact"/>
        <w:jc w:val="center"/>
        <w:rPr>
          <w:rFonts w:ascii="华文中宋" w:hAnsi="华文中宋" w:eastAsia="华文中宋" w:cs="宋体"/>
          <w:b/>
          <w:kern w:val="0"/>
          <w:sz w:val="52"/>
          <w:szCs w:val="52"/>
        </w:rPr>
      </w:pPr>
    </w:p>
    <w:p w14:paraId="0AEB274E">
      <w:pPr>
        <w:spacing w:line="540" w:lineRule="exact"/>
        <w:jc w:val="center"/>
        <w:rPr>
          <w:rFonts w:ascii="华文中宋" w:hAnsi="华文中宋" w:eastAsia="华文中宋" w:cs="宋体"/>
          <w:b/>
          <w:kern w:val="0"/>
          <w:sz w:val="52"/>
          <w:szCs w:val="52"/>
        </w:rPr>
      </w:pPr>
    </w:p>
    <w:p w14:paraId="1D60250D">
      <w:pPr>
        <w:spacing w:line="540" w:lineRule="exact"/>
        <w:jc w:val="center"/>
        <w:rPr>
          <w:rFonts w:ascii="华文中宋" w:hAnsi="华文中宋" w:eastAsia="华文中宋" w:cs="宋体"/>
          <w:b/>
          <w:kern w:val="0"/>
          <w:sz w:val="52"/>
          <w:szCs w:val="52"/>
        </w:rPr>
      </w:pPr>
    </w:p>
    <w:p w14:paraId="1B502FCD">
      <w:pPr>
        <w:spacing w:line="540" w:lineRule="exact"/>
        <w:jc w:val="center"/>
        <w:rPr>
          <w:rFonts w:ascii="华文中宋" w:hAnsi="华文中宋" w:eastAsia="华文中宋" w:cs="宋体"/>
          <w:b/>
          <w:kern w:val="0"/>
          <w:sz w:val="52"/>
          <w:szCs w:val="52"/>
        </w:rPr>
      </w:pPr>
    </w:p>
    <w:p w14:paraId="16C1AD8B">
      <w:pPr>
        <w:spacing w:line="540" w:lineRule="exact"/>
        <w:jc w:val="center"/>
        <w:rPr>
          <w:rFonts w:ascii="华文中宋" w:hAnsi="华文中宋" w:eastAsia="华文中宋" w:cs="宋体"/>
          <w:b/>
          <w:kern w:val="0"/>
          <w:sz w:val="52"/>
          <w:szCs w:val="52"/>
        </w:rPr>
      </w:pPr>
    </w:p>
    <w:p w14:paraId="0AF15081">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自治区财政项目支出绩效自评报告</w:t>
      </w:r>
    </w:p>
    <w:p w14:paraId="0929DF32">
      <w:pPr>
        <w:spacing w:line="540" w:lineRule="exact"/>
        <w:jc w:val="center"/>
        <w:rPr>
          <w:rFonts w:ascii="华文中宋" w:hAnsi="华文中宋" w:eastAsia="华文中宋" w:cs="宋体"/>
          <w:b/>
          <w:kern w:val="0"/>
          <w:sz w:val="52"/>
          <w:szCs w:val="52"/>
        </w:rPr>
      </w:pPr>
    </w:p>
    <w:p w14:paraId="50D34B9A">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9"/>
          <w:rFonts w:hint="eastAsia" w:ascii="楷体" w:hAnsi="楷体" w:eastAsia="楷体"/>
          <w:spacing w:val="-4"/>
          <w:sz w:val="32"/>
          <w:szCs w:val="32"/>
        </w:rPr>
        <w:t>2024</w:t>
      </w:r>
      <w:r>
        <w:rPr>
          <w:rFonts w:hint="eastAsia" w:hAnsi="宋体" w:eastAsia="仿宋_GB2312" w:cs="宋体"/>
          <w:kern w:val="0"/>
          <w:sz w:val="36"/>
          <w:szCs w:val="36"/>
        </w:rPr>
        <w:t xml:space="preserve">  年度）</w:t>
      </w:r>
    </w:p>
    <w:p w14:paraId="43C97CD2">
      <w:pPr>
        <w:spacing w:line="540" w:lineRule="exact"/>
        <w:jc w:val="center"/>
        <w:rPr>
          <w:rFonts w:hAnsi="宋体" w:eastAsia="仿宋_GB2312" w:cs="宋体"/>
          <w:kern w:val="0"/>
          <w:sz w:val="30"/>
          <w:szCs w:val="30"/>
        </w:rPr>
      </w:pPr>
    </w:p>
    <w:p w14:paraId="7B80CC7D">
      <w:pPr>
        <w:spacing w:line="540" w:lineRule="exact"/>
        <w:jc w:val="center"/>
        <w:rPr>
          <w:rFonts w:hAnsi="宋体" w:eastAsia="仿宋_GB2312" w:cs="宋体"/>
          <w:kern w:val="0"/>
          <w:sz w:val="30"/>
          <w:szCs w:val="30"/>
        </w:rPr>
      </w:pPr>
    </w:p>
    <w:p w14:paraId="36BAB3A8">
      <w:pPr>
        <w:spacing w:line="540" w:lineRule="exact"/>
        <w:jc w:val="center"/>
        <w:rPr>
          <w:rFonts w:ascii="方正小标宋_GBK" w:hAnsi="宋体" w:eastAsia="方正小标宋_GBK" w:cs="宋体"/>
          <w:kern w:val="0"/>
          <w:sz w:val="36"/>
          <w:szCs w:val="36"/>
        </w:rPr>
      </w:pPr>
      <w:r>
        <w:rPr>
          <w:rFonts w:hint="eastAsia" w:ascii="方正小标宋_GBK" w:hAnsi="宋体" w:eastAsia="方正小标宋_GBK" w:cs="宋体"/>
          <w:kern w:val="0"/>
          <w:sz w:val="36"/>
          <w:szCs w:val="36"/>
        </w:rPr>
        <w:t>参考模板</w:t>
      </w:r>
    </w:p>
    <w:p w14:paraId="585A98F1">
      <w:pPr>
        <w:spacing w:line="540" w:lineRule="exact"/>
        <w:jc w:val="center"/>
        <w:rPr>
          <w:rFonts w:hAnsi="宋体" w:eastAsia="仿宋_GB2312" w:cs="宋体"/>
          <w:kern w:val="0"/>
          <w:sz w:val="30"/>
          <w:szCs w:val="30"/>
        </w:rPr>
      </w:pPr>
    </w:p>
    <w:p w14:paraId="2257738E">
      <w:pPr>
        <w:spacing w:line="540" w:lineRule="exact"/>
        <w:jc w:val="center"/>
        <w:rPr>
          <w:rFonts w:hAnsi="宋体" w:eastAsia="仿宋_GB2312" w:cs="宋体"/>
          <w:kern w:val="0"/>
          <w:sz w:val="30"/>
          <w:szCs w:val="30"/>
        </w:rPr>
      </w:pPr>
    </w:p>
    <w:p w14:paraId="0573E451">
      <w:pPr>
        <w:spacing w:line="540" w:lineRule="exact"/>
        <w:jc w:val="center"/>
        <w:rPr>
          <w:rFonts w:hAnsi="宋体" w:eastAsia="仿宋_GB2312" w:cs="宋体"/>
          <w:kern w:val="0"/>
          <w:sz w:val="30"/>
          <w:szCs w:val="30"/>
        </w:rPr>
      </w:pPr>
    </w:p>
    <w:p w14:paraId="49791166">
      <w:pPr>
        <w:spacing w:line="540" w:lineRule="exact"/>
        <w:rPr>
          <w:rFonts w:hAnsi="宋体" w:eastAsia="仿宋_GB2312" w:cs="宋体"/>
          <w:kern w:val="0"/>
          <w:sz w:val="30"/>
          <w:szCs w:val="30"/>
        </w:rPr>
      </w:pPr>
    </w:p>
    <w:p w14:paraId="0624BCE9">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14:paraId="3A1A4170">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9"/>
          <w:rFonts w:hint="eastAsia" w:ascii="楷体" w:hAnsi="楷体" w:eastAsia="楷体"/>
          <w:spacing w:val="-4"/>
          <w:sz w:val="32"/>
          <w:szCs w:val="32"/>
        </w:rPr>
        <w:t>巴财综【2023】005关于下达2023年自治州彩票公益金支持社会福利项目资金的通知--巴州儿童福利设施项目</w:t>
      </w:r>
    </w:p>
    <w:p w14:paraId="32B5F18A">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9"/>
          <w:rFonts w:hint="eastAsia" w:ascii="楷体" w:hAnsi="楷体" w:eastAsia="楷体"/>
          <w:spacing w:val="-4"/>
          <w:sz w:val="28"/>
          <w:szCs w:val="28"/>
        </w:rPr>
        <w:t>新疆</w:t>
      </w:r>
      <w:r>
        <w:rPr>
          <w:rStyle w:val="19"/>
          <w:rFonts w:hint="eastAsia" w:ascii="楷体" w:hAnsi="楷体" w:eastAsia="楷体"/>
          <w:spacing w:val="-4"/>
          <w:sz w:val="28"/>
          <w:szCs w:val="28"/>
          <w:lang w:eastAsia="zh-CN"/>
        </w:rPr>
        <w:t>巴音郭楞蒙古自治州</w:t>
      </w:r>
      <w:bookmarkStart w:id="0" w:name="_GoBack"/>
      <w:bookmarkEnd w:id="0"/>
      <w:r>
        <w:rPr>
          <w:rStyle w:val="19"/>
          <w:rFonts w:hint="eastAsia" w:ascii="楷体" w:hAnsi="楷体" w:eastAsia="楷体"/>
          <w:spacing w:val="-4"/>
          <w:sz w:val="28"/>
          <w:szCs w:val="28"/>
        </w:rPr>
        <w:t>民政局</w:t>
      </w:r>
    </w:p>
    <w:p w14:paraId="52E80C36">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9"/>
          <w:rFonts w:hint="eastAsia" w:ascii="楷体" w:hAnsi="楷体" w:eastAsia="楷体"/>
          <w:spacing w:val="-4"/>
          <w:sz w:val="28"/>
          <w:szCs w:val="28"/>
        </w:rPr>
        <w:t>新疆巴音郭楞蒙古自治州民政局</w:t>
      </w:r>
    </w:p>
    <w:p w14:paraId="19BF984A">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9"/>
          <w:rFonts w:hint="eastAsia" w:ascii="楷体" w:hAnsi="楷体" w:eastAsia="楷体"/>
          <w:spacing w:val="-4"/>
          <w:sz w:val="32"/>
          <w:szCs w:val="32"/>
        </w:rPr>
        <w:t>孟克其其格</w:t>
      </w:r>
    </w:p>
    <w:p w14:paraId="2869F7CD">
      <w:pPr>
        <w:spacing w:line="540" w:lineRule="exact"/>
        <w:ind w:left="273" w:firstLine="567"/>
        <w:rPr>
          <w:rStyle w:val="19"/>
          <w:rFonts w:ascii="楷体" w:hAnsi="楷体" w:eastAsia="楷体"/>
          <w:spacing w:val="-4"/>
          <w:sz w:val="32"/>
          <w:szCs w:val="32"/>
        </w:rPr>
      </w:pPr>
      <w:r>
        <w:rPr>
          <w:rFonts w:hint="eastAsia" w:hAnsi="宋体" w:eastAsia="仿宋_GB2312" w:cs="宋体"/>
          <w:kern w:val="0"/>
          <w:sz w:val="36"/>
          <w:szCs w:val="36"/>
        </w:rPr>
        <w:t>填报时间：</w:t>
      </w:r>
      <w:r>
        <w:rPr>
          <w:rStyle w:val="19"/>
          <w:rFonts w:hint="eastAsia" w:ascii="楷体" w:hAnsi="楷体" w:eastAsia="楷体"/>
          <w:spacing w:val="-4"/>
          <w:sz w:val="32"/>
          <w:szCs w:val="32"/>
        </w:rPr>
        <w:t>2025年03月20日</w:t>
      </w:r>
    </w:p>
    <w:p w14:paraId="28D98BEE">
      <w:pPr>
        <w:spacing w:line="700" w:lineRule="exact"/>
        <w:ind w:firstLine="708" w:firstLineChars="236"/>
        <w:jc w:val="left"/>
        <w:rPr>
          <w:rFonts w:hAnsi="宋体" w:eastAsia="仿宋_GB2312" w:cs="宋体"/>
          <w:kern w:val="0"/>
          <w:sz w:val="30"/>
          <w:szCs w:val="30"/>
        </w:rPr>
      </w:pPr>
    </w:p>
    <w:p w14:paraId="14D893F8">
      <w:pPr>
        <w:spacing w:line="540" w:lineRule="exact"/>
        <w:rPr>
          <w:rStyle w:val="19"/>
          <w:rFonts w:ascii="黑体" w:hAnsi="黑体" w:eastAsia="黑体"/>
          <w:b w:val="0"/>
          <w:spacing w:val="-4"/>
          <w:sz w:val="32"/>
          <w:szCs w:val="32"/>
        </w:rPr>
      </w:pPr>
    </w:p>
    <w:p w14:paraId="57B27D74">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一、基本情况</w:t>
      </w:r>
    </w:p>
    <w:p w14:paraId="2B2DEA46">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（一）项目概况。包括项目背景、主要内容及实施情况、资金投入和使用情况等。</w:t>
      </w:r>
    </w:p>
    <w:p w14:paraId="03798375">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（一）项目概况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1.项目背景</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当前巴州各市、县的孤残儿童全部转移至巴州儿童福利院集中养育，短时间内巴州儿童福利设施的承担能力达到了极限，进入超饱和运转。巴音学院经过近几年的发展扩张，已经将巴州儿童福利设施包围其中，这使得很多社会残障儿童家属，没有办法再入院接受公益的康复和教育活动，给家有残障儿童的群众带来极大的不便。并且，由于现巴州儿童福利设施建设初期在床位设置、设施配套、人员配置等方面相对落后。导致目前巴州儿童福利设施只能加设临时床位，甚至安排部分孤残儿童入住工作人员宿舍以缓解相关压力。但这对儿童福利院内孩子身心健康的发展和安全管理工作都带来了不小的隐患。因此根据巴财综[2023]5号文件精神，开展“巴州儿童福利院”项目建设，项目建成后将为州福利院儿童提供更好的生活、学习环境，提高我州儿童照护水平。</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2.项目主要内容：</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主要内容：巴州儿童福利院建设的项目于2023年8月开工，2024年5月完工。建设的建筑工程面积6000平方米（不含人防工程），地上3层，框架结构，建设内容包括居住室、活动室、教室、业务用房、医务所、值班室、食堂、康复室、工作人员宿舍等，新建床位150张。配套资金360万元用于项目施工费用，项目建成后将为州福利院儿童提供更好的生活、学习环境，提高我州儿童照护水平，促进儿童福利事业的发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实施情况：2024年开展项目主体施工，建筑工程面积5884.15平方米于2024年11月完工。项目建成后将为州困境儿童提供了安全、温馨、充满关爱的成长环境，保障了他们的基本生活与生存权利，使其免受饥寒困苦与不安全的因素的威胁，有效提升了儿童照护水平，有助于促进儿童的身心健康发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3.资金投入和使用情况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（1）资金投入情况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该项目年初预算数360万元，全年预算数360万元，该项目资金已全部落实到位，资金来源为财政拨款。</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（2）资金使用情况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该项目年初预算数360万元，全年预算数360万元，全年执行数360万元，预算执行率为100%，主要用于：360万元用于建设5884.1㎡的巴州儿童福利院，并于2024年11月11日完工。</w:t>
      </w:r>
    </w:p>
    <w:p w14:paraId="4A117BFE">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（二）项目绩效目标。包括总体目标和阶段性目标。</w:t>
      </w:r>
    </w:p>
    <w:p w14:paraId="6BF19CBA">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（二）项目绩效目标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1.总体目标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开展“巴州儿童福利院”项目建设，建筑工程面积6000平方米。配套资金360万元用于项目施工费用，计划本年度开展项目主体施工建设，年内项目完工。项目建成后将为州福利院儿童提供更好的生活、学习环境，提高我州儿童照护水平。</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2.阶段性目标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1.第一季度：</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完成项目前期准备工作，包括项目立项、设计规划、施工图纸的审核和批准。确定施工团队，签订施工合同，并进行施工前的场地准备，如清理、围挡搭建等。完成资金筹措，确保配套资金360万元到位，为施工提供充足的资金保障。</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2.第二季度：</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开始主体结构施工，包括地基挖掘、钢筋混凝土浇筑等基础工程。完成主体结构的1/3，确保施工进度符合计划。完成部分配套基础设施的设计和招标工作，如供水、供电、排水系统等。</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3.第三季度：</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继续推进主体结构施工，完成主体结构的2/3。开始内外墙体的砌筑和抹灰工作，以及屋顶结构的搭建。确保配套基础设施的施工与主体结构施工同步进行，避免后期施工冲突。</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4.第四季度：</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完成主体结构施工，开始内部装修和设施安装工作。对外立面进行装饰，确保建筑外观符合设计要求。完成所有配套设施的安装和调试，如消防、安防、通风系统等。进行项目验收前的准备工作，包括整理施工文档、准备验收材料等。确保项目在年底前顺利完工，并通过相关验收标准，为儿童福利院的正式投入使用做好准备</w:t>
      </w:r>
    </w:p>
    <w:p w14:paraId="591C9724">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二、</w:t>
      </w:r>
      <w:r>
        <w:rPr>
          <w:rStyle w:val="19"/>
          <w:rFonts w:hint="eastAsia"/>
          <w:spacing w:val="-4"/>
          <w:sz w:val="32"/>
          <w:szCs w:val="32"/>
        </w:rPr>
        <w:t>绩效评价工作开展情况</w:t>
      </w:r>
    </w:p>
    <w:p w14:paraId="4FB28BF6">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（一）绩效评价目的、对象和范围。</w:t>
      </w:r>
    </w:p>
    <w:p w14:paraId="6521DF99">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二、绩效评价工作开展情况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（一）绩效评价目的、对象和范围</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 绩效评价完整性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预算绩效评价报告在编制过程中，严格遵循《中华人民共和国预算法》及财政部印发，规范项目支出绩效评价的内容、指标、方法和结果应用，适用于中央和地方财政资金项目的《项目支出绩效评价管理办法》（财预〔2020〕10号）等相关法规，确保评价内容的全面性与准确性。报告涵盖了项目从预算编制、执行到完成的全过程，对项目的各项绩效指标进行了细致的梳理与评估。</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搭建评价指标体系时，充分考量项目特性、既定目标及预期成果，筛选出具有代表性、易于衡量的10个关键指标。这些指标横跨产出、成本、社会效益等多个维度，旨在从多个视角全面反映项目绩效。针对每个指标，不仅明确了评价标准，还清晰标注数据来源，确保评价结果客观公正、有据可查。</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在数据收集与分析环节，采用了多种科学合理的方法，如问卷调查、数据分析等，可快速收集大量样本数据，尤其适用于大范围或跨区域的绩效评价（如员工满意度、客户反馈等）。 其次问卷调查具有匿名性， 受访者可能更愿意在匿名情况下表达真实意见，减少因顾虑导致的回答偏差。数据分析环节有预算数、执行数、资金来源及各部分投资占比等数据。并且对数据的变化和差异进行了分析，如建设面积的计划与实际差异，确保数据能够真实反映项目情况，以确保评价结论的科学性和可靠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报告的撰写结构上，并按照统一的格式和规范进行编排，内容层次分明、条理清晰。报告涵盖了项目从背景、规划到实施、评价的全流程信息。不仅详细介绍了项目开展的起因，还对项目内容、资金使用、绩效目标设定及完成情况进行了阐述。指出了项目在实施过程中存在的问题和不足，提出了相应的改进建议对数据的变化和差异进行了分析，如建设面积的计划与实际差异。最后对整个项目的绩效状况进行了综合总结，给出了明确的评价结论和后续工作的建议，项目建成后，为州困境儿童营造了安全、温馨且充满关爱的成长环境，对促进儿童身心健康发展具有重要意义，使报告内容更全面。为项目的持续改进和决策提供了有力支持。</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预算绩效评价报告在内容、方法和数据等方面均具备较高的完整性，能够真实、客观地反映项目的绩效情况，为项目管理决策提供了有价值的参考依据。未来可进一步细化评价指标，如针对儿童成长环境改善，增加儿童身心健康指标的量化评估；优化评价方法，引入更多利益相关方的反馈，如儿童福利院工作人员、儿童家属等的意见，提升评价的全面性和客观性，更好地服务于项目管理和优化。</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 绩效评价的目的</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（1）评估项目实施效果</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通过对项目预算执行情况及各项绩效目标达成程度的系统性分析，全面、客观地评估项目在预定周期内的实施效果，包括经济效益：在资金执行上，年初预算数360万元，全年执行数360万元，预算执行率100%，且建成了建筑面积5884.15平方米的儿童福利院。这表明在既定预算下，实现了相应规模的设施建设，达成了资金投入与硬件产出的预期目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社会效益：项目建成后为州困境儿童提供了安全、温馨的成长环境，新增150张床位，缓解了巴州儿童福利设施超饱和运转的压力，让更多孤残儿童能够得到妥善安置。同时，解决了社会残障儿童家属难以入院接受公益康复和教育活动的问题，提升了家有残障儿童群众的幸福感，达成了社会效益目标。为项目后续的改进与优化提供科学依据。</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（2）提升资源利用效率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 xml:space="preserve"> 通过对预算资金的梳理，清晰呈现了各项费用的占比。如在总投资中，工程费用、其他费用、预备费各自所占的比例。经分析，在项目实施过程中，严格按照预算安排进行资金分配，在建筑施工、配套设施采购等环节未出现资金浪费现象。且建筑工程面积5884.15平方米的规划，在配套资金360万元的支持下，实现了居住室、活动室等多种功能用房的建设，使资金得到了合理高效利用，提升了资源利用效率。 </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（3）强化项目管理责任</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在项目实施过程中，明确由项目办牵头开展监督项目建设及配套资金使用。通过绩效评价，对项目办在项目进度把控、资金监管等方面的工作进行评估。如项目按计划于2023 年8月开工，2024年11月11日完工，表明项目办有效履行了项目进度管理职责。若项目出现延误或资金使用违规等问题，可依据绩效评价结果对项目办进行问责，促使其进一步优化管理流程。</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（4）为决策提供支持</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对于项目主管部门和财政部门而言，绩效评价报告中的数据和分析结果极具价值。例如，报告中详细的资金使用情况、项目产出成果以及社会效益达成情况，能辅助主管部门在后续项目审批时，判断类似项目的可行性；财政部门在安排预算时，参考本项目的资金使用效率，合理确定其他儿童福利项目的资金额度，提升公共资源配置的精准度。</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（5）促进项目持续改进</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通过绩效评价发现，项目实际建设面积5884.15平方米与计划的6000平方米存在差距。针对这一问题，可建议项目团队在后续项目中，加强对施工过程的监控，优化施工方案，确保建设面积达到预期。同时，持续关注儿童福利事业的发展需求，根据实际情况对福利院的功能布局进行优化，形成项目绩效持续改进的良性循环 。</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预算绩效评价报告的编制以提升项目绩效为核心，旨在通过科学、严谨的评价工作，为项目管理与决策提供全方位、深层次的支持，推动项目在预算约束下实现高质量、可持续发展，充分发挥财政资金的经济效益与社会效益。</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3.绩效评价的对象</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预算绩效评价报告的评价对象是巴财综【2023】005关于下达2023年自治州彩票公益金支持社会福利项目资金的通知--巴州儿童福利设施项目及其预算执行情况。该项目由巴州民政局负责实施，旨在为州困境儿童提供了安全、温馨、充满关爱的成长环境，保障了他们的基本生活与生存权利，使其免受饥寒困苦与不安全的因素的威胁，有效提升了儿童照护水平，有助于促进儿童的身心健康发展。项目预算涵盖从2024年1月1日至2024年11月11日的全部资金投入与支出，涉及资金总额为360万元。</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4.绩效评价的范围</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本项目预算绩效评价报告的评价范围广泛而全面，涵盖了从项目立项至评价时点期间的所有关键预算活动和财务流程。具体而言，评价范围包括但不限于以下几个方面：</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项目预算编制与执行：秉持严谨的态度，对项目预算的编制依据展开深入溯源，全面评估其合理性与科学性。密切跟踪项目预算的实际执行轨迹，针对预算调整行为，细致剖析背后的深层原因，并精准衡量其实施效果，通过系统分析，为优化后续预算管理提供有力支撑。</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资金管理：运用科学的方法，对项目资金的分配机制进行深度剖析，跟踪资金从下拨到使用的全过程，确保资金使用合规、透明。同时，通过对资金流向和使用效益的评估，及时发现潜在问题，挖掘提升资金使用效率的空间，实现财政资金效益的最大化。</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项目实施进度与产出：严格对照既定计划，采用定量与定性相结合的方式，评估项目推进过程的流畅性，核查各项任务是否按时、高质量完成。从数量、质量和时效性等多维度，对项目产出进行系统评估，确保项目达成预期的建设目标，为儿童福利事业提供坚实的硬件和服务保障。</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社会影响：从宏观视角出发，全面考察项目对社会和经济领域产生的综合影响。评估项目在提升儿童福利水平、推动社会公平、带动区域经济发展等方面发挥的作用，深入分析项目的长期价值与战略意义，为同类项目的开展提供有益借鉴。</w:t>
      </w:r>
    </w:p>
    <w:p w14:paraId="4F8521F6">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（二）绩效评价原则、评价指标体系（附表说明）、评价方法、评价标准等。</w:t>
      </w:r>
    </w:p>
    <w:p w14:paraId="4CF0D540">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（二）绩效评价原则、评价指标体系（详情见表1）、评价方法、评价标准。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1.绩效评价原则</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本次项目绩效评价遵循以下基本原则：</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（1）科学公正。绩效评价应当运用科学合理的方法，按照规范的程序，对项目绩效进行客观、公正的反映。</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（2）统筹兼顾。单位自评、部门评价和财政评价应职责明确，各有侧重，相互衔接。单位自评应由项目单位自主实施，即“谁支出、谁自评”。部门评价和财政评价应在单位自评的基础上开展。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（3）激励约束。绩效评价结果应与预算安排、政策调整、改进管理实质性挂钩，体现奖优罚劣和激励相容导向，有效要安排、低效要压减、无效要问责。</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（4）公开透明。绩效评价结果应依法依规公开，并自觉接受社会监督。</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2.评价指标体系</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绩效评价框架是开展绩效评价的核心。绩效评价框架包括评价准则、关键评价问题、评价指标、数据来源、数据收集方法等。指标体系建立过程如下：</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（1）确定评价指标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采用层次分析法，建立评价指标体系。绩效评价将指标分为项目决策指标、项目过程指标、项目产出指标、项目效益指标四个维度，最终形成一个由多个相互联系的指标组成的多层次指标体系。</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（2）确定权重</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确定各个指标相对于项目总体绩效的权重分值。在绩效评价指标体系中，项目决策权重为20分，项目过程权重为20分，项目产出权重为40分，项目效益权重为20分。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（3）确定指标标准值</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指标标准值是绩效评价指标的尺度，既要反映同类项目的先进水平，又要符合项目的实际绩效水平。具体采用计划标准等确定此次绩效评价指标标准值。</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绩效评价总分值100分，根据综合评分结果，90（含）-100分为优、80（含）-90分为良、60（含）-80分为中、60分以下为差。</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具体评价指标体系详情见附件1</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3.绩效评价方法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绩效评价从项目决策、项目过程、项目产出、项目效益四个维度进行评价。评价对象为项目目标实施情况，  评价核心为资金的支出完成情况和项目的产出效益。</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本次评价指标中，既有定性指标又有定量指标，各类指标因考核内容不同和客观标准不同存在较大差异，因此核定具体指标时采用了不同方法，具体评价方法如下：</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因素分析法。是指综合分析影响绩效目标实现、实施效果的内外部因素的方法。能将复杂的财务指标分解为多个构成因素，清晰展现每个因素对总体结果的影响程度。</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4.评价标准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绩效评价标准通常包括计划标准、行业标准、历史标准等，用于对绩效指标完成情况进行比较、分析、评价。本次评价主要采用了计划标准。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计划标准。指以预先制定的目标、计划、预算、定额等作为评价标准。</w:t>
      </w:r>
    </w:p>
    <w:p w14:paraId="05F47DD4">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（三）绩效评价工作过程。</w:t>
      </w:r>
    </w:p>
    <w:p w14:paraId="484CC4D4">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（三）绩效评价工作过程</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 前期筹备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在项目绩效评价工作正式启动之际，迅速开展会议，分配讨论评价工作，与此同时，通过对项目关键信息的梳理，精准确定评价的关键要素，为后续各项评价工作的有序开展筑牢根基。</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 指标体系构建</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紧密围绕巴州儿童福利院项目的独特特性与既定目标，精心搭建科学合理的绩效评价指标体系。该体系全面覆盖项目决策、执行过程、实际产出以及最终效益四个核心维度。在指标选取过程中，着重挑选可量化9条的关键指标，清晰明确各指标的评价标准，并运用科学方法确定其权重。通过这种方式，确保评价体系能够全方位、客观地反映项目的真实绩效。</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 数据收集整理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的计划文件、预算报告等资料，都由项目实施主体巴州民政局掌握，数据的真实性和可靠性有保障。例如，在评价项目预算执行情况时，年初预算数1011.52万元，全年预算数1011.52万元，全年执行数1011.52万元，预算执行率为100%，这些数据与项目计划预算直接对比，就能清晰地反映出预算执行的情况，减少因数据收集困难或数据偏差导致的评价误差，保证评价结果客观、公正。</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 分析评估</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将绩效指标的实际完成情况与预期目标进行细致对比，精确计算各项指标的达成率，精准找出项目实施过程中的优势与不足。如建设面积的计划与实际差异，是由于预测面积时，测量方法不准确，导致预测面积与实际面积存在偏差，并提出改进措施：在项目前期，充分开展考察工作，选取更准确的测量方法，为准确的预测面积提供依据。</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5. 报告撰写反馈</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依据系统的分析结果，撰写内容详实的评价报告。报告全面涵盖项目概况、所采用的评价方法、具体的绩效结果以及切实可行的改进建议等内容。报告完成后，第一时间向项目实施方进行反馈，并积极收集各方意见。通过对报告的反复优化，进一步增强其在实际项目管理中的实用性。</w:t>
      </w:r>
    </w:p>
    <w:p w14:paraId="5218DAB8">
      <w:pPr>
        <w:spacing w:line="540" w:lineRule="exact"/>
        <w:ind w:firstLine="640"/>
        <w:rPr>
          <w:rStyle w:val="19"/>
          <w:rFonts w:hint="eastAsia" w:ascii="黑体" w:hAnsi="黑体" w:eastAsia="黑体"/>
          <w:b w:val="0"/>
          <w:spacing w:val="-4"/>
          <w:sz w:val="32"/>
          <w:szCs w:val="32"/>
        </w:rPr>
      </w:pPr>
      <w:r>
        <w:rPr>
          <w:rStyle w:val="19"/>
          <w:rFonts w:hint="eastAsia" w:ascii="黑体" w:hAnsi="黑体" w:eastAsia="黑体"/>
          <w:b w:val="0"/>
          <w:spacing w:val="-4"/>
          <w:sz w:val="32"/>
          <w:szCs w:val="32"/>
        </w:rPr>
        <w:t>三、</w:t>
      </w:r>
      <w:r>
        <w:rPr>
          <w:rStyle w:val="19"/>
          <w:rFonts w:hint="eastAsia"/>
          <w:spacing w:val="-4"/>
          <w:sz w:val="32"/>
          <w:szCs w:val="32"/>
        </w:rPr>
        <w:t>综合评价情况及评价结论</w:t>
      </w:r>
    </w:p>
    <w:p w14:paraId="4A79AC1F">
      <w:pPr>
        <w:spacing w:line="540" w:lineRule="exact"/>
        <w:ind w:firstLine="567"/>
        <w:rPr>
          <w:rStyle w:val="19"/>
          <w:rFonts w:hint="eastAsia" w:ascii="楷体" w:hAnsi="楷体" w:eastAsia="楷体"/>
          <w:spacing w:val="-4"/>
          <w:sz w:val="32"/>
          <w:szCs w:val="32"/>
        </w:rPr>
      </w:pPr>
      <w:r>
        <w:rPr>
          <w:rStyle w:val="19"/>
          <w:rFonts w:hint="eastAsia" w:ascii="楷体" w:hAnsi="楷体" w:eastAsia="楷体"/>
          <w:spacing w:val="-4"/>
          <w:sz w:val="32"/>
          <w:szCs w:val="32"/>
        </w:rPr>
        <w:t>三、综合评价情况及评价结论（附相关评分表）</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（一）评价情况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的综合评价基于对项目各方面绩效的深入分析与评估。从项目目标的达成情况来看，巴财综【2023】005关于下达2023年自治州彩票公益金支持社会福利项目资金的通知--巴州儿童福利设施项目在巴州儿童福利院项目设计变更率、竣工验收合格率等方面表现出色，达到了预期的标准与要求。同时，项目也在支付成本环节取得了显著的成效，如项目预算控制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在项目管理方面，巴州民政局通过有效的规划、组织与协调，项目得以顺利实施，并在预算与时间上保持了良好的控制。</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从项目效益的角度来看，本项目不仅实现了预期的社会效益方面产生了积极的影响。具体而言，经济效益方面的提升，为项目的利益相关者带来了实实在在的利益。</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综上所述，巴财综【2023】005关于下达2023年自治州彩票公益金支持社会福利项目资金的通知--巴州儿童福利设施项目在绩效评价中表现出色，达到了项目的预期目标，并在多个方面取得了显著的成效。</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（二）评价结论</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运用绩效评价组制定的评价指标体系以及财政部《项目支出绩效评价管理办法》（财预〔2020〕10号）文件的评分标准，通过数据采集、问卷调查及访谈等方式，对本项目进行客观评价，最终评分结果：总得分为99分，属于“优”。其中，项目决策类指标权重为20分，得分为 20分，得分率为 100%。项目过程类指标权重为20分，得分为20分，得分率为 100%。项目产出类指标权重为40分，得分为39分，得分率为 97.5%。项目效益类指标权重为20分，得分为20分，得分率为100%。具体打分情况详见：附件1综合评分表。</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表1综合评分表</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一级指标 权重分 得分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项目决策 20 20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项目过程 20 20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项目产出 40 39</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项目效益 20 20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合计 100 99</w:t>
      </w:r>
    </w:p>
    <w:p w14:paraId="45A014B7">
      <w:pPr>
        <w:spacing w:line="540" w:lineRule="exact"/>
        <w:ind w:firstLine="640"/>
        <w:rPr>
          <w:rStyle w:val="19"/>
          <w:rFonts w:ascii="黑体" w:hAnsi="黑体" w:eastAsia="黑体"/>
        </w:rPr>
      </w:pPr>
      <w:r>
        <w:rPr>
          <w:rStyle w:val="19"/>
          <w:rFonts w:hint="eastAsia" w:ascii="黑体" w:hAnsi="黑体" w:eastAsia="黑体"/>
          <w:b w:val="0"/>
          <w:spacing w:val="-4"/>
          <w:sz w:val="32"/>
          <w:szCs w:val="32"/>
        </w:rPr>
        <w:t>四、</w:t>
      </w:r>
      <w:r>
        <w:rPr>
          <w:rStyle w:val="19"/>
          <w:rFonts w:hint="eastAsia"/>
          <w:spacing w:val="-4"/>
          <w:sz w:val="32"/>
          <w:szCs w:val="32"/>
        </w:rPr>
        <w:t>绩效评价指标分析</w:t>
      </w:r>
      <w:r>
        <w:rPr>
          <w:rStyle w:val="19"/>
          <w:rFonts w:hint="eastAsia" w:ascii="黑体" w:hAnsi="黑体" w:eastAsia="黑体"/>
          <w:b w:val="0"/>
          <w:spacing w:val="-4"/>
          <w:sz w:val="32"/>
          <w:szCs w:val="32"/>
        </w:rPr>
        <w:t xml:space="preserve"> </w:t>
      </w:r>
    </w:p>
    <w:p w14:paraId="509F63CB">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（一）项目决策情况。</w:t>
      </w:r>
    </w:p>
    <w:p w14:paraId="20BEBF86">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四、绩效评价指标分析</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（一）项目决策情况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项目决策类指标包括项目立项、绩效目标和资金投入三方面的内容，由6个三级指标构成，权重分值为20分，实际得分20分，得分率为100%。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1.项目立项</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（1）立项依据充分性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该项目立项根据《自治州第十届党委财经委员会第八次会议纪要》中关于“建设巴州民政福利产业园区”的相关精神和《“十四五”时期全民健身设施补短板工程实施方案》《“十四五”时期社会服务设施兜底线工程实施方案》(发改社会〔2021〕560号)文件，符合国家相关法律法规及发展政策，符合行业规划要求，围绕工作计划制定经费预算，属于公共财政支持范围。本项目与部门内部其他相关项目不重复。部门发展规划及职能文件等归档完整。</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此项权重分值为3分，得分为3分。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（2）立项程序规范性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严格遵循行政单位项目管理相关规章制度开展申请与设立工作。在项目筹备阶段，组织专业人员按照审批流程，全面梳理并准备符合要求的申报文件与材料，确保申报材料的真实性、完整性。以决算依据为指引，主动与项目分管领导、项目负责部门开展多轮沟通，结合单位年度工作重点与资金状况，科学制定项目经费年度工作计划。项目审批文件与材料均符合相关政策法规要求，且事前通过专业第三方机构开展绩效评估，并经单位领导班子集体决策，确保项目立项程序合法合规，保障项目实施的规范性与可行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此项权重分值为3分，得分为3分。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2.绩效目标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（1）绩效目标合理性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年初，紧密围绕行政单位核心职能与实际工作需求，设定项目绩效目标。绩效目标制定过程中，深入调研分析项目实施的必要性与预期效果，确保目标依据充分、符合客观实际，能准确反映和考核项目绩效与项目实施的相符程度。依据绩效目标，细化设计绩效指标，做到清晰、可量化、可考核，全面反映项目绩效目标的明细化情况。绩效目标表经单位内部多部门审核，确保绩效目标与行政工作内容紧密相关，项目预算与确定的投资额精准匹配，并对项目任务进行详细分解。项目预期产出效益及效果设定合理，符合行政单位正常履职的业绩水平。</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此项权重分值为3分，得分为3分。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（2）绩效指标明确性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项目设置了明确的预期产出效益和效果，将绩效目标细化分解为具体的10条绩效指标，绩效目标与项目目标任务数相对应，其中8条可量化指标，量化率为80%。清晰反映和考核项目绩效目标的明细化情况。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此项权重分值为3分，得分为3分。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3.资金投入</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（1）预算编制科学性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预算编制工作秉持严谨、科学的态度，践行行政单位精细化管理要求。预算编制初期，组织专业财务人员与业务骨干，运用科学的成本估算方法，对项目所需的人力、物力、财力等各项资源进行全面估算，确保资源预估合理、分配科学。结合项目特点与行政单位实际工作情况，深入分析项目不同阶段、不同任务的资金需求，为预算编制提供精准依据。在预算编制过程中，始终贯彻成本控制与效益最大化原则，通过优化资源配置、规范预算编制流程，提高资金使用效率。同时，充分考虑项目实施过程中的风险因素，预留一定比例的资金应对可能出现的超支情况，增强预算的弹性与稳定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（2）资金分配合理性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资金分配严格遵循公平、公正、透明的原则，确保资金使用效益最大化。在分配过程中，充分结合行政单位项目实施的实际需求与目标，对项目不同阶段、不同任务的资金进行科学规划。优先保障项目关键领域与重要环节的资金需求，确保项目顺利推进。同时，注重资金的均衡分配，避免出现资金闲置或浪费现象。在资金分配方案制定过程中，充分考虑可能出现的风险因素，预留一定的资金进行动态调整，保障项目资金使用的合理性与安全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p>
    <w:p w14:paraId="6CB64A9B">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（二）项目过程情况。</w:t>
      </w:r>
    </w:p>
    <w:p w14:paraId="0507F836">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（二）项目过程情况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项目过程类指标包括资金管理和组织实施两方面的内容，由5个三级指标构成，权重分值为20分，实际得分20分，得分率为100%。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1.资金管理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（1）资金到位率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本项目总投资360万元，财政资金及时足额到位，到位率100%，预算资金按计划进度执行。</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（2）预算执行率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预算编制较为详细，项目资金支出总体能够按照预算执行，预算资金支出360万元，预算执行率为100%。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（3）资金使用合规性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严格遵守国家相关法律法规、财政部门及行政单位内部财务制度，建立健全财务管理体系，对资金流动实施全程监控与记录。在资金使用过程中，坚持专款专用原则，杜绝资金挪用、截留等违规行为。加强对资金使用的审计与监督，定期开展财务收支自查自纠工作，主动接受上级部门与社会公众的监督，及时发现并纠正潜在问题。同时，充分考虑成本效益原则，通过优化资源配置、提高资金使用效率，实现项目资金的最大化利用。</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2.组织实施</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（1）管理制度健全性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结合行政单位项目管理实际需求，构建一套全面、系统的管理制度体系。该体系围绕项目全生命周期，涵盖项目策划、组织实施、过程监控、验收评价等各个环节。在制度设计过程中，充分征求各部门意见，确保制度条款既符合国家政策法规要求，又具有较强的可操作性。针对项目实施过程中可能出现的风险，制定详细的风险应对策略与应急预案，提前防范化解各类风险。建立常态化监督机制与双向反馈机制，定期对项目执行情况进行巡检评估，及时发现并纠正执行偏差，保障项目顺利实施。</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（2）制度执行有效性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实施过程中，行政单位高度重视管理制度的执行工作，通过明确责任分工、制定详细执行计划、加强监督考核等措施，确保各项管理制度得到有效落实。项目团队成员严格按照制度要求开展工作，形成良好的制度执行氛围。建立高效的沟通机制与反馈机制，及时传递项目信息，快速解决项目实施过程中出现的问题，进一步提高制度执行的效率与效果，为项目目标的顺利实现提供有力保障。</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p>
    <w:p w14:paraId="41DE34CC">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（三）项目产出情况。</w:t>
      </w:r>
    </w:p>
    <w:p w14:paraId="0C1DB9DE">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（三）项目产出情况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项目产出类指标包括产出数量、产出质量、产出时效、产出成本四方面的内容，由7个三级指标构成，权重分为40分，实际得分39分，得分率为97.5%。具体产出指标完成情况如下：</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①数量指标：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指标1巴州儿童福利院建设数量，指标值：&gt;=1个，实际完成值：1个，指标完成率100%，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2巴州儿童福利院建设面积，指标值：&gt;=6000平方米，实际完成值：=5884.15平方米，指标完成率98.07%，偏差原因：由于预测面积时，测量方法不准确，导致预测面积与实际面积存在偏差。改进措施：在项目前期，充分开展考察工作，选取更准确的测量方法，为准确的预测面积提供依据。</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此项权重分值为10分，得分为9分。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②质量指标：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指标1项目设计变更率，指标值：&lt;=10%，实际完成值：=0%，指标完成率100%，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指标2竣工验收合格率，指标值：&gt;=90%，实际完成值：=100%，指标完成率100%，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指标3项目资金支付率，指标值：&gt;=90%，实际完成值：=100%，指标完成率100%。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此项权重分值为10分，得分为10分。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③时效指标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指标1项目按计划完工时间，指标值：2024年12月，实际完成值：2024年11月，指标完成率100%。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此项权重分值为10分，得分为10分。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④成本指标：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指标1项目预算控制率，指标值：&lt;=100%，实际完成值：=100%，指标完成率100%。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此项权重分值为10分，得分为10分。</w:t>
      </w:r>
    </w:p>
    <w:p w14:paraId="31756667">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（四）项目效益情况。</w:t>
      </w:r>
    </w:p>
    <w:p w14:paraId="4B3FD2E3">
      <w:pPr>
        <w:spacing w:line="540" w:lineRule="exact"/>
        <w:ind w:firstLine="567"/>
        <w:rPr>
          <w:rStyle w:val="19"/>
          <w:rFonts w:hint="eastAsia" w:ascii="楷体" w:hAnsi="楷体" w:eastAsia="楷体"/>
          <w:spacing w:val="-4"/>
          <w:sz w:val="32"/>
          <w:szCs w:val="32"/>
        </w:rPr>
      </w:pPr>
      <w:r>
        <w:rPr>
          <w:rStyle w:val="19"/>
          <w:rFonts w:hint="eastAsia" w:ascii="楷体" w:hAnsi="楷体" w:eastAsia="楷体"/>
          <w:spacing w:val="-4"/>
          <w:sz w:val="32"/>
          <w:szCs w:val="32"/>
        </w:rPr>
        <w:t>（四）项目效益情况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项目效益类指标包括项目实施效益和满意度两方面的内容，由3个三级指标构成，权重分为20分，实际得分20分，得分率为100%。具体效益指标及满意度指标完成情况如下：</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1.实施效益</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①社会效益指标：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指标1正常运转率，指标值：&gt;=90%，实际完成值：=100%，指标完成率100%，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指标2儿童照护水平，指标值：不断提高，实际完成值：达成目标，指标完成率100%。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此项权重分值为10分，得分为10分。</w:t>
      </w:r>
    </w:p>
    <w:p w14:paraId="2C53FA6A">
      <w:pPr>
        <w:spacing w:line="540" w:lineRule="exact"/>
        <w:ind w:firstLine="567"/>
        <w:rPr>
          <w:rStyle w:val="19"/>
          <w:rFonts w:hint="eastAsia" w:ascii="楷体" w:hAnsi="楷体" w:eastAsia="楷体"/>
          <w:spacing w:val="-4"/>
          <w:sz w:val="32"/>
          <w:szCs w:val="32"/>
        </w:rPr>
      </w:pPr>
      <w:r>
        <w:rPr>
          <w:rStyle w:val="19"/>
          <w:rFonts w:hint="eastAsia" w:ascii="楷体" w:hAnsi="楷体" w:eastAsia="楷体"/>
          <w:spacing w:val="-4"/>
          <w:sz w:val="32"/>
          <w:szCs w:val="32"/>
        </w:rPr>
        <w:t>2.满意度</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指标1服务对象满意度，指标值：=100%，实际完成值：=100%，指标完成率100%。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此项权重分值为10分，得分为10分。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（五）预算执行进度与绩效指标总体完成率偏差</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巴财综【2023】005关于下达2023年自治州彩票公益金支持社会福利项目资金的通知--巴州儿童福利设施项目年初预算360万元，全年预算360万元，实际支出360万元，预算执行率为100%，项目绩效指标总体完成率为99.66%，总体偏差率为0.34%，偏差原因由于预测面积时，测量方法不准确，导致预测面积与实际面积存在偏差。改进措施：在项目前期，充分开展考察工作，选取更准确的测量方法，为准确的预测面积提供依据。</w:t>
      </w:r>
    </w:p>
    <w:p w14:paraId="6E50746E">
      <w:pPr>
        <w:spacing w:line="540" w:lineRule="exact"/>
        <w:ind w:firstLine="640"/>
        <w:rPr>
          <w:rStyle w:val="19"/>
          <w:rFonts w:ascii="黑体" w:hAnsi="黑体" w:eastAsia="黑体"/>
          <w:spacing w:val="-4"/>
          <w:sz w:val="32"/>
          <w:szCs w:val="32"/>
        </w:rPr>
      </w:pPr>
      <w:r>
        <w:rPr>
          <w:rStyle w:val="19"/>
          <w:rFonts w:hint="eastAsia" w:ascii="黑体" w:hAnsi="黑体" w:eastAsia="黑体"/>
          <w:b w:val="0"/>
          <w:spacing w:val="-4"/>
          <w:sz w:val="32"/>
          <w:szCs w:val="32"/>
          <w:lang w:eastAsia="zh-CN"/>
        </w:rPr>
        <w:t>五</w:t>
      </w:r>
      <w:r>
        <w:rPr>
          <w:rStyle w:val="19"/>
          <w:rFonts w:hint="eastAsia" w:ascii="黑体" w:hAnsi="黑体" w:eastAsia="黑体"/>
          <w:b w:val="0"/>
          <w:spacing w:val="-4"/>
          <w:sz w:val="32"/>
          <w:szCs w:val="32"/>
        </w:rPr>
        <w:t>、</w:t>
      </w:r>
      <w:r>
        <w:rPr>
          <w:rStyle w:val="19"/>
          <w:rFonts w:ascii="黑体" w:hAnsi="黑体" w:eastAsia="黑体"/>
          <w:b w:val="0"/>
          <w:spacing w:val="-4"/>
          <w:sz w:val="32"/>
          <w:szCs w:val="32"/>
        </w:rPr>
        <w:t>主要经验及做法、存在的问题及原因分析</w:t>
      </w:r>
    </w:p>
    <w:p w14:paraId="311C922B">
      <w:pPr>
        <w:spacing w:line="540" w:lineRule="exact"/>
        <w:ind w:firstLine="627" w:firstLineChars="200"/>
        <w:rPr>
          <w:rStyle w:val="19"/>
          <w:rFonts w:ascii="楷体" w:hAnsi="楷体" w:eastAsia="楷体"/>
          <w:spacing w:val="-4"/>
          <w:sz w:val="32"/>
          <w:szCs w:val="32"/>
        </w:rPr>
      </w:pPr>
      <w:r>
        <w:rPr>
          <w:rStyle w:val="19"/>
          <w:rFonts w:hint="eastAsia" w:ascii="楷体" w:hAnsi="楷体" w:eastAsia="楷体"/>
          <w:spacing w:val="-4"/>
          <w:sz w:val="32"/>
          <w:szCs w:val="32"/>
        </w:rPr>
        <w:t>五.主要经验及做法、存在的问题及原因分析</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（一）主要经验及做法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提前做好项目规划，将所列计划再三审核。建立完善的建设标准与规范，涵盖设施选址、建筑设计、装修装饰、设备配备等方面，严格遵循国家标准与行业规范，确保设施安全性、功能性与舒适性达标，同时加强建设过程管理，严格把握工程质量、进度与成本，确保项目顺利推进。为确保项目顺利进行，在项目实施过程中做好定期监督检查，严格按照项目管理规范进行，在项目资金使用过程中，严格落实把关，按照项目资金使用范围做好审核工作，让项目资金落于实处。在项目完成后，做好受益群众民意调查及项目防范工作。</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（二）存在的问题及原因分析</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相关绩效管理方面专业知识的系统性学习有待加强。各项指标的设置要进一步优化、完善，主要在细化、量化上改进。在绩效自评过程中，由干部分人员缺乏相关绩效管理专业知识，自评价工作还存在自我审定的局限性，影响评价质量。</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从事儿童福利工作的专业人员数量有限，尤其是具备特殊教育、康复治疗、心理咨询等专业技能的人才短缺，这导致在设施运营过程中，难以为有特殊需求的儿童提供全面、专业的服务，影响儿童福利设施的功能发挥和服务品质提升。</w:t>
      </w:r>
    </w:p>
    <w:p w14:paraId="4C16C361">
      <w:pPr>
        <w:ind w:firstLine="624" w:firstLineChars="200"/>
        <w:rPr>
          <w:rStyle w:val="19"/>
          <w:rFonts w:ascii="黑体" w:hAnsi="黑体" w:eastAsia="黑体"/>
          <w:b w:val="0"/>
          <w:spacing w:val="-4"/>
          <w:sz w:val="32"/>
          <w:szCs w:val="32"/>
        </w:rPr>
      </w:pPr>
      <w:r>
        <w:rPr>
          <w:rStyle w:val="19"/>
          <w:rFonts w:hint="eastAsia" w:ascii="黑体" w:hAnsi="黑体" w:eastAsia="黑体"/>
          <w:b w:val="0"/>
          <w:spacing w:val="-4"/>
          <w:sz w:val="32"/>
          <w:szCs w:val="32"/>
          <w:lang w:eastAsia="zh-CN"/>
        </w:rPr>
        <w:t>六</w:t>
      </w:r>
      <w:r>
        <w:rPr>
          <w:rStyle w:val="19"/>
          <w:rFonts w:ascii="黑体" w:hAnsi="黑体" w:eastAsia="黑体"/>
          <w:b w:val="0"/>
          <w:spacing w:val="-4"/>
          <w:sz w:val="32"/>
          <w:szCs w:val="32"/>
        </w:rPr>
        <w:t>、有关建议</w:t>
      </w:r>
    </w:p>
    <w:p w14:paraId="7D43AA41">
      <w:pPr>
        <w:spacing w:line="540" w:lineRule="exact"/>
        <w:ind w:firstLine="627" w:firstLineChars="200"/>
        <w:rPr>
          <w:rStyle w:val="19"/>
          <w:rFonts w:ascii="楷体" w:hAnsi="楷体" w:eastAsia="楷体"/>
          <w:spacing w:val="-4"/>
          <w:sz w:val="32"/>
          <w:szCs w:val="32"/>
        </w:rPr>
      </w:pPr>
      <w:r>
        <w:rPr>
          <w:rStyle w:val="19"/>
          <w:rFonts w:hint="eastAsia" w:ascii="楷体" w:hAnsi="楷体" w:eastAsia="楷体"/>
          <w:spacing w:val="-4"/>
          <w:sz w:val="32"/>
          <w:szCs w:val="32"/>
        </w:rPr>
        <w:t>六.有关建议</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1.加强绩效管理知识培训与指标优化</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开展系统性培训：组织面向项目团队的绩效管理专业培训，邀请行业专家进行集中授课，课程内容涵盖绩效指标设计、自评流程与方法、绩效管理工具应用等知识，系统性提升团队成员的专业素养。同时，收集、整理绩效管理相关的优质学习资料，分享给团队成员，鼓励他们进行自主学习与提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优化指标体系：组建由财务专家、项目管理骨干、一线业务人员构成的指标优化小组，共同对现有绩效指标进行审查。根据项目实际情况，对指标进行细化与量化，确保每项指标可衡量、可考核。例如，针对服务完成进度，设置具体的时间节点和量化的完成比例；对服务质量，制定明确的评分标准与客户反馈机制。此外，建立指标动态调整机制，根据项目进展与外部环境变化，及时对指标进行优化更新。</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2.强化儿童福利专业人才队伍建设</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拓宽人才招聘渠道：与高校特殊教育、康复治疗、心理咨询等相关专业建立合作关系，通过校园招聘、设立实习基地等方式，吸引优秀毕业生加入儿童福利工作队伍。同时，利用网络招聘平台、社交媒体等渠道，发布具有竞争力的岗位信息，面向社会广泛招募有经验的专业人才。</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开展专业技能培训：定期组织内部培训，邀请行业专家对在职人员进行专业技能培训，提升其服务能力。例如，开展特殊教育教学方法、康复治疗技术、心理咨询技巧等方面的培训课程。鼓励员工参加外部专业培训与学术交流活动，为员工提供学习交流的机会，拓宽他们的视野，及时掌握行业最新动态与技术。</w:t>
      </w:r>
    </w:p>
    <w:p w14:paraId="0A281395">
      <w:pPr>
        <w:spacing w:line="540" w:lineRule="exact"/>
        <w:ind w:firstLine="567"/>
        <w:rPr>
          <w:rStyle w:val="19"/>
          <w:rFonts w:ascii="黑体" w:hAnsi="黑体" w:eastAsia="黑体"/>
          <w:b w:val="0"/>
          <w:spacing w:val="-4"/>
          <w:sz w:val="32"/>
          <w:szCs w:val="32"/>
        </w:rPr>
      </w:pPr>
      <w:r>
        <w:rPr>
          <w:rStyle w:val="19"/>
          <w:rFonts w:hint="eastAsia" w:ascii="黑体" w:hAnsi="黑体" w:eastAsia="黑体"/>
          <w:b w:val="0"/>
          <w:spacing w:val="-4"/>
          <w:sz w:val="32"/>
          <w:szCs w:val="32"/>
          <w:lang w:eastAsia="zh-CN"/>
        </w:rPr>
        <w:t>七</w:t>
      </w:r>
      <w:r>
        <w:rPr>
          <w:rStyle w:val="19"/>
          <w:rFonts w:hint="eastAsia" w:ascii="黑体" w:hAnsi="黑体" w:eastAsia="黑体"/>
          <w:b w:val="0"/>
          <w:spacing w:val="-4"/>
          <w:sz w:val="32"/>
          <w:szCs w:val="32"/>
        </w:rPr>
        <w:t>、其他需要说明的问题</w:t>
      </w:r>
    </w:p>
    <w:p w14:paraId="427E3799">
      <w:pPr>
        <w:spacing w:line="540" w:lineRule="exact"/>
        <w:ind w:firstLine="627" w:firstLineChars="200"/>
        <w:rPr>
          <w:rStyle w:val="19"/>
          <w:rFonts w:ascii="楷体" w:hAnsi="楷体" w:eastAsia="楷体"/>
          <w:spacing w:val="-4"/>
          <w:sz w:val="32"/>
          <w:szCs w:val="32"/>
        </w:rPr>
      </w:pPr>
      <w:r>
        <w:rPr>
          <w:rStyle w:val="19"/>
          <w:rFonts w:hint="eastAsia" w:ascii="楷体" w:hAnsi="楷体" w:eastAsia="楷体"/>
          <w:spacing w:val="-4"/>
          <w:sz w:val="32"/>
          <w:szCs w:val="32"/>
        </w:rPr>
        <w:t>本项目无其他需说明的问题。</w:t>
      </w:r>
    </w:p>
    <w:p w14:paraId="2A776C03">
      <w:pPr>
        <w:spacing w:line="540" w:lineRule="exact"/>
        <w:ind w:firstLine="567"/>
        <w:rPr>
          <w:rStyle w:val="19"/>
          <w:rFonts w:ascii="仿宋" w:hAnsi="仿宋" w:eastAsia="仿宋"/>
          <w:b w:val="0"/>
          <w:spacing w:val="-4"/>
          <w:sz w:val="32"/>
          <w:szCs w:val="32"/>
        </w:rPr>
      </w:pPr>
    </w:p>
    <w:p w14:paraId="5BA539FB">
      <w:pPr>
        <w:spacing w:line="540" w:lineRule="exact"/>
        <w:ind w:firstLine="567"/>
        <w:rPr>
          <w:rStyle w:val="19"/>
          <w:rFonts w:ascii="仿宋" w:hAnsi="仿宋" w:eastAsia="仿宋"/>
          <w:b w:val="0"/>
          <w:spacing w:val="-4"/>
          <w:sz w:val="32"/>
          <w:szCs w:val="32"/>
        </w:rPr>
      </w:pPr>
    </w:p>
    <w:p w14:paraId="54125029">
      <w:pPr>
        <w:spacing w:line="540" w:lineRule="exact"/>
        <w:ind w:firstLine="567"/>
        <w:rPr>
          <w:rStyle w:val="19"/>
          <w:rFonts w:ascii="仿宋" w:hAnsi="仿宋" w:eastAsia="仿宋"/>
          <w:b w:val="0"/>
          <w:spacing w:val="-4"/>
          <w:sz w:val="32"/>
          <w:szCs w:val="32"/>
        </w:rPr>
      </w:pPr>
    </w:p>
    <w:p w14:paraId="0BD5CCF2">
      <w:pPr>
        <w:spacing w:line="540" w:lineRule="exact"/>
        <w:ind w:firstLine="567"/>
        <w:rPr>
          <w:rStyle w:val="19"/>
          <w:rFonts w:ascii="仿宋" w:hAnsi="仿宋" w:eastAsia="仿宋"/>
          <w:b w:val="0"/>
          <w:spacing w:val="-4"/>
          <w:sz w:val="32"/>
          <w:szCs w:val="32"/>
        </w:rPr>
      </w:pPr>
    </w:p>
    <w:p w14:paraId="20EF3869">
      <w:pPr>
        <w:spacing w:line="540" w:lineRule="exact"/>
        <w:ind w:firstLine="567"/>
        <w:rPr>
          <w:rStyle w:val="19"/>
          <w:rFonts w:ascii="仿宋" w:hAnsi="仿宋" w:eastAsia="仿宋"/>
          <w:b w:val="0"/>
          <w:spacing w:val="-4"/>
          <w:sz w:val="32"/>
          <w:szCs w:val="32"/>
        </w:rPr>
      </w:pPr>
    </w:p>
    <w:p w14:paraId="4DFCC33A">
      <w:pPr>
        <w:spacing w:line="540" w:lineRule="exact"/>
        <w:ind w:firstLine="567"/>
        <w:rPr>
          <w:rStyle w:val="19"/>
          <w:rFonts w:ascii="仿宋" w:hAnsi="仿宋" w:eastAsia="仿宋"/>
          <w:b w:val="0"/>
          <w:spacing w:val="-4"/>
          <w:sz w:val="32"/>
          <w:szCs w:val="32"/>
        </w:rPr>
      </w:pPr>
    </w:p>
    <w:p w14:paraId="2C17C3FC">
      <w:pPr>
        <w:spacing w:line="540" w:lineRule="exact"/>
        <w:ind w:firstLine="567"/>
        <w:rPr>
          <w:rStyle w:val="19"/>
          <w:rFonts w:ascii="仿宋" w:hAnsi="仿宋" w:eastAsia="仿宋"/>
          <w:b w:val="0"/>
          <w:spacing w:val="-4"/>
          <w:sz w:val="32"/>
          <w:szCs w:val="32"/>
        </w:rPr>
      </w:pPr>
    </w:p>
    <w:p w14:paraId="173DC491">
      <w:pPr>
        <w:spacing w:line="540" w:lineRule="exact"/>
        <w:ind w:firstLine="567"/>
        <w:rPr>
          <w:rStyle w:val="19"/>
          <w:rFonts w:ascii="仿宋" w:hAnsi="仿宋" w:eastAsia="仿宋"/>
          <w:b w:val="0"/>
          <w:spacing w:val="-4"/>
          <w:sz w:val="32"/>
          <w:szCs w:val="32"/>
        </w:rPr>
      </w:pPr>
    </w:p>
    <w:p w14:paraId="319064C8">
      <w:pPr>
        <w:spacing w:line="540" w:lineRule="exact"/>
        <w:ind w:firstLine="567"/>
        <w:rPr>
          <w:rStyle w:val="19"/>
          <w:rFonts w:ascii="仿宋" w:hAnsi="仿宋" w:eastAsia="仿宋"/>
          <w:b w:val="0"/>
          <w:spacing w:val="-4"/>
          <w:sz w:val="32"/>
          <w:szCs w:val="32"/>
        </w:rPr>
      </w:pPr>
    </w:p>
    <w:p w14:paraId="38959B12">
      <w:pPr>
        <w:spacing w:line="540" w:lineRule="exact"/>
        <w:ind w:firstLine="567"/>
        <w:rPr>
          <w:rStyle w:val="19"/>
          <w:rFonts w:ascii="仿宋" w:hAnsi="仿宋" w:eastAsia="仿宋"/>
          <w:b w:val="0"/>
          <w:spacing w:val="-4"/>
          <w:sz w:val="32"/>
          <w:szCs w:val="32"/>
        </w:rPr>
      </w:pPr>
    </w:p>
    <w:p w14:paraId="095A31DD">
      <w:pPr>
        <w:spacing w:line="540" w:lineRule="exact"/>
        <w:ind w:firstLine="567"/>
        <w:rPr>
          <w:rStyle w:val="19"/>
          <w:rFonts w:ascii="仿宋" w:hAnsi="仿宋" w:eastAsia="仿宋"/>
          <w:b w:val="0"/>
          <w:spacing w:val="-4"/>
          <w:sz w:val="32"/>
          <w:szCs w:val="32"/>
        </w:rPr>
      </w:pPr>
    </w:p>
    <w:p w14:paraId="3AEE7E57">
      <w:pPr>
        <w:spacing w:line="540" w:lineRule="exact"/>
        <w:ind w:firstLine="567"/>
        <w:rPr>
          <w:rStyle w:val="19"/>
          <w:rFonts w:ascii="仿宋" w:hAnsi="仿宋" w:eastAsia="仿宋"/>
          <w:b w:val="0"/>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8EAC6960-830B-4BD1-84A0-3B9896753EB3}"/>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2" w:fontKey="{1E32FE2B-6248-45AD-B878-8CB7893E50B5}"/>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embedRegular r:id="rId3" w:fontKey="{EF247EDA-8239-404C-A9BE-F0FF809CE5E7}"/>
  </w:font>
  <w:font w:name="华文中宋">
    <w:panose1 w:val="02010600040101010101"/>
    <w:charset w:val="86"/>
    <w:family w:val="auto"/>
    <w:pitch w:val="default"/>
    <w:sig w:usb0="00000287" w:usb1="080F0000" w:usb2="00000000" w:usb3="00000000" w:csb0="0004009F" w:csb1="DFD70000"/>
    <w:embedRegular r:id="rId4" w:fontKey="{D2CD4CB9-A68E-4F59-BF48-4CCFFE0FA35A}"/>
  </w:font>
  <w:font w:name="方正小标宋_GBK">
    <w:panose1 w:val="02000000000000000000"/>
    <w:charset w:val="86"/>
    <w:family w:val="script"/>
    <w:pitch w:val="default"/>
    <w:sig w:usb0="A00002BF" w:usb1="38CF7CFA" w:usb2="00082016" w:usb3="00000000" w:csb0="00040001" w:csb1="00000000"/>
    <w:embedRegular r:id="rId5" w:fontKey="{D2B0DC7D-4750-429E-A8F7-D6167CF2E904}"/>
  </w:font>
  <w:font w:name="仿宋_GB2312">
    <w:altName w:val="仿宋"/>
    <w:panose1 w:val="02010609030101010101"/>
    <w:charset w:val="86"/>
    <w:family w:val="modern"/>
    <w:pitch w:val="default"/>
    <w:sig w:usb0="00000000" w:usb1="00000000" w:usb2="00000000" w:usb3="00000000" w:csb0="00040000" w:csb1="00000000"/>
    <w:embedRegular r:id="rId6" w:fontKey="{51B19E5B-A868-474A-A71A-869838394BA8}"/>
  </w:font>
  <w:font w:name="楷体">
    <w:panose1 w:val="02010609060101010101"/>
    <w:charset w:val="86"/>
    <w:family w:val="modern"/>
    <w:pitch w:val="default"/>
    <w:sig w:usb0="800002BF" w:usb1="38CF7CFA" w:usb2="00000016" w:usb3="00000000" w:csb0="00040001" w:csb1="00000000"/>
    <w:embedRegular r:id="rId7" w:fontKey="{B4788BCC-1640-421F-8C29-64FEBDCE0F48}"/>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docPartObj>
        <w:docPartGallery w:val="autotext"/>
      </w:docPartObj>
    </w:sdtPr>
    <w:sdtContent>
      <w:p w14:paraId="59299DCB">
        <w:pPr>
          <w:pStyle w:val="12"/>
          <w:jc w:val="center"/>
        </w:pPr>
        <w:r>
          <w:fldChar w:fldCharType="begin"/>
        </w:r>
        <w:r>
          <w:instrText xml:space="preserve">PAGE   \* MERGEFORMAT</w:instrText>
        </w:r>
        <w:r>
          <w:fldChar w:fldCharType="separate"/>
        </w:r>
        <w:r>
          <w:rPr>
            <w:lang w:val="zh-CN"/>
          </w:rPr>
          <w:t>1</w:t>
        </w:r>
        <w:r>
          <w:fldChar w:fldCharType="end"/>
        </w:r>
      </w:p>
    </w:sdtContent>
  </w:sdt>
  <w:p w14:paraId="2A0EB214">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2653E12"/>
  </w:rsids>
  <m:mathPr>
    <m:mathFont m:val="Cambria Math"/>
    <m:brkBin m:val="before"/>
    <m:brkBinSub m:val="--"/>
    <m:smallFrac m:val="0"/>
    <m:dispDef/>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nhideWhenUsed="0" w:uiPriority="99" w:semiHidden="0" w:name="Table Subtle 1"/>
    <w:lsdException w:uiPriority="99" w:name="Table Subtle 2"/>
    <w:lsdException w:uiPriority="99" w:name="Table Web 1"/>
    <w:lsdException w:unhideWhenUsed="0" w:uiPriority="99" w:semiHidden="0" w:name="Table Web 2"/>
    <w:lsdException w:unhideWhenUsed="0" w:uiPriority="99" w:semiHidden="0" w:name="Table Web 3"/>
    <w:lsdException w:qFormat="1" w:uiPriority="99" w:name="Balloon Text"/>
    <w:lsdException w:unhideWhenUsed="0" w:uiPriority="0"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1"/>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2"/>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3"/>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4"/>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5"/>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6"/>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7"/>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8"/>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9"/>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8">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6"/>
    <w:semiHidden/>
    <w:unhideWhenUsed/>
    <w:qFormat/>
    <w:uiPriority w:val="99"/>
    <w:rPr>
      <w:sz w:val="18"/>
      <w:szCs w:val="18"/>
    </w:rPr>
  </w:style>
  <w:style w:type="paragraph" w:styleId="12">
    <w:name w:val="footer"/>
    <w:basedOn w:val="1"/>
    <w:link w:val="45"/>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4"/>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1"/>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30"/>
    <w:qFormat/>
    <w:uiPriority w:val="10"/>
    <w:pPr>
      <w:widowControl/>
      <w:spacing w:before="240" w:after="60"/>
      <w:jc w:val="center"/>
      <w:outlineLvl w:val="0"/>
    </w:pPr>
    <w:rPr>
      <w:rFonts w:asciiTheme="majorHAnsi" w:hAnsiTheme="majorHAnsi" w:eastAsiaTheme="majorEastAsia"/>
      <w:b/>
      <w:bCs/>
      <w:kern w:val="28"/>
      <w:sz w:val="32"/>
      <w:szCs w:val="32"/>
    </w:rPr>
  </w:style>
  <w:style w:type="table" w:styleId="17">
    <w:name w:val="Table Grid"/>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9">
    <w:name w:val="Strong"/>
    <w:basedOn w:val="18"/>
    <w:qFormat/>
    <w:uiPriority w:val="0"/>
    <w:rPr>
      <w:b/>
      <w:bCs/>
    </w:rPr>
  </w:style>
  <w:style w:type="character" w:styleId="20">
    <w:name w:val="Emphasis"/>
    <w:basedOn w:val="18"/>
    <w:qFormat/>
    <w:uiPriority w:val="20"/>
    <w:rPr>
      <w:rFonts w:asciiTheme="minorHAnsi" w:hAnsiTheme="minorHAnsi"/>
      <w:b/>
      <w:i/>
      <w:iCs/>
    </w:rPr>
  </w:style>
  <w:style w:type="character" w:customStyle="1" w:styleId="21">
    <w:name w:val="标题 1 字符"/>
    <w:basedOn w:val="18"/>
    <w:link w:val="2"/>
    <w:qFormat/>
    <w:uiPriority w:val="9"/>
    <w:rPr>
      <w:rFonts w:asciiTheme="majorHAnsi" w:hAnsiTheme="majorHAnsi" w:eastAsiaTheme="majorEastAsia"/>
      <w:b/>
      <w:bCs/>
      <w:kern w:val="32"/>
      <w:sz w:val="32"/>
      <w:szCs w:val="32"/>
    </w:rPr>
  </w:style>
  <w:style w:type="character" w:customStyle="1" w:styleId="22">
    <w:name w:val="标题 2 字符"/>
    <w:basedOn w:val="18"/>
    <w:link w:val="3"/>
    <w:semiHidden/>
    <w:qFormat/>
    <w:uiPriority w:val="9"/>
    <w:rPr>
      <w:rFonts w:asciiTheme="majorHAnsi" w:hAnsiTheme="majorHAnsi" w:eastAsiaTheme="majorEastAsia"/>
      <w:b/>
      <w:bCs/>
      <w:i/>
      <w:iCs/>
      <w:sz w:val="28"/>
      <w:szCs w:val="28"/>
    </w:rPr>
  </w:style>
  <w:style w:type="character" w:customStyle="1" w:styleId="23">
    <w:name w:val="标题 3 字符"/>
    <w:basedOn w:val="18"/>
    <w:link w:val="4"/>
    <w:semiHidden/>
    <w:qFormat/>
    <w:uiPriority w:val="9"/>
    <w:rPr>
      <w:rFonts w:asciiTheme="majorHAnsi" w:hAnsiTheme="majorHAnsi" w:eastAsiaTheme="majorEastAsia"/>
      <w:b/>
      <w:bCs/>
      <w:sz w:val="26"/>
      <w:szCs w:val="26"/>
    </w:rPr>
  </w:style>
  <w:style w:type="character" w:customStyle="1" w:styleId="24">
    <w:name w:val="标题 4 字符"/>
    <w:basedOn w:val="18"/>
    <w:link w:val="5"/>
    <w:qFormat/>
    <w:uiPriority w:val="9"/>
    <w:rPr>
      <w:b/>
      <w:bCs/>
      <w:sz w:val="28"/>
      <w:szCs w:val="28"/>
    </w:rPr>
  </w:style>
  <w:style w:type="character" w:customStyle="1" w:styleId="25">
    <w:name w:val="标题 5 字符"/>
    <w:basedOn w:val="18"/>
    <w:link w:val="6"/>
    <w:semiHidden/>
    <w:qFormat/>
    <w:uiPriority w:val="9"/>
    <w:rPr>
      <w:b/>
      <w:bCs/>
      <w:i/>
      <w:iCs/>
      <w:sz w:val="26"/>
      <w:szCs w:val="26"/>
    </w:rPr>
  </w:style>
  <w:style w:type="character" w:customStyle="1" w:styleId="26">
    <w:name w:val="标题 6 字符"/>
    <w:basedOn w:val="18"/>
    <w:link w:val="7"/>
    <w:semiHidden/>
    <w:qFormat/>
    <w:uiPriority w:val="9"/>
    <w:rPr>
      <w:b/>
      <w:bCs/>
    </w:rPr>
  </w:style>
  <w:style w:type="character" w:customStyle="1" w:styleId="27">
    <w:name w:val="标题 7 字符"/>
    <w:basedOn w:val="18"/>
    <w:link w:val="8"/>
    <w:semiHidden/>
    <w:qFormat/>
    <w:uiPriority w:val="9"/>
    <w:rPr>
      <w:sz w:val="24"/>
      <w:szCs w:val="24"/>
    </w:rPr>
  </w:style>
  <w:style w:type="character" w:customStyle="1" w:styleId="28">
    <w:name w:val="标题 8 字符"/>
    <w:basedOn w:val="18"/>
    <w:link w:val="9"/>
    <w:semiHidden/>
    <w:qFormat/>
    <w:uiPriority w:val="9"/>
    <w:rPr>
      <w:i/>
      <w:iCs/>
      <w:sz w:val="24"/>
      <w:szCs w:val="24"/>
    </w:rPr>
  </w:style>
  <w:style w:type="character" w:customStyle="1" w:styleId="29">
    <w:name w:val="标题 9 字符"/>
    <w:basedOn w:val="18"/>
    <w:link w:val="10"/>
    <w:semiHidden/>
    <w:qFormat/>
    <w:uiPriority w:val="9"/>
    <w:rPr>
      <w:rFonts w:asciiTheme="majorHAnsi" w:hAnsiTheme="majorHAnsi" w:eastAsiaTheme="majorEastAsia"/>
    </w:rPr>
  </w:style>
  <w:style w:type="character" w:customStyle="1" w:styleId="30">
    <w:name w:val="标题 字符"/>
    <w:basedOn w:val="18"/>
    <w:link w:val="15"/>
    <w:qFormat/>
    <w:uiPriority w:val="10"/>
    <w:rPr>
      <w:rFonts w:asciiTheme="majorHAnsi" w:hAnsiTheme="majorHAnsi" w:eastAsiaTheme="majorEastAsia"/>
      <w:b/>
      <w:bCs/>
      <w:kern w:val="28"/>
      <w:sz w:val="32"/>
      <w:szCs w:val="32"/>
    </w:rPr>
  </w:style>
  <w:style w:type="character" w:customStyle="1" w:styleId="31">
    <w:name w:val="副标题 字符"/>
    <w:basedOn w:val="18"/>
    <w:link w:val="14"/>
    <w:qFormat/>
    <w:uiPriority w:val="11"/>
    <w:rPr>
      <w:rFonts w:asciiTheme="majorHAnsi" w:hAnsiTheme="majorHAnsi" w:eastAsiaTheme="majorEastAsia"/>
      <w:sz w:val="24"/>
      <w:szCs w:val="24"/>
    </w:rPr>
  </w:style>
  <w:style w:type="paragraph" w:styleId="32">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3">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4">
    <w:name w:val="Quote"/>
    <w:basedOn w:val="1"/>
    <w:next w:val="1"/>
    <w:link w:val="35"/>
    <w:qFormat/>
    <w:uiPriority w:val="29"/>
    <w:pPr>
      <w:widowControl/>
      <w:jc w:val="left"/>
    </w:pPr>
    <w:rPr>
      <w:rFonts w:asciiTheme="minorHAnsi" w:hAnsiTheme="minorHAnsi" w:eastAsiaTheme="minorEastAsia"/>
      <w:i/>
      <w:kern w:val="0"/>
      <w:sz w:val="24"/>
    </w:rPr>
  </w:style>
  <w:style w:type="character" w:customStyle="1" w:styleId="35">
    <w:name w:val="引用 字符"/>
    <w:basedOn w:val="18"/>
    <w:link w:val="34"/>
    <w:qFormat/>
    <w:uiPriority w:val="29"/>
    <w:rPr>
      <w:i/>
      <w:sz w:val="24"/>
      <w:szCs w:val="24"/>
    </w:rPr>
  </w:style>
  <w:style w:type="paragraph" w:styleId="36">
    <w:name w:val="Intense Quote"/>
    <w:basedOn w:val="1"/>
    <w:next w:val="1"/>
    <w:link w:val="37"/>
    <w:qFormat/>
    <w:uiPriority w:val="30"/>
    <w:pPr>
      <w:widowControl/>
      <w:ind w:left="720" w:right="720"/>
      <w:jc w:val="left"/>
    </w:pPr>
    <w:rPr>
      <w:rFonts w:asciiTheme="minorHAnsi" w:hAnsiTheme="minorHAnsi" w:eastAsiaTheme="minorEastAsia"/>
      <w:b/>
      <w:i/>
      <w:kern w:val="0"/>
      <w:sz w:val="24"/>
      <w:szCs w:val="22"/>
    </w:rPr>
  </w:style>
  <w:style w:type="character" w:customStyle="1" w:styleId="37">
    <w:name w:val="明显引用 字符"/>
    <w:basedOn w:val="18"/>
    <w:link w:val="36"/>
    <w:qFormat/>
    <w:uiPriority w:val="30"/>
    <w:rPr>
      <w:b/>
      <w:i/>
      <w:sz w:val="24"/>
    </w:rPr>
  </w:style>
  <w:style w:type="character" w:customStyle="1" w:styleId="38">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9">
    <w:name w:val="明显强调1"/>
    <w:basedOn w:val="18"/>
    <w:qFormat/>
    <w:uiPriority w:val="21"/>
    <w:rPr>
      <w:b/>
      <w:i/>
      <w:sz w:val="24"/>
      <w:szCs w:val="24"/>
      <w:u w:val="single"/>
    </w:rPr>
  </w:style>
  <w:style w:type="character" w:customStyle="1" w:styleId="40">
    <w:name w:val="不明显参考1"/>
    <w:basedOn w:val="18"/>
    <w:qFormat/>
    <w:uiPriority w:val="31"/>
    <w:rPr>
      <w:sz w:val="24"/>
      <w:szCs w:val="24"/>
      <w:u w:val="single"/>
    </w:rPr>
  </w:style>
  <w:style w:type="character" w:customStyle="1" w:styleId="41">
    <w:name w:val="明显参考1"/>
    <w:basedOn w:val="18"/>
    <w:qFormat/>
    <w:uiPriority w:val="32"/>
    <w:rPr>
      <w:b/>
      <w:sz w:val="24"/>
      <w:u w:val="single"/>
    </w:rPr>
  </w:style>
  <w:style w:type="character" w:customStyle="1" w:styleId="42">
    <w:name w:val="书籍标题1"/>
    <w:basedOn w:val="18"/>
    <w:qFormat/>
    <w:uiPriority w:val="33"/>
    <w:rPr>
      <w:rFonts w:asciiTheme="majorHAnsi" w:hAnsiTheme="majorHAnsi" w:eastAsiaTheme="majorEastAsia"/>
      <w:b/>
      <w:i/>
      <w:sz w:val="24"/>
      <w:szCs w:val="24"/>
    </w:rPr>
  </w:style>
  <w:style w:type="paragraph" w:customStyle="1" w:styleId="43">
    <w:name w:val="TOC 标题1"/>
    <w:basedOn w:val="2"/>
    <w:next w:val="1"/>
    <w:semiHidden/>
    <w:unhideWhenUsed/>
    <w:qFormat/>
    <w:uiPriority w:val="39"/>
    <w:pPr>
      <w:outlineLvl w:val="9"/>
    </w:pPr>
    <w:rPr>
      <w:lang w:eastAsia="en-US" w:bidi="en-US"/>
    </w:rPr>
  </w:style>
  <w:style w:type="character" w:customStyle="1" w:styleId="44">
    <w:name w:val="页眉 字符"/>
    <w:basedOn w:val="18"/>
    <w:link w:val="13"/>
    <w:qFormat/>
    <w:uiPriority w:val="99"/>
    <w:rPr>
      <w:rFonts w:ascii="Calibri" w:hAnsi="Calibri" w:eastAsia="宋体"/>
      <w:kern w:val="2"/>
      <w:sz w:val="18"/>
      <w:szCs w:val="18"/>
    </w:rPr>
  </w:style>
  <w:style w:type="character" w:customStyle="1" w:styleId="45">
    <w:name w:val="页脚 字符"/>
    <w:basedOn w:val="18"/>
    <w:link w:val="12"/>
    <w:qFormat/>
    <w:uiPriority w:val="99"/>
    <w:rPr>
      <w:rFonts w:ascii="Calibri" w:hAnsi="Calibri" w:eastAsia="宋体"/>
      <w:kern w:val="2"/>
      <w:sz w:val="18"/>
      <w:szCs w:val="18"/>
    </w:rPr>
  </w:style>
  <w:style w:type="character" w:customStyle="1" w:styleId="46">
    <w:name w:val="批注框文本 字符"/>
    <w:basedOn w:val="18"/>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160D1BA1944349B08C48068401F6E698</vt:lpwstr>
  </property>
</Properties>
</file>

<file path=customXml/itemProps1.xml><?xml version="1.0" encoding="utf-8"?>
<ds:datastoreItem xmlns:ds="http://schemas.openxmlformats.org/officeDocument/2006/customXml" ds:itemID="{3aa0c449-b944-40f1-8297-7feb7e5284a4}">
  <ds:schemaRefs/>
</ds:datastoreItem>
</file>

<file path=docProps/app.xml><?xml version="1.0" encoding="utf-8"?>
<Properties xmlns="http://schemas.openxmlformats.org/officeDocument/2006/extended-properties" xmlns:vt="http://schemas.openxmlformats.org/officeDocument/2006/docPropsVTypes">
  <Template>Normal.dotm</Template>
  <Pages>23</Pages>
  <Words>11424</Words>
  <Characters>11877</Characters>
  <Lines>5</Lines>
  <Paragraphs>1</Paragraphs>
  <TotalTime>0</TotalTime>
  <ScaleCrop>false</ScaleCrop>
  <LinksUpToDate>false</LinksUpToDate>
  <CharactersWithSpaces>11921</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恺_xFF08_预算处_xFF09_</dc:creator>
  <cp:lastModifiedBy>Qxb</cp:lastModifiedBy>
  <cp:lastPrinted>2018-12-31T10:56:00Z</cp:lastPrinted>
  <dcterms:modified xsi:type="dcterms:W3CDTF">2025-09-22T05:12:39Z</dcterms:modified>
  <cp:revision>64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160D1BA1944349B08C48068401F6E698</vt:lpwstr>
  </property>
  <property fmtid="{D5CDD505-2E9C-101B-9397-08002B2CF9AE}" pid="4" name="KSOTemplateDocerSaveRecord">
    <vt:lpwstr>eyJoZGlkIjoiNjhiMzgzMWJiNDVmMjc4YmZhYzYxZmZlMGEwZTI0MDIiLCJ1c2VySWQiOiIxMDczMzg0NjQwIn0=</vt:lpwstr>
  </property>
</Properties>
</file>