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新疆巴音郭楞蒙古自治州儿童福利院2024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CEC304E">
      <w:r>
        <w:br w:type="page"/>
      </w:r>
    </w:p>
    <w:p w14:paraId="260250EA">
      <w:pPr>
        <w:spacing w:line="640" w:lineRule="exact"/>
        <w:jc w:val="center"/>
        <w:outlineLvl w:val="1"/>
      </w:pPr>
      <w:r>
        <w:rPr>
          <w:rFonts w:ascii="黑体" w:hAnsi="黑体" w:eastAsia="黑体"/>
          <w:sz w:val="32"/>
        </w:rPr>
        <w:t>第一部分 单位概况</w:t>
      </w:r>
    </w:p>
    <w:p w14:paraId="767478D9">
      <w:pPr>
        <w:spacing w:line="640" w:lineRule="exact"/>
        <w:ind w:firstLine="640"/>
        <w:jc w:val="both"/>
        <w:outlineLvl w:val="2"/>
      </w:pPr>
      <w:r>
        <w:rPr>
          <w:rFonts w:ascii="黑体" w:hAnsi="黑体" w:eastAsia="黑体"/>
          <w:sz w:val="32"/>
        </w:rPr>
        <w:t>一、主要职能</w:t>
      </w:r>
    </w:p>
    <w:p w14:paraId="060CE838">
      <w:pPr>
        <w:spacing w:line="580" w:lineRule="exact"/>
        <w:ind w:firstLine="640"/>
        <w:jc w:val="both"/>
      </w:pPr>
      <w:r>
        <w:rPr>
          <w:rFonts w:ascii="仿宋_GB2312" w:hAnsi="仿宋_GB2312" w:eastAsia="仿宋_GB2312"/>
          <w:sz w:val="32"/>
        </w:rPr>
        <w:t>（1）收养弃婴和孤儿，为其提供养护、医疗、康复、教育、技能培训等服务。</w:t>
      </w:r>
    </w:p>
    <w:p w14:paraId="5C2EDA45">
      <w:pPr>
        <w:spacing w:line="580" w:lineRule="exact"/>
        <w:ind w:firstLine="640"/>
        <w:jc w:val="both"/>
      </w:pPr>
      <w:r>
        <w:rPr>
          <w:rFonts w:ascii="仿宋_GB2312" w:hAnsi="仿宋_GB2312" w:eastAsia="仿宋_GB2312"/>
          <w:sz w:val="32"/>
        </w:rPr>
        <w:t>（2）开展家庭寄养、国家送养、涉外送养等业务使更多孤残儿童回归家庭。</w:t>
      </w:r>
    </w:p>
    <w:p w14:paraId="5B29B0BD">
      <w:pPr>
        <w:spacing w:line="580" w:lineRule="exact"/>
        <w:ind w:firstLine="640"/>
        <w:jc w:val="both"/>
      </w:pPr>
      <w:r>
        <w:rPr>
          <w:rFonts w:ascii="仿宋_GB2312" w:hAnsi="仿宋_GB2312" w:eastAsia="仿宋_GB2312"/>
          <w:sz w:val="32"/>
        </w:rPr>
        <w:t>（3）加强对外交流与合作，广泛利用社会资源，为孤残儿童创造更大福利。</w:t>
      </w:r>
    </w:p>
    <w:p w14:paraId="0D153CB2">
      <w:pPr>
        <w:spacing w:line="580" w:lineRule="exact"/>
        <w:ind w:firstLine="640"/>
        <w:jc w:val="both"/>
      </w:pPr>
      <w:r>
        <w:rPr>
          <w:rFonts w:ascii="仿宋_GB2312" w:hAnsi="仿宋_GB2312" w:eastAsia="仿宋_GB2312"/>
          <w:sz w:val="32"/>
        </w:rPr>
        <w:t>（4）积极发挥医疗、康复、教育等资源优势，向社区辐射,惠及更多孤残儿童。</w:t>
      </w:r>
    </w:p>
    <w:p w14:paraId="124B035F">
      <w:pPr>
        <w:spacing w:line="640" w:lineRule="exact"/>
        <w:ind w:firstLine="640"/>
        <w:jc w:val="both"/>
        <w:outlineLvl w:val="2"/>
      </w:pPr>
      <w:r>
        <w:rPr>
          <w:rFonts w:ascii="黑体" w:hAnsi="黑体" w:eastAsia="黑体"/>
          <w:sz w:val="32"/>
        </w:rPr>
        <w:t>二、机构设置及人员情况</w:t>
      </w:r>
    </w:p>
    <w:p w14:paraId="422AE30E">
      <w:pPr>
        <w:spacing w:line="580" w:lineRule="exact"/>
        <w:ind w:firstLine="640"/>
        <w:jc w:val="both"/>
      </w:pPr>
      <w:r>
        <w:rPr>
          <w:rFonts w:ascii="仿宋_GB2312" w:hAnsi="仿宋_GB2312" w:eastAsia="仿宋_GB2312"/>
          <w:sz w:val="32"/>
        </w:rPr>
        <w:t>新疆巴音郭楞蒙古自治州儿童福利院2024年度，实有人数18人，其中：在职人员16人，增加0人；离休人员0人，增加0人；退休人员2人,增加2人。</w:t>
      </w:r>
    </w:p>
    <w:p w14:paraId="347D859E">
      <w:pPr>
        <w:spacing w:line="580" w:lineRule="exact"/>
        <w:ind w:firstLine="640"/>
        <w:jc w:val="both"/>
      </w:pPr>
      <w:r>
        <w:rPr>
          <w:rFonts w:ascii="仿宋_GB2312" w:hAnsi="仿宋_GB2312" w:eastAsia="仿宋_GB2312"/>
          <w:sz w:val="32"/>
        </w:rPr>
        <w:t>新疆巴音郭楞蒙古自治州儿童福利院无下属预算单位，下设8个科室，分别是：办公室、总务部、医疗部、康复部、特殊教育部、财务室、家庭寄养部、社工部。</w:t>
      </w:r>
    </w:p>
    <w:p w14:paraId="64FDF676">
      <w:r>
        <w:br w:type="page"/>
      </w:r>
    </w:p>
    <w:p w14:paraId="5617E697">
      <w:pPr>
        <w:spacing w:line="240" w:lineRule="auto"/>
        <w:jc w:val="center"/>
        <w:outlineLvl w:val="1"/>
      </w:pPr>
      <w:r>
        <w:rPr>
          <w:rFonts w:ascii="黑体" w:hAnsi="黑体" w:eastAsia="黑体"/>
          <w:sz w:val="32"/>
        </w:rPr>
        <w:t>第二部分 部门决算情况说明</w:t>
      </w:r>
    </w:p>
    <w:p w14:paraId="038052BA">
      <w:pPr>
        <w:spacing w:line="640" w:lineRule="exact"/>
        <w:ind w:firstLine="640"/>
        <w:jc w:val="both"/>
        <w:outlineLvl w:val="2"/>
      </w:pPr>
      <w:r>
        <w:rPr>
          <w:rFonts w:ascii="黑体" w:hAnsi="黑体" w:eastAsia="黑体"/>
          <w:sz w:val="32"/>
        </w:rPr>
        <w:t>一、收入支出决算总体情况说明</w:t>
      </w:r>
    </w:p>
    <w:p w14:paraId="3186E68D">
      <w:pPr>
        <w:spacing w:line="580" w:lineRule="exact"/>
        <w:ind w:firstLine="640"/>
        <w:jc w:val="both"/>
      </w:pPr>
      <w:r>
        <w:rPr>
          <w:rFonts w:ascii="仿宋_GB2312" w:hAnsi="仿宋_GB2312" w:eastAsia="仿宋_GB2312"/>
          <w:b/>
          <w:sz w:val="32"/>
        </w:rPr>
        <w:t>2024年度收入总计843.18万元，</w:t>
      </w:r>
      <w:r>
        <w:rPr>
          <w:rFonts w:ascii="仿宋_GB2312" w:hAnsi="仿宋_GB2312" w:eastAsia="仿宋_GB2312"/>
          <w:b w:val="0"/>
          <w:sz w:val="32"/>
        </w:rPr>
        <w:t>其中：本年收入合计843.18万元，使用非财政拨款结余（含专用结余）0.00万元，年初结转和结余0.00万元。</w:t>
      </w:r>
    </w:p>
    <w:p w14:paraId="537A1FED">
      <w:pPr>
        <w:spacing w:line="580" w:lineRule="exact"/>
        <w:ind w:firstLine="640"/>
        <w:jc w:val="both"/>
      </w:pPr>
      <w:r>
        <w:rPr>
          <w:rFonts w:ascii="仿宋_GB2312" w:hAnsi="仿宋_GB2312" w:eastAsia="仿宋_GB2312"/>
          <w:b/>
          <w:sz w:val="32"/>
        </w:rPr>
        <w:t>2024年度支出总计843.18万元，</w:t>
      </w:r>
      <w:r>
        <w:rPr>
          <w:rFonts w:ascii="仿宋_GB2312" w:hAnsi="仿宋_GB2312" w:eastAsia="仿宋_GB2312"/>
          <w:b w:val="0"/>
          <w:sz w:val="32"/>
        </w:rPr>
        <w:t>其中：本年支出合计841.52万元，结余分配0.00万元，年末结转和结余1.66万元。</w:t>
      </w:r>
    </w:p>
    <w:p w14:paraId="3FB94317">
      <w:pPr>
        <w:spacing w:line="580" w:lineRule="exact"/>
        <w:ind w:firstLine="640"/>
        <w:jc w:val="both"/>
      </w:pPr>
      <w:r>
        <w:rPr>
          <w:rFonts w:ascii="仿宋_GB2312" w:hAnsi="仿宋_GB2312" w:eastAsia="仿宋_GB2312"/>
          <w:b w:val="0"/>
          <w:sz w:val="32"/>
        </w:rPr>
        <w:t>收入支出总体与上年相比，减少78.17万元，下降8.48%，主要原因是：本年减少自治区财政安排巴州儿童福利院综合楼（二层）提升改造、康复楼多功能会议厅屋顶改造项目，导致经费较上年减少。</w:t>
      </w:r>
    </w:p>
    <w:p w14:paraId="5969B235">
      <w:pPr>
        <w:spacing w:line="640" w:lineRule="exact"/>
        <w:ind w:firstLine="640"/>
        <w:jc w:val="both"/>
        <w:outlineLvl w:val="2"/>
      </w:pPr>
      <w:r>
        <w:rPr>
          <w:rFonts w:ascii="黑体" w:hAnsi="黑体" w:eastAsia="黑体"/>
          <w:sz w:val="32"/>
        </w:rPr>
        <w:t>二、收入决算情况说明</w:t>
      </w:r>
    </w:p>
    <w:p w14:paraId="264B932D">
      <w:pPr>
        <w:spacing w:line="580" w:lineRule="exact"/>
        <w:ind w:firstLine="640"/>
        <w:jc w:val="both"/>
      </w:pPr>
      <w:r>
        <w:rPr>
          <w:rFonts w:ascii="仿宋_GB2312" w:hAnsi="仿宋_GB2312" w:eastAsia="仿宋_GB2312"/>
          <w:b/>
          <w:sz w:val="32"/>
        </w:rPr>
        <w:t>本年收入843.18万元，</w:t>
      </w:r>
      <w:r>
        <w:rPr>
          <w:rFonts w:ascii="仿宋_GB2312" w:hAnsi="仿宋_GB2312" w:eastAsia="仿宋_GB2312"/>
          <w:b w:val="0"/>
          <w:sz w:val="32"/>
        </w:rPr>
        <w:t>其中：财政拨款收入635.74万元，占75.40%；上级补助收入0.00万元，占0.00%；事业收入0.00万元，占0.00%；经营收入0.00万元，占0.00%；附属单位上缴收入0.00万元，占0.00%；其他收入207.44万元，占24.60%。</w:t>
      </w:r>
    </w:p>
    <w:p w14:paraId="2F0B927B">
      <w:pPr>
        <w:spacing w:line="640" w:lineRule="exact"/>
        <w:ind w:firstLine="640"/>
        <w:jc w:val="both"/>
        <w:outlineLvl w:val="2"/>
      </w:pPr>
      <w:r>
        <w:rPr>
          <w:rFonts w:ascii="黑体" w:hAnsi="黑体" w:eastAsia="黑体"/>
          <w:sz w:val="32"/>
        </w:rPr>
        <w:t>三、支出决算情况说明</w:t>
      </w:r>
    </w:p>
    <w:p w14:paraId="64DCBA45">
      <w:pPr>
        <w:spacing w:line="580" w:lineRule="exact"/>
        <w:ind w:firstLine="640"/>
        <w:jc w:val="both"/>
      </w:pPr>
      <w:r>
        <w:rPr>
          <w:rFonts w:ascii="仿宋_GB2312" w:hAnsi="仿宋_GB2312" w:eastAsia="仿宋_GB2312"/>
          <w:b/>
          <w:sz w:val="32"/>
        </w:rPr>
        <w:t>本年支出841.52万元，</w:t>
      </w:r>
      <w:r>
        <w:rPr>
          <w:rFonts w:ascii="仿宋_GB2312" w:hAnsi="仿宋_GB2312" w:eastAsia="仿宋_GB2312"/>
          <w:b w:val="0"/>
          <w:sz w:val="32"/>
        </w:rPr>
        <w:t>其中：基本支出429.16万元，占51.00%；项目支出412.36万元，占49.00%；上缴上级支出0.00万元，占0.00%；经营支出0.00万元，占0.00%；对附属单位补助支出0.00万元，占0.00%。</w:t>
      </w:r>
    </w:p>
    <w:p w14:paraId="0274C848">
      <w:pPr>
        <w:spacing w:line="640" w:lineRule="exact"/>
        <w:ind w:firstLine="640"/>
        <w:jc w:val="both"/>
        <w:outlineLvl w:val="2"/>
      </w:pPr>
      <w:r>
        <w:rPr>
          <w:rFonts w:ascii="黑体" w:hAnsi="黑体" w:eastAsia="黑体"/>
          <w:sz w:val="32"/>
        </w:rPr>
        <w:t>四、财政拨款收入支出决算总体情况说明</w:t>
      </w:r>
    </w:p>
    <w:p w14:paraId="551D2EBF">
      <w:pPr>
        <w:spacing w:line="580" w:lineRule="exact"/>
        <w:ind w:firstLine="640"/>
        <w:jc w:val="both"/>
      </w:pPr>
      <w:r>
        <w:rPr>
          <w:rFonts w:ascii="仿宋_GB2312" w:hAnsi="仿宋_GB2312" w:eastAsia="仿宋_GB2312"/>
          <w:b/>
          <w:sz w:val="32"/>
        </w:rPr>
        <w:t>2024年度财政拨款收入总计635.74万元，</w:t>
      </w:r>
      <w:r>
        <w:rPr>
          <w:rFonts w:ascii="仿宋_GB2312" w:hAnsi="仿宋_GB2312" w:eastAsia="仿宋_GB2312"/>
          <w:b w:val="0"/>
          <w:sz w:val="32"/>
        </w:rPr>
        <w:t>其中：年初财政拨款结转和结余0.00万元，本年财政拨款收入635.74万元。</w:t>
      </w:r>
      <w:r>
        <w:rPr>
          <w:rFonts w:ascii="仿宋_GB2312" w:hAnsi="仿宋_GB2312" w:eastAsia="仿宋_GB2312"/>
          <w:b/>
          <w:sz w:val="32"/>
        </w:rPr>
        <w:t>财政拨款支出总计635.74万元，</w:t>
      </w:r>
      <w:r>
        <w:rPr>
          <w:rFonts w:ascii="仿宋_GB2312" w:hAnsi="仿宋_GB2312" w:eastAsia="仿宋_GB2312"/>
          <w:b w:val="0"/>
          <w:sz w:val="32"/>
        </w:rPr>
        <w:t>其中：年末财政拨款结转和结余0.00万元，本年财政拨款支出635.74万元。</w:t>
      </w:r>
    </w:p>
    <w:p w14:paraId="6DEDF0C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减少285.61万元，下降31.00%，主要原因是：本年减少自治区财政安排巴州儿童福利院综合楼（二层）提升改造、康复楼多功能会议厅屋顶改造项目，导致经费较上年减少。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588.45万元，决算数635.74万元，预决算差异率8.04%，主要原因是：年中追加人员工资、社保、公积金基数调增部分资金；年中追加中央财政困难群众一次性补助项目资金、中央困难群众救助项目资金，导致预决算存在差异。</w:t>
      </w:r>
    </w:p>
    <w:p w14:paraId="4237EBA1">
      <w:pPr>
        <w:spacing w:line="640" w:lineRule="exact"/>
        <w:ind w:firstLine="640"/>
        <w:jc w:val="both"/>
        <w:outlineLvl w:val="2"/>
      </w:pPr>
      <w:r>
        <w:rPr>
          <w:rFonts w:ascii="黑体" w:hAnsi="黑体" w:eastAsia="黑体"/>
          <w:sz w:val="32"/>
        </w:rPr>
        <w:t>五、一般公共预算财政拨款支出决算情况说明</w:t>
      </w:r>
    </w:p>
    <w:p w14:paraId="5B773203">
      <w:pPr>
        <w:spacing w:line="640" w:lineRule="exact"/>
        <w:ind w:firstLine="640"/>
        <w:jc w:val="both"/>
        <w:outlineLvl w:val="3"/>
      </w:pPr>
      <w:r>
        <w:rPr>
          <w:rFonts w:ascii="楷体_GB2312" w:hAnsi="楷体_GB2312" w:eastAsia="楷体_GB2312"/>
          <w:b/>
          <w:sz w:val="32"/>
        </w:rPr>
        <w:t>（一）一般公共预算财政拨款支出决算总体情况</w:t>
      </w:r>
    </w:p>
    <w:p w14:paraId="4114AC94">
      <w:pPr>
        <w:spacing w:line="580" w:lineRule="exact"/>
        <w:ind w:firstLine="640"/>
        <w:jc w:val="both"/>
      </w:pPr>
      <w:r>
        <w:rPr>
          <w:rFonts w:ascii="仿宋_GB2312" w:hAnsi="仿宋_GB2312" w:eastAsia="仿宋_GB2312"/>
          <w:b/>
          <w:sz w:val="32"/>
        </w:rPr>
        <w:t>2024年度一般公共预算财政拨款支出575.99万元，</w:t>
      </w:r>
      <w:r>
        <w:rPr>
          <w:rFonts w:ascii="仿宋_GB2312" w:hAnsi="仿宋_GB2312" w:eastAsia="仿宋_GB2312"/>
          <w:b w:val="0"/>
          <w:sz w:val="32"/>
        </w:rPr>
        <w:t>占本年支出合计的68.45%。</w:t>
      </w:r>
      <w:r>
        <w:rPr>
          <w:rFonts w:ascii="仿宋_GB2312" w:hAnsi="仿宋_GB2312" w:eastAsia="仿宋_GB2312"/>
          <w:b/>
          <w:sz w:val="32"/>
        </w:rPr>
        <w:t>与上年相比，</w:t>
      </w:r>
      <w:r>
        <w:rPr>
          <w:rFonts w:ascii="仿宋_GB2312" w:hAnsi="仿宋_GB2312" w:eastAsia="仿宋_GB2312"/>
          <w:b w:val="0"/>
          <w:sz w:val="32"/>
        </w:rPr>
        <w:t>减少39.42万元，下降6.41%，主要原因是：本年减少儿童福利事业保障费。</w:t>
      </w:r>
      <w:r>
        <w:rPr>
          <w:rFonts w:ascii="仿宋_GB2312" w:hAnsi="仿宋_GB2312" w:eastAsia="仿宋_GB2312"/>
          <w:b/>
          <w:sz w:val="32"/>
        </w:rPr>
        <w:t>与年初预算相比,</w:t>
      </w:r>
      <w:r>
        <w:rPr>
          <w:rFonts w:ascii="仿宋_GB2312" w:hAnsi="仿宋_GB2312" w:eastAsia="仿宋_GB2312"/>
          <w:b w:val="0"/>
          <w:sz w:val="32"/>
        </w:rPr>
        <w:t>年初预算数577.45万元，决算数575.99万元，预决算差异率-0.25%，主要原因是：年中在职人员转退休，职级较高，新入职基数较低，年中调减人员经费，导致预决算差异。</w:t>
      </w:r>
    </w:p>
    <w:p w14:paraId="233530DB">
      <w:pPr>
        <w:spacing w:line="640" w:lineRule="exact"/>
        <w:ind w:firstLine="640"/>
        <w:jc w:val="both"/>
        <w:outlineLvl w:val="3"/>
      </w:pPr>
      <w:r>
        <w:rPr>
          <w:rFonts w:ascii="楷体_GB2312" w:hAnsi="楷体_GB2312" w:eastAsia="楷体_GB2312"/>
          <w:b/>
          <w:sz w:val="32"/>
        </w:rPr>
        <w:t>（二）一般公共预算财政拨款支出决算结构情况</w:t>
      </w:r>
    </w:p>
    <w:p w14:paraId="3268EB91">
      <w:pPr>
        <w:spacing w:line="580" w:lineRule="exact"/>
        <w:ind w:firstLine="640"/>
        <w:jc w:val="both"/>
      </w:pPr>
      <w:r>
        <w:rPr>
          <w:rFonts w:ascii="仿宋_GB2312" w:hAnsi="仿宋_GB2312" w:eastAsia="仿宋_GB2312"/>
          <w:b w:val="0"/>
          <w:sz w:val="32"/>
        </w:rPr>
        <w:t>1.教育支出(类)0.56万元,占0.10%。</w:t>
      </w:r>
    </w:p>
    <w:p w14:paraId="4CE319A1">
      <w:pPr>
        <w:spacing w:line="580" w:lineRule="exact"/>
        <w:ind w:firstLine="640"/>
        <w:jc w:val="both"/>
      </w:pPr>
      <w:r>
        <w:rPr>
          <w:rFonts w:ascii="仿宋_GB2312" w:hAnsi="仿宋_GB2312" w:eastAsia="仿宋_GB2312"/>
          <w:b w:val="0"/>
          <w:sz w:val="32"/>
        </w:rPr>
        <w:t>2.社会保障和就业支出(类)542.85万元,占94.25%。</w:t>
      </w:r>
    </w:p>
    <w:p w14:paraId="03E64CE9">
      <w:pPr>
        <w:spacing w:line="580" w:lineRule="exact"/>
        <w:ind w:firstLine="640"/>
        <w:jc w:val="both"/>
      </w:pPr>
      <w:r>
        <w:rPr>
          <w:rFonts w:ascii="仿宋_GB2312" w:hAnsi="仿宋_GB2312" w:eastAsia="仿宋_GB2312"/>
          <w:b w:val="0"/>
          <w:sz w:val="32"/>
        </w:rPr>
        <w:t>3.卫生健康支出(类)11.99万元,占2.08%。</w:t>
      </w:r>
    </w:p>
    <w:p w14:paraId="0D9D75EA">
      <w:pPr>
        <w:spacing w:line="580" w:lineRule="exact"/>
        <w:ind w:firstLine="640"/>
        <w:jc w:val="both"/>
      </w:pPr>
      <w:r>
        <w:rPr>
          <w:rFonts w:ascii="仿宋_GB2312" w:hAnsi="仿宋_GB2312" w:eastAsia="仿宋_GB2312"/>
          <w:b w:val="0"/>
          <w:sz w:val="32"/>
        </w:rPr>
        <w:t>4.住房保障支出(类)20.58万元,占3.57%。</w:t>
      </w:r>
    </w:p>
    <w:p w14:paraId="751D3A9B">
      <w:pPr>
        <w:spacing w:line="640" w:lineRule="exact"/>
        <w:ind w:firstLine="640"/>
        <w:jc w:val="both"/>
        <w:outlineLvl w:val="3"/>
      </w:pPr>
      <w:r>
        <w:rPr>
          <w:rFonts w:ascii="楷体_GB2312" w:hAnsi="楷体_GB2312" w:eastAsia="楷体_GB2312"/>
          <w:b/>
          <w:sz w:val="32"/>
        </w:rPr>
        <w:t>（三）一般公共预算财政拨款支出决算具体情况</w:t>
      </w:r>
    </w:p>
    <w:p w14:paraId="778C1A01">
      <w:pPr>
        <w:spacing w:line="580" w:lineRule="exact"/>
        <w:ind w:firstLine="640"/>
        <w:jc w:val="both"/>
      </w:pPr>
      <w:r>
        <w:rPr>
          <w:rFonts w:ascii="仿宋_GB2312" w:hAnsi="仿宋_GB2312" w:eastAsia="仿宋_GB2312"/>
          <w:b w:val="0"/>
          <w:sz w:val="32"/>
        </w:rPr>
        <w:t>1.教育支出(类)进修及培训(款)培训支出(项):支出决算数为0.56万元，比上年决算增加0.07万元，增长14.29%,主要原因是：本年增加护理培训业务活动经费，培训支出增加。</w:t>
      </w:r>
    </w:p>
    <w:p w14:paraId="7830C23E">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2.社会保障和就业支出(类)行政事业单位养老支出(款)事业单位离退休(项):支出决算数为0.64万元，比上年决算增加0.64万元，增长100.00%,主要原因是：本年退休人员增加，退休费支出增加。</w:t>
      </w:r>
    </w:p>
    <w:p w14:paraId="2AF5F0BA">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26.45万元，比上年决算增加0.02万元，增长0.08%,主要原因是：本年在职人员工资基数调增，养老缴费基数上涨，相应支出增加。</w:t>
      </w:r>
    </w:p>
    <w:p w14:paraId="22DBFB3E">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4.社会保障和就业支出(类)行政事业单位养老支出(款)机关事业单位职业年金缴费支出(项):支出决算数为15.59万元，比上年决算增加15.59万元，增长100.00%,主要原因是：本年新增退休人员，职业年金缴费支出增加。</w:t>
      </w:r>
    </w:p>
    <w:p w14:paraId="1AC9A135">
      <w:pPr>
        <w:spacing w:line="580" w:lineRule="exact"/>
        <w:ind w:firstLine="640"/>
        <w:jc w:val="both"/>
      </w:pPr>
      <w:r>
        <w:rPr>
          <w:rFonts w:ascii="仿宋_GB2312" w:hAnsi="仿宋_GB2312" w:eastAsia="仿宋_GB2312"/>
          <w:b w:val="0"/>
          <w:sz w:val="32"/>
        </w:rPr>
        <w:t>5.社会保障和就业支出(类)社会福利(款)儿童福利(项):支出决算数为478.77万元，比上年决算增加66.40万元，增长16.10%,主要原因是：本年功能科目调整，部分儿童福利事业保障项目资金由其他社会保障和就业支出科目调整至儿童福利科目列支，导致经费增加。</w:t>
      </w:r>
    </w:p>
    <w:p w14:paraId="4616BD22">
      <w:pPr>
        <w:spacing w:line="580" w:lineRule="exact"/>
        <w:ind w:firstLine="640"/>
        <w:jc w:val="both"/>
      </w:pPr>
      <w:r>
        <w:rPr>
          <w:rFonts w:ascii="仿宋_GB2312" w:hAnsi="仿宋_GB2312" w:eastAsia="仿宋_GB2312"/>
          <w:b w:val="0"/>
          <w:sz w:val="32"/>
        </w:rPr>
        <w:t>6.社会保障和就业支出(类)其他生活救助(款)其他城市生活救助(项):支出决算数为9.4万元，比上年决算增加9.40万元，增长100.00%,主要原因是：本年增加中央财政救助困难群众一次性困难救助补助资金。</w:t>
      </w:r>
    </w:p>
    <w:p w14:paraId="5F2B3D05">
      <w:pPr>
        <w:spacing w:line="580" w:lineRule="exact"/>
        <w:ind w:firstLine="640"/>
        <w:jc w:val="both"/>
      </w:pPr>
      <w:r>
        <w:rPr>
          <w:rFonts w:ascii="仿宋_GB2312" w:hAnsi="仿宋_GB2312" w:eastAsia="仿宋_GB2312"/>
          <w:b w:val="0"/>
          <w:sz w:val="32"/>
        </w:rPr>
        <w:t>7.社会保障和就业支出(类)其他社会保障和就业支出(款)其他社会保障和就业支出(项):支出决算数为12万元，比上年决算减少132.76万元，下降91.71%,主要原因是：本年功能科目调整，部分儿童福利事业保障项目资金由其他社会保障和就业支出科目调整至儿童福利科目列支，导致经费减少。</w:t>
      </w:r>
    </w:p>
    <w:p w14:paraId="0FBB013B">
      <w:pPr>
        <w:spacing w:line="580" w:lineRule="exact"/>
        <w:ind w:firstLine="640"/>
        <w:jc w:val="both"/>
      </w:pPr>
      <w:r>
        <w:rPr>
          <w:rFonts w:ascii="仿宋_GB2312" w:hAnsi="仿宋_GB2312" w:eastAsia="仿宋_GB2312"/>
          <w:b w:val="0"/>
          <w:sz w:val="32"/>
        </w:rPr>
        <w:t>8.卫生健康支出(类)行政事业单位医疗(款)事业单位医疗(项):支出决算数为11.57万元，比上年决算减少0.06万元，下降0.52%,主要原因是：因退休人员医疗保险制度改革，退休人员基本医疗不再由单位缴纳，导致经费较上年减少。</w:t>
      </w:r>
    </w:p>
    <w:p w14:paraId="02B7C099">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9.卫生健康支出(类)行政事业单位医疗(款)其他行政事业单位医疗支出(项):支出决算数为0.42万元，比上年决算增加0.08万元，增长23.53%,主要原因是：本年在职人员工资基数调增，医疗缴费基数上涨，相应支出增加。</w:t>
      </w:r>
    </w:p>
    <w:p w14:paraId="769D5F26">
      <w:pPr>
        <w:spacing w:line="580" w:lineRule="exact"/>
        <w:ind w:firstLine="640"/>
        <w:jc w:val="both"/>
      </w:pPr>
      <w:r>
        <w:rPr>
          <w:rFonts w:ascii="仿宋_GB2312" w:hAnsi="仿宋_GB2312" w:eastAsia="仿宋_GB2312"/>
          <w:b w:val="0"/>
          <w:sz w:val="32"/>
        </w:rPr>
        <w:t>10.住房保障支出(类)住房改革支出(款)住房公积金(项):支出决算数为20.58万元，比上年决算增加1.18万元，增长6.08%,主要原因是：本年在职人员工资基数调增，公积金缴费基数上涨，相应支出增加。</w:t>
      </w:r>
    </w:p>
    <w:p w14:paraId="5A6C683C">
      <w:pPr>
        <w:spacing w:line="640" w:lineRule="exact"/>
        <w:ind w:firstLine="640"/>
        <w:jc w:val="both"/>
        <w:outlineLvl w:val="2"/>
      </w:pPr>
      <w:r>
        <w:rPr>
          <w:rFonts w:ascii="黑体" w:hAnsi="黑体" w:eastAsia="黑体"/>
          <w:sz w:val="32"/>
        </w:rPr>
        <w:t>六、一般公共预算财政拨款基本支出决算情况说明</w:t>
      </w:r>
    </w:p>
    <w:p w14:paraId="573D4475">
      <w:pPr>
        <w:spacing w:line="580" w:lineRule="exact"/>
        <w:ind w:firstLine="640"/>
        <w:jc w:val="both"/>
      </w:pPr>
      <w:r>
        <w:rPr>
          <w:rFonts w:ascii="仿宋_GB2312" w:hAnsi="仿宋_GB2312" w:eastAsia="仿宋_GB2312"/>
          <w:b w:val="0"/>
          <w:sz w:val="32"/>
        </w:rPr>
        <w:t>2024年度一般公共预算财政拨款基本支出429.16万元，其中：</w:t>
      </w:r>
      <w:r>
        <w:rPr>
          <w:rFonts w:ascii="仿宋_GB2312" w:hAnsi="仿宋_GB2312" w:eastAsia="仿宋_GB2312"/>
          <w:b/>
          <w:sz w:val="32"/>
        </w:rPr>
        <w:t>人员经费265.57万元，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w:t>
      </w:r>
    </w:p>
    <w:p w14:paraId="17085DBA">
      <w:pPr>
        <w:spacing w:line="580" w:lineRule="exact"/>
        <w:ind w:firstLine="640"/>
        <w:jc w:val="both"/>
      </w:pPr>
      <w:r>
        <w:rPr>
          <w:rFonts w:ascii="仿宋_GB2312" w:hAnsi="仿宋_GB2312" w:eastAsia="仿宋_GB2312"/>
          <w:b/>
          <w:sz w:val="32"/>
        </w:rPr>
        <w:t>公用经费163.59万元，</w:t>
      </w:r>
      <w:r>
        <w:rPr>
          <w:rFonts w:ascii="仿宋_GB2312" w:hAnsi="仿宋_GB2312" w:eastAsia="仿宋_GB2312"/>
          <w:b w:val="0"/>
          <w:sz w:val="32"/>
        </w:rPr>
        <w:t>包括：办公费、手续费、水费、电费、邮电费、取暖费、物业管理费、差旅费、维修（护）费、培训费、劳务费、工会经费、福利费、公务用车运行维护费、办公设备购置。</w:t>
      </w:r>
    </w:p>
    <w:p w14:paraId="1973DEFD">
      <w:pPr>
        <w:spacing w:line="640" w:lineRule="exact"/>
        <w:ind w:firstLine="640"/>
        <w:jc w:val="both"/>
        <w:outlineLvl w:val="2"/>
      </w:pPr>
      <w:r>
        <w:rPr>
          <w:rFonts w:ascii="黑体" w:hAnsi="黑体" w:eastAsia="黑体"/>
          <w:sz w:val="32"/>
        </w:rPr>
        <w:t>七、政府性基金预算财政拨款收入支出决算情况说明</w:t>
      </w:r>
    </w:p>
    <w:p w14:paraId="2610989E">
      <w:pPr>
        <w:spacing w:line="580" w:lineRule="exact"/>
        <w:ind w:firstLine="640"/>
        <w:jc w:val="both"/>
      </w:pPr>
      <w:r>
        <w:rPr>
          <w:rFonts w:ascii="仿宋_GB2312" w:hAnsi="仿宋_GB2312" w:eastAsia="仿宋_GB2312"/>
          <w:b/>
          <w:sz w:val="32"/>
        </w:rPr>
        <w:t>2024年度政府性基金预算财政拨款收入总计59.75万元，</w:t>
      </w:r>
      <w:r>
        <w:rPr>
          <w:rFonts w:ascii="仿宋_GB2312" w:hAnsi="仿宋_GB2312" w:eastAsia="仿宋_GB2312"/>
          <w:b w:val="0"/>
          <w:sz w:val="32"/>
        </w:rPr>
        <w:t>其中：年初结转和结余0.00万元，本年收入59.75万元。</w:t>
      </w:r>
      <w:r>
        <w:rPr>
          <w:rFonts w:ascii="仿宋_GB2312" w:hAnsi="仿宋_GB2312" w:eastAsia="仿宋_GB2312"/>
          <w:b/>
          <w:sz w:val="32"/>
        </w:rPr>
        <w:t>政府性基金预算财政拨款支出总计59.75万元，</w:t>
      </w:r>
      <w:r>
        <w:rPr>
          <w:rFonts w:ascii="仿宋_GB2312" w:hAnsi="仿宋_GB2312" w:eastAsia="仿宋_GB2312"/>
          <w:b w:val="0"/>
          <w:sz w:val="32"/>
        </w:rPr>
        <w:t>其中：年末结转和结余0.00万元，本年支出59.75万元。</w:t>
      </w:r>
    </w:p>
    <w:p w14:paraId="0A3E96EC">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减少246.19万元，下降80.47%，主要原因是：本年减少自治区财政安排巴州儿童福利院综合楼（二层）提升改造、康复楼多功能会议厅屋顶改造项目，导致经费较上年减少。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年初预算数11.00万元，决算数59.75万元，预决算差异率443.18%，主要原因是：年中追加州儿童福利院未成年人（困境儿童）项目补助经费 ，导致预决算存在差异。</w:t>
      </w:r>
    </w:p>
    <w:p w14:paraId="1C73CAA5">
      <w:pPr>
        <w:spacing w:line="580" w:lineRule="exact"/>
        <w:ind w:firstLine="640"/>
        <w:jc w:val="both"/>
      </w:pPr>
      <w:r>
        <w:rPr>
          <w:rFonts w:ascii="仿宋_GB2312" w:hAnsi="仿宋_GB2312" w:eastAsia="仿宋_GB2312"/>
          <w:b w:val="0"/>
          <w:sz w:val="32"/>
        </w:rPr>
        <w:t>政府性基金预算财政拨款支出59.75万元。</w:t>
      </w:r>
    </w:p>
    <w:p w14:paraId="6A72AF9D">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59.75万元，比上年决算减少246.19万元，下降80.47%,主要原因是：本年减少自治区财政安排巴州儿童福利院综合楼（二层）提升改造、康复楼多功能会议厅屋顶改造项目，导致经费较上年减少。</w:t>
      </w:r>
    </w:p>
    <w:p w14:paraId="2063EAEB">
      <w:pPr>
        <w:spacing w:line="640" w:lineRule="exact"/>
        <w:ind w:firstLine="640"/>
        <w:jc w:val="both"/>
        <w:outlineLvl w:val="2"/>
      </w:pPr>
      <w:r>
        <w:rPr>
          <w:rFonts w:ascii="黑体" w:hAnsi="黑体" w:eastAsia="黑体"/>
          <w:sz w:val="32"/>
        </w:rPr>
        <w:t>八、国有资本经营预算财政拨款收入支出决算情况说明</w:t>
      </w:r>
    </w:p>
    <w:p w14:paraId="3364FD7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F6F84A2">
      <w:pPr>
        <w:spacing w:line="640" w:lineRule="exact"/>
        <w:ind w:firstLine="640"/>
        <w:jc w:val="both"/>
        <w:outlineLvl w:val="2"/>
      </w:pPr>
      <w:r>
        <w:rPr>
          <w:rFonts w:ascii="黑体" w:hAnsi="黑体" w:eastAsia="黑体"/>
          <w:sz w:val="32"/>
        </w:rPr>
        <w:t>九、财政拨款“三公”经费支出决算情况说明</w:t>
      </w:r>
    </w:p>
    <w:p w14:paraId="1D80352C">
      <w:pPr>
        <w:spacing w:line="580" w:lineRule="exact"/>
        <w:ind w:firstLine="640"/>
        <w:jc w:val="both"/>
      </w:pPr>
      <w:r>
        <w:rPr>
          <w:rFonts w:ascii="仿宋_GB2312" w:hAnsi="仿宋_GB2312" w:eastAsia="仿宋_GB2312"/>
          <w:b/>
          <w:sz w:val="32"/>
        </w:rPr>
        <w:t>2024年度财政拨款“三公”经费支出3.71万元，</w:t>
      </w:r>
      <w:r>
        <w:rPr>
          <w:rFonts w:ascii="仿宋_GB2312" w:hAnsi="仿宋_GB2312" w:eastAsia="仿宋_GB2312"/>
          <w:b w:val="0"/>
          <w:sz w:val="32"/>
        </w:rPr>
        <w:t>比上年减少1.45万元，下降28.10%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3.71万元，占100.00%，比上年减少1.45万元，下降28.10%，主要原因是：严格落实中央八项规定精神，厉行节约，减少公务用车运行维护费。公务接待费支出0.00万元，占0.00%，比上年增加0.00万元，增长0.00%，主要原因是：2023年与2024年均未安排公务接待费支出。</w:t>
      </w:r>
    </w:p>
    <w:p w14:paraId="4FB144EE">
      <w:pPr>
        <w:spacing w:line="580" w:lineRule="exact"/>
        <w:ind w:firstLine="640"/>
        <w:jc w:val="both"/>
      </w:pPr>
      <w:r>
        <w:rPr>
          <w:rFonts w:ascii="仿宋_GB2312" w:hAnsi="仿宋_GB2312" w:eastAsia="仿宋_GB2312"/>
          <w:b/>
          <w:sz w:val="32"/>
        </w:rPr>
        <w:t>具体情况如下：</w:t>
      </w:r>
    </w:p>
    <w:p w14:paraId="22E8225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55E789C">
      <w:pPr>
        <w:spacing w:line="580" w:lineRule="exact"/>
        <w:ind w:firstLine="640"/>
        <w:jc w:val="both"/>
      </w:pPr>
      <w:r>
        <w:rPr>
          <w:rFonts w:ascii="仿宋_GB2312" w:hAnsi="仿宋_GB2312" w:eastAsia="仿宋_GB2312"/>
          <w:b w:val="0"/>
          <w:sz w:val="32"/>
        </w:rPr>
        <w:t>公务用车购置及运行维护费3.71万元，其中：公务用车购置费0.00万元，公务用车运行维护费3.71万元。公务用车运行维护费开支内容包括车辆加油费、维修费、保险费、审车费、过路费。公务用车购置数0辆，公务用车保有量2辆。国有资产占用情况中固定资产车辆2辆，与公务用车保有量差异原因是：本单位固定资产车辆与公务用车保有量一致无差异。</w:t>
      </w:r>
    </w:p>
    <w:p w14:paraId="23E2097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88CFA8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3.71万元，决算数3.71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3.71万元，决算数3.71万元，预决算差异率0.00%，主要原因是：严格按照预算执行，预决算无差异。公务接待费全年预算数0.00万元，决算数0.00万元，预决算差异率0.00%，主要原因是：本单位无公务接待费。</w:t>
      </w:r>
    </w:p>
    <w:p w14:paraId="35C4A022">
      <w:pPr>
        <w:spacing w:line="640" w:lineRule="exact"/>
        <w:ind w:firstLine="640"/>
        <w:jc w:val="both"/>
        <w:outlineLvl w:val="2"/>
      </w:pPr>
      <w:r>
        <w:rPr>
          <w:rFonts w:ascii="黑体" w:hAnsi="黑体" w:eastAsia="黑体"/>
          <w:sz w:val="32"/>
        </w:rPr>
        <w:t>十、其他重要事项的情况说明</w:t>
      </w:r>
    </w:p>
    <w:p w14:paraId="2568FCCC">
      <w:pPr>
        <w:spacing w:line="640" w:lineRule="exact"/>
        <w:ind w:firstLine="640"/>
        <w:jc w:val="both"/>
        <w:outlineLvl w:val="3"/>
      </w:pPr>
      <w:r>
        <w:rPr>
          <w:rFonts w:ascii="楷体_GB2312" w:hAnsi="楷体_GB2312" w:eastAsia="楷体_GB2312"/>
          <w:b/>
          <w:sz w:val="32"/>
        </w:rPr>
        <w:t>（一）机关运行经费及公用经费支出情况</w:t>
      </w:r>
    </w:p>
    <w:p w14:paraId="5E7CEB3E">
      <w:pPr>
        <w:spacing w:line="580" w:lineRule="exact"/>
        <w:ind w:firstLine="640"/>
        <w:jc w:val="both"/>
      </w:pPr>
      <w:r>
        <w:rPr>
          <w:rFonts w:ascii="仿宋_GB2312" w:hAnsi="仿宋_GB2312" w:eastAsia="仿宋_GB2312"/>
          <w:b w:val="0"/>
          <w:sz w:val="32"/>
        </w:rPr>
        <w:t>2024年度新疆巴音郭楞蒙古自治州儿童福利院（事业单位）公用经费支出163.59万元，比上年增加97.29万元，增长146.74%，主要原因是：本年增加劳务费、物业管理费，公用经费支出增加。</w:t>
      </w:r>
    </w:p>
    <w:p w14:paraId="164A0330">
      <w:pPr>
        <w:spacing w:line="640" w:lineRule="exact"/>
        <w:ind w:firstLine="640"/>
        <w:jc w:val="both"/>
        <w:outlineLvl w:val="3"/>
      </w:pPr>
      <w:r>
        <w:rPr>
          <w:rFonts w:ascii="楷体_GB2312" w:hAnsi="楷体_GB2312" w:eastAsia="楷体_GB2312"/>
          <w:b/>
          <w:sz w:val="32"/>
        </w:rPr>
        <w:t>（二）政府采购情况</w:t>
      </w:r>
    </w:p>
    <w:p w14:paraId="26C83DB5">
      <w:pPr>
        <w:spacing w:line="580" w:lineRule="exact"/>
        <w:ind w:firstLine="640"/>
        <w:jc w:val="both"/>
      </w:pPr>
      <w:r>
        <w:rPr>
          <w:rFonts w:ascii="仿宋_GB2312" w:hAnsi="仿宋_GB2312" w:eastAsia="仿宋_GB2312"/>
          <w:b w:val="0"/>
          <w:sz w:val="32"/>
        </w:rPr>
        <w:t>2024年度政府采购支出总额155.15万元，其中：政府采购货物支出135.70万元、政府采购工程支出0.00万元、政府采购服务支出19.45万元。</w:t>
      </w:r>
    </w:p>
    <w:p w14:paraId="729BD61F">
      <w:pPr>
        <w:spacing w:line="580" w:lineRule="exact"/>
        <w:ind w:firstLine="640"/>
        <w:jc w:val="both"/>
      </w:pPr>
      <w:r>
        <w:rPr>
          <w:rFonts w:ascii="仿宋_GB2312" w:hAnsi="仿宋_GB2312" w:eastAsia="仿宋_GB2312"/>
          <w:b w:val="0"/>
          <w:sz w:val="32"/>
        </w:rPr>
        <w:t>授予中小企业合同金额59.78万元，占政府采购支出总额的38.53%，其中：授予小微企业合同金额59.48万元，占政府采购支出总额的38.34%。</w:t>
      </w:r>
    </w:p>
    <w:p w14:paraId="6B285CF3">
      <w:pPr>
        <w:spacing w:line="640" w:lineRule="exact"/>
        <w:ind w:firstLine="640"/>
        <w:jc w:val="both"/>
        <w:outlineLvl w:val="3"/>
      </w:pPr>
      <w:r>
        <w:rPr>
          <w:rFonts w:ascii="楷体_GB2312" w:hAnsi="楷体_GB2312" w:eastAsia="楷体_GB2312"/>
          <w:b/>
          <w:sz w:val="32"/>
        </w:rPr>
        <w:t>（三）国有资产占用情况说明</w:t>
      </w:r>
    </w:p>
    <w:p w14:paraId="2A3EE881">
      <w:pPr>
        <w:spacing w:line="580" w:lineRule="exact"/>
        <w:ind w:firstLine="640"/>
        <w:jc w:val="both"/>
      </w:pPr>
      <w:r>
        <w:rPr>
          <w:rFonts w:ascii="仿宋_GB2312" w:hAnsi="仿宋_GB2312" w:eastAsia="仿宋_GB2312"/>
          <w:b w:val="0"/>
          <w:sz w:val="32"/>
        </w:rPr>
        <w:t>截至2024年12月31日，房屋12,914.84平方米，价值2,765.91万元。车辆2辆，价值47.41万元，其中：副部（省）级及以上领导用车0辆、主要负责人用车0辆、机要通信用车0辆、应急保障用车0辆、执法执勤用车0辆、特种专业技术用车0辆、离退休干部服务用车0辆、其他用车2辆，其他用车主要是：用于满足接送孤儿上下学及单位工作人员外出办公需求的公务用车。单价100万元（含）以上设备（不含车辆）0台（套）。</w:t>
      </w:r>
    </w:p>
    <w:p w14:paraId="4D8EC6D8">
      <w:pPr>
        <w:spacing w:line="640" w:lineRule="exact"/>
        <w:ind w:firstLine="640"/>
        <w:jc w:val="both"/>
        <w:outlineLvl w:val="2"/>
      </w:pPr>
      <w:r>
        <w:rPr>
          <w:rFonts w:ascii="黑体" w:hAnsi="黑体" w:eastAsia="黑体"/>
          <w:sz w:val="32"/>
        </w:rPr>
        <w:t>十一、预算绩效的情况说明</w:t>
      </w:r>
    </w:p>
    <w:p w14:paraId="34391BAB">
      <w:pPr>
        <w:spacing w:line="580" w:lineRule="exact"/>
        <w:ind w:firstLine="640"/>
        <w:jc w:val="both"/>
      </w:pPr>
      <w:r>
        <w:rPr>
          <w:rFonts w:ascii="仿宋_GB2312" w:hAnsi="仿宋_GB2312" w:eastAsia="仿宋_GB2312"/>
          <w:b w:val="0"/>
          <w:sz w:val="32"/>
        </w:rPr>
        <w:t>根据预算绩效管理要求，本单位预算绩效评价项目4个，全年预算数207.83万元，全年执行数206.58万元。预算绩效管理取得的成效：一是通过预算绩效管理有效提升了单位各项资金使用效益；二是绩效管理不断得到领导的重视，进一步加强了财务制度建设，提高了预算绩效管理的质量和水平。发现的问题及原因：一是绩效项目实际负责人对绩效管理的重视度不够，导致部分项目资金执行进度不符合项目绩效监控要求；二是项目绩效管理的相关制度有待进一步的完善，如项目申报分工流程，项目资金支出管理等制度。下一步改进措施：一是加强对项目负责人绩效管理方面知识的培训力度，提高他们对绩效管理的认识，保证单位绩效管理工作的高效执行；二是通过绩效自评，发现绩效管理中存在的问题，将问题制度化，不断完善单位内部控制制度，促进绩效管理工作向广度和深度延伸。具体附项目支出绩效自评表和评价报告。</w:t>
      </w:r>
    </w:p>
    <w:p w14:paraId="1C2E6F5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04E727CB">
        <w:tblPrEx>
          <w:tblCellMar>
            <w:top w:w="0" w:type="dxa"/>
            <w:left w:w="108" w:type="dxa"/>
            <w:bottom w:w="0" w:type="dxa"/>
            <w:right w:w="108" w:type="dxa"/>
          </w:tblCellMar>
        </w:tblPrEx>
        <w:tc>
          <w:tcPr>
            <w:tcW w:w="8848" w:type="dxa"/>
            <w:gridSpan w:val="14"/>
            <w:vAlign w:val="center"/>
          </w:tcPr>
          <w:p w14:paraId="655AEB42">
            <w:pPr>
              <w:jc w:val="center"/>
            </w:pPr>
            <w:r>
              <w:rPr>
                <w:rFonts w:ascii="宋体" w:hAnsi="宋体" w:eastAsia="宋体"/>
                <w:sz w:val="24"/>
              </w:rPr>
              <w:t>项目支出绩效自评表</w:t>
            </w:r>
          </w:p>
        </w:tc>
      </w:tr>
      <w:tr w14:paraId="0DA282C0">
        <w:tblPrEx>
          <w:tblCellMar>
            <w:top w:w="0" w:type="dxa"/>
            <w:left w:w="108" w:type="dxa"/>
            <w:bottom w:w="0" w:type="dxa"/>
            <w:right w:w="108" w:type="dxa"/>
          </w:tblCellMar>
        </w:tblPrEx>
        <w:tc>
          <w:tcPr>
            <w:tcW w:w="8848" w:type="dxa"/>
            <w:gridSpan w:val="14"/>
            <w:vAlign w:val="center"/>
          </w:tcPr>
          <w:p w14:paraId="720F4496">
            <w:pPr>
              <w:jc w:val="center"/>
            </w:pPr>
            <w:r>
              <w:rPr>
                <w:rFonts w:ascii="宋体" w:hAnsi="宋体" w:eastAsia="宋体"/>
                <w:sz w:val="24"/>
              </w:rPr>
              <w:t>(2024年度)</w:t>
            </w:r>
          </w:p>
        </w:tc>
      </w:tr>
      <w:tr w14:paraId="5A42FC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0BD7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74FD4C">
            <w:pPr>
              <w:jc w:val="center"/>
            </w:pPr>
            <w:r>
              <w:rPr>
                <w:rFonts w:ascii="宋体" w:hAnsi="宋体" w:eastAsia="宋体"/>
                <w:sz w:val="16"/>
              </w:rPr>
              <w:t>2024年《儿童福利事业保障》项目</w:t>
            </w:r>
          </w:p>
        </w:tc>
      </w:tr>
      <w:tr w14:paraId="205D43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194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A70BB3">
            <w:pPr>
              <w:jc w:val="center"/>
            </w:pPr>
            <w:r>
              <w:rPr>
                <w:rFonts w:ascii="宋体" w:hAnsi="宋体" w:eastAsia="宋体"/>
                <w:sz w:val="16"/>
              </w:rPr>
              <w:t>新疆巴音郭楞蒙古自治州儿童福利院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10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296AE3">
            <w:pPr>
              <w:jc w:val="center"/>
            </w:pPr>
            <w:r>
              <w:rPr>
                <w:rFonts w:ascii="宋体" w:hAnsi="宋体" w:eastAsia="宋体"/>
                <w:sz w:val="16"/>
              </w:rPr>
              <w:t>新疆巴音郭楞蒙古自治州儿童福利院</w:t>
            </w:r>
          </w:p>
        </w:tc>
      </w:tr>
      <w:tr w14:paraId="439246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E407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33E0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DDD9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AD75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9AD4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2FDE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269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D360">
            <w:pPr>
              <w:jc w:val="center"/>
            </w:pPr>
            <w:r>
              <w:rPr>
                <w:rFonts w:ascii="宋体" w:hAnsi="宋体" w:eastAsia="宋体"/>
                <w:sz w:val="16"/>
              </w:rPr>
              <w:t>得分</w:t>
            </w:r>
          </w:p>
        </w:tc>
      </w:tr>
      <w:tr w14:paraId="62D4F0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2426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86B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1909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928C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E0E7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B5F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5839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590A5">
            <w:pPr>
              <w:jc w:val="center"/>
            </w:pPr>
            <w:r>
              <w:rPr>
                <w:rFonts w:ascii="宋体" w:hAnsi="宋体" w:eastAsia="宋体"/>
                <w:sz w:val="16"/>
              </w:rPr>
              <w:t>10.00</w:t>
            </w:r>
          </w:p>
        </w:tc>
      </w:tr>
      <w:tr w14:paraId="61BE08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175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19CF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6936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A179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51AD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33A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A75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10C15">
            <w:pPr>
              <w:jc w:val="center"/>
            </w:pPr>
            <w:r>
              <w:rPr>
                <w:rFonts w:ascii="宋体" w:hAnsi="宋体" w:eastAsia="宋体"/>
                <w:sz w:val="16"/>
              </w:rPr>
              <w:t>-</w:t>
            </w:r>
          </w:p>
        </w:tc>
      </w:tr>
      <w:tr w14:paraId="21F8AB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9A3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177E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C9B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CDA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BB6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E70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CBC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DB036">
            <w:pPr>
              <w:jc w:val="center"/>
            </w:pPr>
            <w:r>
              <w:rPr>
                <w:rFonts w:ascii="宋体" w:hAnsi="宋体" w:eastAsia="宋体"/>
                <w:sz w:val="16"/>
              </w:rPr>
              <w:t>-</w:t>
            </w:r>
          </w:p>
        </w:tc>
      </w:tr>
      <w:tr w14:paraId="422030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3E27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F234B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FA1870">
            <w:pPr>
              <w:jc w:val="center"/>
            </w:pPr>
            <w:r>
              <w:rPr>
                <w:rFonts w:ascii="宋体" w:hAnsi="宋体" w:eastAsia="宋体"/>
                <w:sz w:val="16"/>
              </w:rPr>
              <w:t>总体目标完成情况</w:t>
            </w:r>
          </w:p>
        </w:tc>
      </w:tr>
      <w:tr w14:paraId="7991D3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2EB5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06E6F3">
            <w:pPr>
              <w:jc w:val="both"/>
            </w:pPr>
            <w:r>
              <w:rPr>
                <w:rFonts w:hint="eastAsia" w:ascii="宋体" w:hAnsi="宋体"/>
                <w:sz w:val="16"/>
                <w:lang w:eastAsia="zh-CN"/>
              </w:rPr>
              <w:t>1.</w:t>
            </w:r>
            <w:r>
              <w:rPr>
                <w:rFonts w:ascii="宋体" w:hAnsi="宋体" w:eastAsia="宋体"/>
                <w:sz w:val="16"/>
              </w:rPr>
              <w:t>3.5万元补充保障办公室日常办公用品、办公设备、办公耗材购买和办公印刷等方面的支出，孤残儿童档案管理以及学习消耗品</w:t>
            </w:r>
            <w:r>
              <w:rPr>
                <w:rFonts w:hint="eastAsia" w:ascii="宋体" w:hAnsi="宋体"/>
                <w:sz w:val="16"/>
                <w:lang w:eastAsia="zh-CN"/>
              </w:rPr>
              <w:t>等</w:t>
            </w:r>
            <w:r>
              <w:rPr>
                <w:rFonts w:ascii="宋体" w:hAnsi="宋体" w:eastAsia="宋体"/>
                <w:sz w:val="16"/>
              </w:rPr>
              <w:t>通过该项目资金办公费支出；2、8.5万元用于儿童院院内安保、消防、电梯、环境绿化、资产零星维修等方面的支出，为孤残儿童提供安全、优美、健康的生活环境，全方位保障院内孤残儿童的生命安全。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91CB46">
            <w:pPr>
              <w:jc w:val="both"/>
            </w:pPr>
            <w:r>
              <w:rPr>
                <w:rFonts w:ascii="宋体" w:hAnsi="宋体" w:eastAsia="宋体"/>
                <w:sz w:val="16"/>
              </w:rPr>
              <w:t>本年度该项目资金8.5万元都通过政府采购云平台用于消防、电梯维修维护和其他环境维护等支出，维修次数达到22次，其中40%的资金用于消防安全的支出，25%的资金用于院内5部电梯的维修维护支出，维修维护后的设备都能安全使用，维修的及时性切实为孤残儿童的日常活动提供了安全保障；办公费支出3.5万元，采购批次为8批次，都通过政府采购的方式进行购买，因办公其他方面的需求，支付了办公印刷费、广告费等方面的支出，减少了办公用品的购买费用，办公方面的费用支出有效</w:t>
            </w:r>
            <w:r>
              <w:rPr>
                <w:rFonts w:hint="eastAsia" w:ascii="宋体" w:hAnsi="宋体"/>
                <w:sz w:val="16"/>
                <w:lang w:eastAsia="zh-CN"/>
              </w:rPr>
              <w:t>地</w:t>
            </w:r>
            <w:r>
              <w:rPr>
                <w:rFonts w:ascii="宋体" w:hAnsi="宋体" w:eastAsia="宋体"/>
                <w:sz w:val="16"/>
              </w:rPr>
              <w:t>保证了日常运转工作的高效运行，为儿童服务工作提供了有力的保障。</w:t>
            </w:r>
          </w:p>
        </w:tc>
      </w:tr>
      <w:tr w14:paraId="7717A2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CB22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115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C9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D56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FC7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D35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B5A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3FE9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9DD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28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BBE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6173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795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BC498">
            <w:pPr>
              <w:jc w:val="center"/>
            </w:pPr>
            <w:r>
              <w:rPr>
                <w:rFonts w:ascii="宋体" w:hAnsi="宋体" w:eastAsia="宋体"/>
                <w:sz w:val="16"/>
              </w:rPr>
              <w:t>偏差原因分析及改进措施</w:t>
            </w:r>
          </w:p>
        </w:tc>
      </w:tr>
      <w:tr w14:paraId="6FD6AF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EFF5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161F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382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6796">
            <w:pPr>
              <w:jc w:val="center"/>
            </w:pPr>
            <w:r>
              <w:rPr>
                <w:rFonts w:ascii="宋体" w:hAnsi="宋体" w:eastAsia="宋体"/>
                <w:sz w:val="16"/>
              </w:rPr>
              <w:t>资产零星维修维护次数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53EC">
            <w:pPr>
              <w:jc w:val="center"/>
            </w:pPr>
            <w:r>
              <w:rPr>
                <w:rFonts w:ascii="宋体" w:hAnsi="宋体" w:eastAsia="宋体"/>
                <w:sz w:val="16"/>
              </w:rPr>
              <w:t>&gt;=14次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9F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A1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489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13E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94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5AC0">
            <w:pPr>
              <w:jc w:val="center"/>
            </w:pPr>
            <w:r>
              <w:rPr>
                <w:rFonts w:ascii="宋体" w:hAnsi="宋体" w:eastAsia="宋体"/>
                <w:sz w:val="16"/>
              </w:rPr>
              <w:t>=22次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4D1B1">
            <w:pPr>
              <w:jc w:val="center"/>
            </w:pPr>
            <w:r>
              <w:rPr>
                <w:rFonts w:ascii="宋体" w:hAnsi="宋体" w:eastAsia="宋体"/>
                <w:sz w:val="16"/>
              </w:rPr>
              <w:t>157.14%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11346">
            <w:pPr>
              <w:jc w:val="center"/>
            </w:pPr>
            <w:r>
              <w:rPr>
                <w:rFonts w:ascii="宋体" w:hAnsi="宋体" w:eastAsia="宋体"/>
                <w:sz w:val="16"/>
              </w:rPr>
              <w:t>2.57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E674">
            <w:pPr>
              <w:jc w:val="center"/>
            </w:pPr>
            <w:r>
              <w:rPr>
                <w:rFonts w:ascii="宋体" w:hAnsi="宋体" w:eastAsia="宋体"/>
                <w:sz w:val="16"/>
              </w:rPr>
              <w:t>因相关单位对</w:t>
            </w:r>
            <w:r>
              <w:rPr>
                <w:rFonts w:hint="eastAsia" w:ascii="宋体" w:hAnsi="宋体"/>
                <w:sz w:val="16"/>
                <w:lang w:eastAsia="zh-CN"/>
              </w:rPr>
              <w:t>本单位</w:t>
            </w:r>
            <w:r>
              <w:rPr>
                <w:rFonts w:ascii="宋体" w:hAnsi="宋体" w:eastAsia="宋体"/>
                <w:sz w:val="16"/>
              </w:rPr>
              <w:t>安全生产工作的要求较高，导致了维修次数增加。</w:t>
            </w:r>
          </w:p>
        </w:tc>
      </w:tr>
      <w:tr w14:paraId="7C3206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B17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8A0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B59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0312">
            <w:pPr>
              <w:jc w:val="center"/>
            </w:pPr>
            <w:r>
              <w:rPr>
                <w:rFonts w:ascii="宋体" w:hAnsi="宋体" w:eastAsia="宋体"/>
                <w:sz w:val="16"/>
              </w:rPr>
              <w:t>采购日常办公用品批次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6B9C6">
            <w:pPr>
              <w:jc w:val="center"/>
            </w:pPr>
            <w:r>
              <w:rPr>
                <w:rFonts w:ascii="宋体" w:hAnsi="宋体" w:eastAsia="宋体"/>
                <w:sz w:val="16"/>
              </w:rPr>
              <w:t>&gt;=7批次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63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7D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5427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D8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960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D0E1">
            <w:pPr>
              <w:jc w:val="center"/>
            </w:pPr>
            <w:r>
              <w:rPr>
                <w:rFonts w:ascii="宋体" w:hAnsi="宋体" w:eastAsia="宋体"/>
                <w:sz w:val="16"/>
              </w:rPr>
              <w:t>=8批次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00671">
            <w:pPr>
              <w:jc w:val="center"/>
            </w:pPr>
            <w:r>
              <w:rPr>
                <w:rFonts w:ascii="宋体" w:hAnsi="宋体" w:eastAsia="宋体"/>
                <w:sz w:val="16"/>
              </w:rPr>
              <w:t>114.28%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A555">
            <w:pPr>
              <w:jc w:val="center"/>
            </w:pPr>
            <w:r>
              <w:rPr>
                <w:rFonts w:ascii="宋体" w:hAnsi="宋体" w:eastAsia="宋体"/>
                <w:sz w:val="16"/>
              </w:rPr>
              <w:t>5.14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63F97">
            <w:pPr>
              <w:jc w:val="center"/>
            </w:pPr>
            <w:r>
              <w:rPr>
                <w:rFonts w:ascii="宋体" w:hAnsi="宋体" w:eastAsia="宋体"/>
                <w:sz w:val="16"/>
              </w:rPr>
              <w:t>办公采购按照单位需求购买。</w:t>
            </w:r>
          </w:p>
        </w:tc>
      </w:tr>
      <w:tr w14:paraId="7FDD22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1D8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9B7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386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CE21">
            <w:pPr>
              <w:jc w:val="center"/>
            </w:pPr>
            <w:r>
              <w:rPr>
                <w:rFonts w:ascii="宋体" w:hAnsi="宋体" w:eastAsia="宋体"/>
                <w:sz w:val="16"/>
              </w:rPr>
              <w:t>日常办公用品政府采购率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40D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2A2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49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27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3F4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D8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9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E66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DC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1AA4">
            <w:pPr>
              <w:jc w:val="center"/>
            </w:pPr>
            <w:r>
              <w:rPr>
                <w:rFonts w:ascii="宋体" w:hAnsi="宋体" w:eastAsia="宋体"/>
                <w:sz w:val="16"/>
              </w:rPr>
              <w:t>单位的办公费的支出都通过政府采购进行，因采购批次超出了指标设定值导致偏差率增加。</w:t>
            </w:r>
          </w:p>
        </w:tc>
      </w:tr>
      <w:tr w14:paraId="43ACB7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EA6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7FB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11B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D401">
            <w:pPr>
              <w:jc w:val="center"/>
            </w:pPr>
            <w:r>
              <w:rPr>
                <w:rFonts w:ascii="宋体" w:hAnsi="宋体" w:eastAsia="宋体"/>
                <w:sz w:val="16"/>
              </w:rPr>
              <w:t>日常办公用品验收合格率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A652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882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CC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3EF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ED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17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4B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B9E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1E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8EC2">
            <w:pPr>
              <w:jc w:val="center"/>
            </w:pPr>
            <w:r>
              <w:rPr>
                <w:rFonts w:ascii="宋体" w:hAnsi="宋体" w:eastAsia="宋体"/>
                <w:sz w:val="16"/>
              </w:rPr>
              <w:t>单位采购的办公用品和服务都合格，因采购批次超出了指标设定值导致偏差率增加。</w:t>
            </w:r>
          </w:p>
        </w:tc>
      </w:tr>
      <w:tr w14:paraId="5C286A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AE1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C1F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BD1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73CD1">
            <w:pPr>
              <w:jc w:val="center"/>
            </w:pPr>
            <w:r>
              <w:rPr>
                <w:rFonts w:ascii="宋体" w:hAnsi="宋体" w:eastAsia="宋体"/>
                <w:sz w:val="16"/>
              </w:rPr>
              <w:t>资产零星维修维护验收合格率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2B44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1C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3A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C659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CB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6F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E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A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41C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E6BD">
            <w:pPr>
              <w:jc w:val="center"/>
            </w:pPr>
            <w:r>
              <w:rPr>
                <w:rFonts w:ascii="宋体" w:hAnsi="宋体" w:eastAsia="宋体"/>
                <w:sz w:val="16"/>
              </w:rPr>
              <w:t>资产维修验收合格率都达标，因维修批次超过指标设定值导致偏差率增大</w:t>
            </w:r>
          </w:p>
        </w:tc>
      </w:tr>
      <w:tr w14:paraId="7AC196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ACF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3B5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37FD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1B5B8">
            <w:pPr>
              <w:jc w:val="center"/>
            </w:pPr>
            <w:r>
              <w:rPr>
                <w:rFonts w:ascii="宋体" w:hAnsi="宋体" w:eastAsia="宋体"/>
                <w:sz w:val="16"/>
              </w:rPr>
              <w:t>维修维护按时完成率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D28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59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6FE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3E2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BDC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FB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057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774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591C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74A27">
            <w:pPr>
              <w:jc w:val="center"/>
            </w:pPr>
            <w:r>
              <w:rPr>
                <w:rFonts w:ascii="宋体" w:hAnsi="宋体" w:eastAsia="宋体"/>
                <w:sz w:val="16"/>
              </w:rPr>
              <w:t>维修维</w:t>
            </w:r>
            <w:r>
              <w:rPr>
                <w:rFonts w:hint="eastAsia" w:ascii="宋体" w:hAnsi="宋体"/>
                <w:sz w:val="16"/>
                <w:lang w:eastAsia="zh-CN"/>
              </w:rPr>
              <w:t>护工</w:t>
            </w:r>
            <w:r>
              <w:rPr>
                <w:rFonts w:ascii="宋体" w:hAnsi="宋体" w:eastAsia="宋体"/>
                <w:sz w:val="16"/>
              </w:rPr>
              <w:t>作</w:t>
            </w:r>
            <w:r>
              <w:rPr>
                <w:rFonts w:hint="eastAsia" w:ascii="宋体" w:hAnsi="宋体"/>
                <w:sz w:val="16"/>
                <w:lang w:eastAsia="zh-CN"/>
              </w:rPr>
              <w:t>基本</w:t>
            </w:r>
            <w:r>
              <w:rPr>
                <w:rFonts w:ascii="宋体" w:hAnsi="宋体" w:eastAsia="宋体"/>
                <w:sz w:val="16"/>
              </w:rPr>
              <w:t>能按时完成，因采购批次</w:t>
            </w:r>
            <w:r>
              <w:rPr>
                <w:rFonts w:hint="eastAsia" w:ascii="宋体" w:hAnsi="宋体"/>
                <w:sz w:val="16"/>
                <w:lang w:eastAsia="zh-CN"/>
              </w:rPr>
              <w:t>超出</w:t>
            </w:r>
            <w:r>
              <w:rPr>
                <w:rFonts w:ascii="宋体" w:hAnsi="宋体" w:eastAsia="宋体"/>
                <w:sz w:val="16"/>
              </w:rPr>
              <w:t>指标设定值导致偏差率增加。</w:t>
            </w:r>
          </w:p>
        </w:tc>
      </w:tr>
      <w:tr w14:paraId="064964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049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015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139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C015">
            <w:pPr>
              <w:jc w:val="center"/>
            </w:pPr>
            <w:r>
              <w:rPr>
                <w:rFonts w:ascii="宋体" w:hAnsi="宋体" w:eastAsia="宋体"/>
                <w:sz w:val="16"/>
              </w:rPr>
              <w:t>日常办公用品采购完成率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7DDC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08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C97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BA4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29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C1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C8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760F">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252C">
            <w:pPr>
              <w:jc w:val="center"/>
            </w:pPr>
            <w:r>
              <w:rPr>
                <w:rFonts w:ascii="宋体" w:hAnsi="宋体" w:eastAsia="宋体"/>
                <w:sz w:val="16"/>
              </w:rPr>
              <w:t>5.33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E9DD1">
            <w:pPr>
              <w:jc w:val="center"/>
            </w:pPr>
            <w:r>
              <w:rPr>
                <w:rFonts w:ascii="宋体" w:hAnsi="宋体" w:eastAsia="宋体"/>
                <w:sz w:val="16"/>
              </w:rPr>
              <w:t>单位的办公用品采购都通过政府采购按时进行，因采购批次超出了指标设定值导致偏差率增加。</w:t>
            </w:r>
          </w:p>
        </w:tc>
      </w:tr>
      <w:tr w14:paraId="7F1267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5D1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2A2F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5502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EB74">
            <w:pPr>
              <w:jc w:val="center"/>
            </w:pPr>
            <w:r>
              <w:rPr>
                <w:rFonts w:ascii="宋体" w:hAnsi="宋体" w:eastAsia="宋体"/>
                <w:sz w:val="16"/>
              </w:rPr>
              <w:t>资产维修维护资金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B1C1">
            <w:pPr>
              <w:jc w:val="center"/>
            </w:pPr>
            <w:r>
              <w:rPr>
                <w:rFonts w:ascii="宋体" w:hAnsi="宋体" w:eastAsia="宋体"/>
                <w:sz w:val="16"/>
              </w:rPr>
              <w:t>&lt;=8.50万元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AC7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8A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F82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BC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B1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7276">
            <w:pPr>
              <w:jc w:val="center"/>
            </w:pPr>
            <w:r>
              <w:rPr>
                <w:rFonts w:ascii="宋体" w:hAnsi="宋体" w:eastAsia="宋体"/>
                <w:sz w:val="16"/>
              </w:rPr>
              <w: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51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6C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37CDF">
            <w:pPr>
              <w:jc w:val="center"/>
            </w:pPr>
          </w:p>
        </w:tc>
      </w:tr>
      <w:tr w14:paraId="4630DD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B83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63A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7A6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DC82">
            <w:pPr>
              <w:jc w:val="center"/>
            </w:pPr>
            <w:r>
              <w:rPr>
                <w:rFonts w:ascii="宋体" w:hAnsi="宋体" w:eastAsia="宋体"/>
                <w:sz w:val="16"/>
              </w:rPr>
              <w:t>日常办公用品采购成本控制数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3242">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D1A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8B0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FA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13E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9E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01B2">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445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2B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4F94F">
            <w:pPr>
              <w:jc w:val="center"/>
            </w:pPr>
          </w:p>
        </w:tc>
      </w:tr>
      <w:tr w14:paraId="25FE31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F90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1B10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EA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EBC9">
            <w:pPr>
              <w:jc w:val="center"/>
            </w:pPr>
            <w:r>
              <w:rPr>
                <w:rFonts w:ascii="宋体" w:hAnsi="宋体" w:eastAsia="宋体"/>
                <w:sz w:val="16"/>
              </w:rPr>
              <w:t>维修后设备正常运转率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71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D3D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654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81371">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49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98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55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BDD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617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AF482">
            <w:pPr>
              <w:jc w:val="center"/>
            </w:pPr>
          </w:p>
        </w:tc>
      </w:tr>
      <w:tr w14:paraId="01D9C8E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B1FB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23C9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0F3D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45FE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3D1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F3F0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D7F9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FF1D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8571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872A">
            <w:pPr>
              <w:jc w:val="center"/>
            </w:pPr>
            <w:r>
              <w:rPr>
                <w:rFonts w:ascii="宋体" w:hAnsi="宋体" w:eastAsia="宋体"/>
                <w:sz w:val="16"/>
              </w:rPr>
              <w:t>95.04分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995FBD"/>
        </w:tc>
      </w:tr>
    </w:tbl>
    <w:p w14:paraId="14B9EA6A">
      <w:r>
        <w:br w:type="page"/>
      </w:r>
    </w:p>
    <w:tbl>
      <w:tblPr>
        <w:tblStyle w:val="9"/>
        <w:tblW w:w="0" w:type="auto"/>
        <w:tblInd w:w="0" w:type="dxa"/>
        <w:tblLayout w:type="autofit"/>
        <w:tblCellMar>
          <w:top w:w="0" w:type="dxa"/>
          <w:left w:w="108" w:type="dxa"/>
          <w:bottom w:w="0" w:type="dxa"/>
          <w:right w:w="108" w:type="dxa"/>
        </w:tblCellMar>
      </w:tblPr>
      <w:tblGrid>
        <w:gridCol w:w="609"/>
        <w:gridCol w:w="571"/>
        <w:gridCol w:w="571"/>
        <w:gridCol w:w="609"/>
        <w:gridCol w:w="936"/>
        <w:gridCol w:w="571"/>
        <w:gridCol w:w="571"/>
        <w:gridCol w:w="590"/>
        <w:gridCol w:w="571"/>
        <w:gridCol w:w="571"/>
        <w:gridCol w:w="856"/>
        <w:gridCol w:w="776"/>
        <w:gridCol w:w="629"/>
        <w:gridCol w:w="629"/>
      </w:tblGrid>
      <w:tr w14:paraId="49F048A2">
        <w:tblPrEx>
          <w:tblCellMar>
            <w:top w:w="0" w:type="dxa"/>
            <w:left w:w="108" w:type="dxa"/>
            <w:bottom w:w="0" w:type="dxa"/>
            <w:right w:w="108" w:type="dxa"/>
          </w:tblCellMar>
        </w:tblPrEx>
        <w:tc>
          <w:tcPr>
            <w:tcW w:w="8848" w:type="dxa"/>
            <w:gridSpan w:val="14"/>
            <w:vAlign w:val="center"/>
          </w:tcPr>
          <w:p w14:paraId="1AC9E04F">
            <w:pPr>
              <w:jc w:val="center"/>
            </w:pPr>
            <w:r>
              <w:rPr>
                <w:rFonts w:ascii="宋体" w:hAnsi="宋体" w:eastAsia="宋体"/>
                <w:sz w:val="24"/>
              </w:rPr>
              <w:t>项目支出绩效自评表</w:t>
            </w:r>
          </w:p>
        </w:tc>
      </w:tr>
      <w:tr w14:paraId="5B71E4CD">
        <w:tblPrEx>
          <w:tblCellMar>
            <w:top w:w="0" w:type="dxa"/>
            <w:left w:w="108" w:type="dxa"/>
            <w:bottom w:w="0" w:type="dxa"/>
            <w:right w:w="108" w:type="dxa"/>
          </w:tblCellMar>
        </w:tblPrEx>
        <w:tc>
          <w:tcPr>
            <w:tcW w:w="8848" w:type="dxa"/>
            <w:gridSpan w:val="14"/>
            <w:vAlign w:val="center"/>
          </w:tcPr>
          <w:p w14:paraId="53427DE5">
            <w:pPr>
              <w:jc w:val="center"/>
            </w:pPr>
            <w:r>
              <w:rPr>
                <w:rFonts w:ascii="宋体" w:hAnsi="宋体" w:eastAsia="宋体"/>
                <w:sz w:val="24"/>
              </w:rPr>
              <w:t>(2024年度)</w:t>
            </w:r>
          </w:p>
        </w:tc>
      </w:tr>
      <w:tr w14:paraId="7B0E06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F5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DEBFA8">
            <w:pPr>
              <w:jc w:val="center"/>
            </w:pPr>
            <w:r>
              <w:rPr>
                <w:rFonts w:ascii="宋体" w:hAnsi="宋体" w:eastAsia="宋体"/>
                <w:sz w:val="16"/>
              </w:rPr>
              <w:t>关于提前下达2024年中央财政、自治区困难群众救助补助资金项目</w:t>
            </w:r>
          </w:p>
        </w:tc>
      </w:tr>
      <w:tr w14:paraId="78C4DE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35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242CED">
            <w:pPr>
              <w:jc w:val="center"/>
            </w:pPr>
            <w:r>
              <w:rPr>
                <w:rFonts w:ascii="宋体" w:hAnsi="宋体" w:eastAsia="宋体"/>
                <w:sz w:val="16"/>
              </w:rPr>
              <w:t>新疆巴音郭楞蒙古自治州儿童福利院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8D7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0C8FE5">
            <w:pPr>
              <w:jc w:val="center"/>
            </w:pPr>
            <w:r>
              <w:rPr>
                <w:rFonts w:ascii="宋体" w:hAnsi="宋体" w:eastAsia="宋体"/>
                <w:sz w:val="16"/>
              </w:rPr>
              <w:t>新疆巴音郭楞蒙古自治州儿童福利院</w:t>
            </w:r>
          </w:p>
        </w:tc>
      </w:tr>
      <w:tr w14:paraId="290F6B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E75C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59FA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D714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BDC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D37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8552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37CB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62F4">
            <w:pPr>
              <w:jc w:val="center"/>
            </w:pPr>
            <w:r>
              <w:rPr>
                <w:rFonts w:ascii="宋体" w:hAnsi="宋体" w:eastAsia="宋体"/>
                <w:sz w:val="16"/>
              </w:rPr>
              <w:t>得分</w:t>
            </w:r>
          </w:p>
        </w:tc>
      </w:tr>
      <w:tr w14:paraId="22216A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A060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D6D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779D3">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BC9E8">
            <w:pPr>
              <w:jc w:val="center"/>
            </w:pPr>
            <w:r>
              <w:rPr>
                <w:rFonts w:ascii="宋体" w:hAnsi="宋体" w:eastAsia="宋体"/>
                <w:sz w:val="16"/>
              </w:rPr>
              <w:t>134.83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120E8">
            <w:pPr>
              <w:jc w:val="center"/>
            </w:pPr>
            <w:r>
              <w:rPr>
                <w:rFonts w:ascii="宋体" w:hAnsi="宋体" w:eastAsia="宋体"/>
                <w:sz w:val="16"/>
              </w:rPr>
              <w:t>134.83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B45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C2DA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1549">
            <w:pPr>
              <w:jc w:val="center"/>
            </w:pPr>
            <w:r>
              <w:rPr>
                <w:rFonts w:ascii="宋体" w:hAnsi="宋体" w:eastAsia="宋体"/>
                <w:sz w:val="16"/>
              </w:rPr>
              <w:t>10.00</w:t>
            </w:r>
          </w:p>
        </w:tc>
      </w:tr>
      <w:tr w14:paraId="016DD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4A6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AC62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AF812">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27C29">
            <w:pPr>
              <w:jc w:val="center"/>
            </w:pPr>
            <w:r>
              <w:rPr>
                <w:rFonts w:ascii="宋体" w:hAnsi="宋体" w:eastAsia="宋体"/>
                <w:sz w:val="16"/>
              </w:rPr>
              <w:t>134.83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5AB74">
            <w:pPr>
              <w:jc w:val="center"/>
            </w:pPr>
            <w:r>
              <w:rPr>
                <w:rFonts w:ascii="宋体" w:hAnsi="宋体" w:eastAsia="宋体"/>
                <w:sz w:val="16"/>
              </w:rPr>
              <w:t>134.83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8C6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F35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7E3B">
            <w:pPr>
              <w:jc w:val="center"/>
            </w:pPr>
            <w:r>
              <w:rPr>
                <w:rFonts w:ascii="宋体" w:hAnsi="宋体" w:eastAsia="宋体"/>
                <w:sz w:val="16"/>
              </w:rPr>
              <w:t>-</w:t>
            </w:r>
          </w:p>
        </w:tc>
      </w:tr>
      <w:tr w14:paraId="3C248E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16C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E2BB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1E1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614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0AD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A3D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DAA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FB99">
            <w:pPr>
              <w:jc w:val="center"/>
            </w:pPr>
            <w:r>
              <w:rPr>
                <w:rFonts w:ascii="宋体" w:hAnsi="宋体" w:eastAsia="宋体"/>
                <w:sz w:val="16"/>
              </w:rPr>
              <w:t>-</w:t>
            </w:r>
          </w:p>
        </w:tc>
      </w:tr>
      <w:tr w14:paraId="7B2F7C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CF54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5447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4EBCD0">
            <w:pPr>
              <w:jc w:val="center"/>
            </w:pPr>
            <w:r>
              <w:rPr>
                <w:rFonts w:ascii="宋体" w:hAnsi="宋体" w:eastAsia="宋体"/>
                <w:sz w:val="16"/>
              </w:rPr>
              <w:t>总体目标完成情况</w:t>
            </w:r>
          </w:p>
        </w:tc>
      </w:tr>
      <w:tr w14:paraId="16E1D0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5E5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8FCB63">
            <w:pPr>
              <w:jc w:val="both"/>
            </w:pPr>
            <w:r>
              <w:rPr>
                <w:rFonts w:ascii="宋体" w:hAnsi="宋体" w:eastAsia="宋体"/>
                <w:sz w:val="16"/>
              </w:rPr>
              <w:t>按照预算管理制度、寄养管理办法，以“一切为了孩子，为了孩子的一切”服务理念，严格规范管理资金使用，确保救助补助资金发挥实效，不断提高孤残儿童的生活质量，让他们感受到党和政府的关心以及家的温暖。该项目资金主要用于保障不少于60名孤残儿童基本生活、康复医疗和教育等方面的支出。</w:t>
            </w:r>
            <w:r>
              <w:rPr>
                <w:rFonts w:ascii="宋体" w:hAnsi="宋体" w:eastAsia="宋体"/>
                <w:sz w:val="16"/>
              </w:rPr>
              <w:br w:type="textWrapping"/>
            </w:r>
            <w:r>
              <w:rPr>
                <w:rFonts w:ascii="宋体" w:hAnsi="宋体" w:eastAsia="宋体"/>
                <w:sz w:val="16"/>
              </w:rPr>
              <w:t>1、提高物质基础，保证孤残儿童饮食健康、营养均衡，增强体质，确保其健康成长；</w:t>
            </w:r>
            <w:r>
              <w:rPr>
                <w:rFonts w:ascii="宋体" w:hAnsi="宋体" w:eastAsia="宋体"/>
                <w:sz w:val="16"/>
              </w:rPr>
              <w:br w:type="textWrapping"/>
            </w:r>
            <w:r>
              <w:rPr>
                <w:rFonts w:ascii="宋体" w:hAnsi="宋体" w:eastAsia="宋体"/>
                <w:sz w:val="16"/>
              </w:rPr>
              <w:t>2、保证符合就学条件的孤残儿童及时就学，保障其在校期间的学杂费用和学习资料等开支，为孤残儿童创造良好的就学环境和氛围；</w:t>
            </w:r>
            <w:r>
              <w:rPr>
                <w:rFonts w:ascii="宋体" w:hAnsi="宋体" w:eastAsia="宋体"/>
                <w:sz w:val="16"/>
              </w:rPr>
              <w:br w:type="textWrapping"/>
            </w:r>
            <w:r>
              <w:rPr>
                <w:rFonts w:ascii="宋体" w:hAnsi="宋体" w:eastAsia="宋体"/>
                <w:sz w:val="16"/>
              </w:rPr>
              <w:t>3、保障孤儿的就医权，为孤儿购买城镇医疗险、安排孤儿按时接种各类疫苗并进行1年1次的健康体检，保证孤儿的生命安全得到100%的权益保障</w:t>
            </w:r>
            <w:r>
              <w:rPr>
                <w:rFonts w:hint="eastAsia" w:ascii="宋体" w:hAnsi="宋体"/>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FBCF60">
            <w:pPr>
              <w:jc w:val="both"/>
            </w:pPr>
            <w:r>
              <w:rPr>
                <w:rFonts w:ascii="宋体" w:hAnsi="宋体" w:eastAsia="宋体"/>
                <w:sz w:val="16"/>
              </w:rPr>
              <w:t>2024年年末，我院集中供养儿童共计63名，包括了孤儿、事实无人抚养儿童和</w:t>
            </w:r>
            <w:r>
              <w:rPr>
                <w:rFonts w:hint="eastAsia" w:ascii="宋体" w:hAnsi="宋体"/>
                <w:sz w:val="16"/>
                <w:lang w:val="en-US" w:eastAsia="zh-CN"/>
              </w:rPr>
              <w:t>AZB</w:t>
            </w:r>
            <w:r>
              <w:rPr>
                <w:rFonts w:ascii="宋体" w:hAnsi="宋体" w:eastAsia="宋体"/>
                <w:sz w:val="16"/>
              </w:rPr>
              <w:t>患者，我院根据孤残儿童在日常生活、医疗康复、教育等方面的需求进行资金的支出，其中6名寄养家庭的儿童，因寄养在外，我院每月按照标准将寄养费准时汇入寄养家长的账户，不存在拖欠和发放不及时的情况，保证寄养家庭的孩子在日常生活方面的需求，孤儿全年生活费支出共计134.83万元，年末63名孤儿月享受标准为1783.46元/人。在全院工作人员的努力下，首先社工部对孤儿的转入和转出工作严格按照行业标准和院内规定进行，2024年有2名孤儿转入，3名已满18周岁转入其他福利机构、6名年满18周岁签订离院手续走入社会；其次在生活方面，不断提高孤残儿童伙食保障和日常衣物购置标准，保障孤残儿童的物质需求；医疗方面，为其购买人身意外险、安排年度体检以及完成各类儿童预防的接种工作，保障了孤残儿童的生命健康；教育方面，为就学孤儿聘请4名课后辅导老师，购买各类教辅书籍，协助学校老师完成就学儿童的各项校内事宜，保障了孤残儿童受教育的权利。最后课后老师会不定时</w:t>
            </w:r>
            <w:r>
              <w:rPr>
                <w:rFonts w:hint="eastAsia" w:ascii="宋体" w:hAnsi="宋体"/>
                <w:sz w:val="16"/>
                <w:lang w:eastAsia="zh-CN"/>
              </w:rPr>
              <w:t>地</w:t>
            </w:r>
            <w:r>
              <w:rPr>
                <w:rFonts w:ascii="宋体" w:hAnsi="宋体" w:eastAsia="宋体"/>
                <w:sz w:val="16"/>
              </w:rPr>
              <w:t>为孩子们进行爱国主义教育以及宣传救助政策，让孩子们能够懂得感恩社会，回报社会。</w:t>
            </w:r>
          </w:p>
        </w:tc>
      </w:tr>
      <w:tr w14:paraId="286D15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F3BA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9BD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4E7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196B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250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576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183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11A2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5C8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EB1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3F4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8C8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E50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3121">
            <w:pPr>
              <w:jc w:val="center"/>
            </w:pPr>
            <w:r>
              <w:rPr>
                <w:rFonts w:ascii="宋体" w:hAnsi="宋体" w:eastAsia="宋体"/>
                <w:sz w:val="16"/>
              </w:rPr>
              <w:t>偏差原因分析及改进措施</w:t>
            </w:r>
          </w:p>
        </w:tc>
      </w:tr>
      <w:tr w14:paraId="37EC88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27C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31D7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AEE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B421">
            <w:pPr>
              <w:jc w:val="center"/>
            </w:pPr>
            <w:r>
              <w:rPr>
                <w:rFonts w:ascii="宋体" w:hAnsi="宋体" w:eastAsia="宋体"/>
                <w:sz w:val="16"/>
              </w:rPr>
              <w:t>孤儿、</w:t>
            </w:r>
            <w:r>
              <w:rPr>
                <w:rFonts w:hint="eastAsia" w:ascii="宋体" w:hAnsi="宋体"/>
                <w:sz w:val="16"/>
                <w:lang w:eastAsia="zh-CN"/>
              </w:rPr>
              <w:t>AZB</w:t>
            </w:r>
            <w:r>
              <w:rPr>
                <w:rFonts w:ascii="宋体" w:hAnsi="宋体" w:eastAsia="宋体"/>
                <w:sz w:val="16"/>
              </w:rPr>
              <w:t>病毒感染儿童、生活困难家庭中的和纳入特困人员救助供养范围的事实无人抚养儿童纳入保障范围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20F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19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4D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CBE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8E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97B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30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D8B3">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EABB">
            <w:pPr>
              <w:jc w:val="center"/>
            </w:pPr>
            <w:r>
              <w:rPr>
                <w:rFonts w:ascii="宋体" w:hAnsi="宋体" w:eastAsia="宋体"/>
                <w:sz w:val="16"/>
              </w:rPr>
              <w:t>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7E2A7">
            <w:pPr>
              <w:jc w:val="center"/>
            </w:pPr>
            <w:r>
              <w:rPr>
                <w:rFonts w:ascii="宋体" w:hAnsi="宋体" w:eastAsia="宋体"/>
                <w:sz w:val="16"/>
              </w:rPr>
              <w:t>辖区内救助孤儿、</w:t>
            </w:r>
            <w:r>
              <w:rPr>
                <w:rFonts w:hint="eastAsia" w:ascii="宋体" w:hAnsi="宋体"/>
                <w:sz w:val="16"/>
                <w:lang w:eastAsia="zh-CN"/>
              </w:rPr>
              <w:t>AZB</w:t>
            </w:r>
            <w:r>
              <w:rPr>
                <w:rFonts w:ascii="宋体" w:hAnsi="宋体" w:eastAsia="宋体"/>
                <w:sz w:val="16"/>
              </w:rPr>
              <w:t>感染儿童、特困儿童都已纳入我院集中供养范围。</w:t>
            </w:r>
          </w:p>
        </w:tc>
      </w:tr>
      <w:tr w14:paraId="4E6E0A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261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F5B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275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9A306">
            <w:pPr>
              <w:jc w:val="center"/>
            </w:pPr>
            <w:r>
              <w:rPr>
                <w:rFonts w:ascii="宋体" w:hAnsi="宋体" w:eastAsia="宋体"/>
                <w:sz w:val="16"/>
              </w:rPr>
              <w:t>患病孤残儿童救助率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19B8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DA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C2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329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990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C5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13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E2DD">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1CAB">
            <w:pPr>
              <w:jc w:val="center"/>
            </w:pPr>
            <w:r>
              <w:rPr>
                <w:rFonts w:ascii="宋体" w:hAnsi="宋体" w:eastAsia="宋体"/>
                <w:sz w:val="16"/>
              </w:rPr>
              <w:t>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691F">
            <w:pPr>
              <w:jc w:val="center"/>
            </w:pPr>
            <w:r>
              <w:rPr>
                <w:rFonts w:ascii="宋体" w:hAnsi="宋体" w:eastAsia="宋体"/>
                <w:sz w:val="16"/>
              </w:rPr>
              <w:t>符合孤儿条件的患病孤残儿童救助达到了100%</w:t>
            </w:r>
          </w:p>
        </w:tc>
      </w:tr>
      <w:tr w14:paraId="2CB4E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29E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66D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804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CE0D">
            <w:pPr>
              <w:jc w:val="center"/>
            </w:pPr>
            <w:r>
              <w:rPr>
                <w:rFonts w:ascii="宋体" w:hAnsi="宋体" w:eastAsia="宋体"/>
                <w:sz w:val="16"/>
              </w:rPr>
              <w:t>孤残儿童救助人数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73FA">
            <w:pPr>
              <w:jc w:val="center"/>
            </w:pPr>
            <w:r>
              <w:rPr>
                <w:rFonts w:ascii="宋体" w:hAnsi="宋体" w:eastAsia="宋体"/>
                <w:sz w:val="16"/>
              </w:rPr>
              <w:t>&gt;=60人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34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FB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83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22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A3A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1A3B">
            <w:pPr>
              <w:jc w:val="center"/>
            </w:pPr>
            <w:r>
              <w:rPr>
                <w:rFonts w:ascii="宋体" w:hAnsi="宋体" w:eastAsia="宋体"/>
                <w:sz w:val="16"/>
              </w:rPr>
              <w:t>=63人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C59E">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F84D">
            <w:pPr>
              <w:jc w:val="center"/>
            </w:pPr>
            <w:r>
              <w:rPr>
                <w:rFonts w:ascii="宋体" w:hAnsi="宋体" w:eastAsia="宋体"/>
                <w:sz w:val="16"/>
              </w:rPr>
              <w:t>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3A9F3">
            <w:pPr>
              <w:jc w:val="center"/>
            </w:pPr>
            <w:r>
              <w:rPr>
                <w:rFonts w:ascii="宋体" w:hAnsi="宋体" w:eastAsia="宋体"/>
                <w:sz w:val="16"/>
              </w:rPr>
              <w:t>因孤残儿童数量属于滚动数据，年末孤残儿童救助人数为63人，所以与设定值存在差异</w:t>
            </w:r>
          </w:p>
        </w:tc>
      </w:tr>
      <w:tr w14:paraId="024407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F86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723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D85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B4BE8">
            <w:pPr>
              <w:jc w:val="center"/>
            </w:pPr>
            <w:r>
              <w:rPr>
                <w:rFonts w:ascii="宋体" w:hAnsi="宋体" w:eastAsia="宋体"/>
                <w:sz w:val="16"/>
              </w:rPr>
              <w:t>孤儿救助资金享受月份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4F3D">
            <w:pPr>
              <w:jc w:val="center"/>
            </w:pPr>
            <w:r>
              <w:rPr>
                <w:rFonts w:ascii="宋体" w:hAnsi="宋体" w:eastAsia="宋体"/>
                <w:sz w:val="16"/>
              </w:rPr>
              <w:t>&gt;=12个月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6DB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2E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A07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4E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24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6BEF4">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634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BD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AF6B">
            <w:pPr>
              <w:jc w:val="center"/>
            </w:pPr>
          </w:p>
        </w:tc>
      </w:tr>
      <w:tr w14:paraId="64D057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BC7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0E6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3ED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7571">
            <w:pPr>
              <w:jc w:val="center"/>
            </w:pPr>
            <w:r>
              <w:rPr>
                <w:rFonts w:ascii="宋体" w:hAnsi="宋体" w:eastAsia="宋体"/>
                <w:sz w:val="16"/>
              </w:rPr>
              <w:t>孤儿、</w:t>
            </w:r>
            <w:r>
              <w:rPr>
                <w:rFonts w:hint="eastAsia" w:ascii="宋体" w:hAnsi="宋体"/>
                <w:sz w:val="16"/>
                <w:lang w:eastAsia="zh-CN"/>
              </w:rPr>
              <w:t>AZB</w:t>
            </w:r>
            <w:r>
              <w:rPr>
                <w:rFonts w:ascii="宋体" w:hAnsi="宋体" w:eastAsia="宋体"/>
                <w:sz w:val="16"/>
              </w:rPr>
              <w:t>病毒感染儿童、事实无人抚养儿童认定准确率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DB5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C50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05C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5D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80A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C9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4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CB6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32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959C">
            <w:pPr>
              <w:jc w:val="center"/>
            </w:pPr>
            <w:r>
              <w:rPr>
                <w:rFonts w:ascii="宋体" w:hAnsi="宋体" w:eastAsia="宋体"/>
                <w:sz w:val="16"/>
              </w:rPr>
              <w:t>我院儿童认定都严格按照上级文件规定办理，不存在认定错误而收养的情况</w:t>
            </w:r>
          </w:p>
        </w:tc>
      </w:tr>
      <w:tr w14:paraId="3E059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2BF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80F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347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4CB1">
            <w:pPr>
              <w:jc w:val="center"/>
            </w:pPr>
            <w:r>
              <w:rPr>
                <w:rFonts w:ascii="宋体" w:hAnsi="宋体" w:eastAsia="宋体"/>
                <w:sz w:val="16"/>
              </w:rPr>
              <w:t>孤儿基本生活保障金发放率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0B46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027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D2A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22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C3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AF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4A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5A7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98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FA024">
            <w:pPr>
              <w:jc w:val="center"/>
            </w:pPr>
            <w:r>
              <w:rPr>
                <w:rFonts w:ascii="宋体" w:hAnsi="宋体" w:eastAsia="宋体"/>
                <w:sz w:val="16"/>
              </w:rPr>
              <w:t>寄养家庭的儿童救助金按月按时发放，不存在拖延和拖欠的情况</w:t>
            </w:r>
          </w:p>
        </w:tc>
      </w:tr>
      <w:tr w14:paraId="3F744E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DDE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D9F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009B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528D">
            <w:pPr>
              <w:jc w:val="center"/>
            </w:pPr>
            <w:r>
              <w:rPr>
                <w:rFonts w:ascii="宋体" w:hAnsi="宋体" w:eastAsia="宋体"/>
                <w:sz w:val="16"/>
              </w:rPr>
              <w:t>困难群众基本生活救助和孤儿基本生活费按时发放率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0F6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42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C42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DB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69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044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1D2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A3A49">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F5733">
            <w:pPr>
              <w:jc w:val="center"/>
            </w:pPr>
            <w:r>
              <w:rPr>
                <w:rFonts w:ascii="宋体" w:hAnsi="宋体" w:eastAsia="宋体"/>
                <w:sz w:val="16"/>
              </w:rPr>
              <w:t>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68DCB">
            <w:pPr>
              <w:jc w:val="center"/>
            </w:pPr>
            <w:r>
              <w:rPr>
                <w:rFonts w:ascii="宋体" w:hAnsi="宋体" w:eastAsia="宋体"/>
                <w:sz w:val="16"/>
              </w:rPr>
              <w:t>寄养家庭的儿童救助金按月按时发放，不存在拖延和拖欠的情况</w:t>
            </w:r>
          </w:p>
        </w:tc>
      </w:tr>
      <w:tr w14:paraId="6DDF5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CB2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30E5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EC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3938">
            <w:pPr>
              <w:jc w:val="center"/>
            </w:pPr>
            <w:r>
              <w:rPr>
                <w:rFonts w:ascii="宋体" w:hAnsi="宋体" w:eastAsia="宋体"/>
                <w:sz w:val="16"/>
              </w:rPr>
              <w:t>孤残儿童享受救助支出标准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62F9">
            <w:pPr>
              <w:jc w:val="center"/>
            </w:pPr>
            <w:r>
              <w:rPr>
                <w:rFonts w:ascii="宋体" w:hAnsi="宋体" w:eastAsia="宋体"/>
                <w:sz w:val="16"/>
              </w:rPr>
              <w:t>&lt;=1872.63元/月/人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27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C0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F6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B6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65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65F8">
            <w:pPr>
              <w:jc w:val="center"/>
            </w:pPr>
            <w:r>
              <w:rPr>
                <w:rFonts w:ascii="宋体" w:hAnsi="宋体" w:eastAsia="宋体"/>
                <w:sz w:val="16"/>
              </w:rPr>
              <w:t>=1783.46元/月/人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DCA5">
            <w:pPr>
              <w:jc w:val="center"/>
            </w:pPr>
            <w:r>
              <w:rPr>
                <w:rFonts w:ascii="宋体" w:hAnsi="宋体" w:eastAsia="宋体"/>
                <w:sz w:val="16"/>
              </w:rPr>
              <w:t>95.24%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0008">
            <w:pPr>
              <w:jc w:val="center"/>
            </w:pPr>
            <w:r>
              <w:rPr>
                <w:rFonts w:ascii="宋体" w:hAnsi="宋体" w:eastAsia="宋体"/>
                <w:sz w:val="16"/>
              </w:rPr>
              <w:t>17.62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6C8B">
            <w:pPr>
              <w:jc w:val="center"/>
            </w:pPr>
            <w:r>
              <w:rPr>
                <w:rFonts w:ascii="宋体" w:hAnsi="宋体" w:eastAsia="宋体"/>
                <w:sz w:val="16"/>
              </w:rPr>
              <w:t>年初和年末孤残儿童数量在根据其年龄的增长和收养情况在不断</w:t>
            </w:r>
            <w:r>
              <w:rPr>
                <w:rFonts w:hint="eastAsia" w:ascii="宋体" w:hAnsi="宋体"/>
                <w:sz w:val="16"/>
                <w:lang w:eastAsia="zh-CN"/>
              </w:rPr>
              <w:t>地</w:t>
            </w:r>
            <w:r>
              <w:rPr>
                <w:rFonts w:ascii="宋体" w:hAnsi="宋体" w:eastAsia="宋体"/>
                <w:sz w:val="16"/>
              </w:rPr>
              <w:t>变化，本年因数量的增加，导致救助支出标准低于指标设定值</w:t>
            </w:r>
          </w:p>
        </w:tc>
      </w:tr>
      <w:tr w14:paraId="1FB668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0AA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9988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9F6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F2C0">
            <w:pPr>
              <w:jc w:val="center"/>
            </w:pPr>
            <w:r>
              <w:rPr>
                <w:rFonts w:ascii="宋体" w:hAnsi="宋体" w:eastAsia="宋体"/>
                <w:sz w:val="16"/>
              </w:rPr>
              <w:t>困难群众生活水平情况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1F57C">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DF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0D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A2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17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6EE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72F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4A4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A84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DC4E0">
            <w:pPr>
              <w:jc w:val="center"/>
            </w:pPr>
          </w:p>
        </w:tc>
      </w:tr>
      <w:tr w14:paraId="3E19B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468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C35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F5D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C98B">
            <w:pPr>
              <w:jc w:val="center"/>
            </w:pPr>
            <w:r>
              <w:rPr>
                <w:rFonts w:ascii="宋体" w:hAnsi="宋体" w:eastAsia="宋体"/>
                <w:sz w:val="16"/>
              </w:rPr>
              <w:t>困难群众基本生活救助和孤儿基本生活保障制度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DA43">
            <w:pPr>
              <w:jc w:val="center"/>
            </w:pPr>
            <w:r>
              <w:rPr>
                <w:rFonts w:ascii="宋体" w:hAnsi="宋体" w:eastAsia="宋体"/>
                <w:sz w:val="16"/>
              </w:rPr>
              <w:t>进一步完善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0F1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2E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9E7A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3A9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AC7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98E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44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0C47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8E5B">
            <w:pPr>
              <w:jc w:val="center"/>
            </w:pPr>
          </w:p>
        </w:tc>
      </w:tr>
      <w:tr w14:paraId="38AD2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F4F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EFE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A2B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A116">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3C01D">
            <w:pPr>
              <w:jc w:val="center"/>
            </w:pPr>
            <w:r>
              <w:rPr>
                <w:rFonts w:ascii="宋体" w:hAnsi="宋体" w:eastAsia="宋体"/>
                <w:sz w:val="16"/>
              </w:rPr>
              <w:t>&gt;=82%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9E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22A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4D4B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CC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02D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D604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0AEF0">
            <w:pPr>
              <w:jc w:val="center"/>
            </w:pPr>
            <w:r>
              <w:rPr>
                <w:rFonts w:ascii="宋体" w:hAnsi="宋体" w:eastAsia="宋体"/>
                <w:sz w:val="16"/>
              </w:rPr>
              <w:t>109.75%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DA46B">
            <w:pPr>
              <w:jc w:val="center"/>
            </w:pPr>
            <w:r>
              <w:rPr>
                <w:rFonts w:ascii="宋体" w:hAnsi="宋体" w:eastAsia="宋体"/>
                <w:sz w:val="16"/>
              </w:rPr>
              <w:t>5.42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8DB13">
            <w:pPr>
              <w:jc w:val="center"/>
            </w:pPr>
            <w:r>
              <w:rPr>
                <w:rFonts w:ascii="宋体" w:hAnsi="宋体" w:eastAsia="宋体"/>
                <w:sz w:val="16"/>
              </w:rPr>
              <w:t>院内10%左右的智障儿童对政策宣传无法理解，其余儿童都已宣传到位</w:t>
            </w:r>
          </w:p>
        </w:tc>
      </w:tr>
      <w:tr w14:paraId="2210F2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18D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F2A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17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537F">
            <w:pPr>
              <w:jc w:val="center"/>
            </w:pPr>
            <w:r>
              <w:rPr>
                <w:rFonts w:ascii="宋体" w:hAnsi="宋体" w:eastAsia="宋体"/>
                <w:sz w:val="16"/>
              </w:rPr>
              <w:t>救助对象对社会救助实施的满意度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634D">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FA8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61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5E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F39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FD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2D60D">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93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96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F591">
            <w:pPr>
              <w:jc w:val="center"/>
            </w:pPr>
            <w:r>
              <w:rPr>
                <w:rFonts w:ascii="宋体" w:hAnsi="宋体" w:eastAsia="宋体"/>
                <w:sz w:val="16"/>
              </w:rPr>
              <w:t>我院对儿童的服务保障比较好，导致儿童满意度比较高</w:t>
            </w:r>
          </w:p>
        </w:tc>
      </w:tr>
      <w:tr w14:paraId="59E8903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04376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F873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1498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2295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DB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88C0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16E5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EDC7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8A7D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2D27">
            <w:pPr>
              <w:jc w:val="center"/>
            </w:pPr>
            <w:r>
              <w:rPr>
                <w:rFonts w:ascii="宋体" w:hAnsi="宋体" w:eastAsia="宋体"/>
                <w:sz w:val="16"/>
              </w:rPr>
              <w:t>94.56分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C431FB"/>
        </w:tc>
      </w:tr>
    </w:tbl>
    <w:p w14:paraId="3C3FD1E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776"/>
        <w:gridCol w:w="632"/>
        <w:gridCol w:w="632"/>
      </w:tblGrid>
      <w:tr w14:paraId="129B618E">
        <w:tblPrEx>
          <w:tblCellMar>
            <w:top w:w="0" w:type="dxa"/>
            <w:left w:w="108" w:type="dxa"/>
            <w:bottom w:w="0" w:type="dxa"/>
            <w:right w:w="108" w:type="dxa"/>
          </w:tblCellMar>
        </w:tblPrEx>
        <w:tc>
          <w:tcPr>
            <w:tcW w:w="8848" w:type="dxa"/>
            <w:gridSpan w:val="14"/>
            <w:vAlign w:val="center"/>
          </w:tcPr>
          <w:p w14:paraId="733013F2">
            <w:pPr>
              <w:jc w:val="center"/>
            </w:pPr>
            <w:r>
              <w:rPr>
                <w:rFonts w:ascii="宋体" w:hAnsi="宋体" w:eastAsia="宋体"/>
                <w:sz w:val="24"/>
              </w:rPr>
              <w:t>项目支出绩效自评表</w:t>
            </w:r>
          </w:p>
        </w:tc>
      </w:tr>
      <w:tr w14:paraId="3429D387">
        <w:tblPrEx>
          <w:tblCellMar>
            <w:top w:w="0" w:type="dxa"/>
            <w:left w:w="108" w:type="dxa"/>
            <w:bottom w:w="0" w:type="dxa"/>
            <w:right w:w="108" w:type="dxa"/>
          </w:tblCellMar>
        </w:tblPrEx>
        <w:tc>
          <w:tcPr>
            <w:tcW w:w="8848" w:type="dxa"/>
            <w:gridSpan w:val="14"/>
            <w:vAlign w:val="center"/>
          </w:tcPr>
          <w:p w14:paraId="11B3F4F8">
            <w:pPr>
              <w:jc w:val="center"/>
            </w:pPr>
            <w:r>
              <w:rPr>
                <w:rFonts w:ascii="宋体" w:hAnsi="宋体" w:eastAsia="宋体"/>
                <w:sz w:val="24"/>
              </w:rPr>
              <w:t>(2024年度)</w:t>
            </w:r>
          </w:p>
        </w:tc>
      </w:tr>
      <w:tr w14:paraId="0D5739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8E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9578FF">
            <w:pPr>
              <w:jc w:val="center"/>
            </w:pPr>
            <w:r>
              <w:rPr>
                <w:rFonts w:ascii="宋体" w:hAnsi="宋体" w:eastAsia="宋体"/>
                <w:sz w:val="16"/>
              </w:rPr>
              <w:t>提前下达2024年中央专项彩票公益金支持地方社会公益事业发展（社会福利）资金项目</w:t>
            </w:r>
          </w:p>
        </w:tc>
      </w:tr>
      <w:tr w14:paraId="0DFE87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5C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3F248B">
            <w:pPr>
              <w:jc w:val="center"/>
            </w:pPr>
            <w:r>
              <w:rPr>
                <w:rFonts w:ascii="宋体" w:hAnsi="宋体" w:eastAsia="宋体"/>
                <w:sz w:val="16"/>
              </w:rPr>
              <w:t>新疆巴音郭楞蒙古自治州儿童福利院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0BD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111A83">
            <w:pPr>
              <w:jc w:val="center"/>
            </w:pPr>
            <w:r>
              <w:rPr>
                <w:rFonts w:ascii="宋体" w:hAnsi="宋体" w:eastAsia="宋体"/>
                <w:sz w:val="16"/>
              </w:rPr>
              <w:t>新疆巴音郭楞蒙古自治州儿童福利院</w:t>
            </w:r>
          </w:p>
        </w:tc>
      </w:tr>
      <w:tr w14:paraId="1AC5D8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9ECF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3126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C547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D2B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C93D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2DFE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F5F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5123">
            <w:pPr>
              <w:jc w:val="center"/>
            </w:pPr>
            <w:r>
              <w:rPr>
                <w:rFonts w:ascii="宋体" w:hAnsi="宋体" w:eastAsia="宋体"/>
                <w:sz w:val="16"/>
              </w:rPr>
              <w:t>得分</w:t>
            </w:r>
          </w:p>
        </w:tc>
      </w:tr>
      <w:tr w14:paraId="3BAC12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321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CB9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51FDF">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BA11A">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75D83">
            <w:pPr>
              <w:jc w:val="center"/>
            </w:pPr>
            <w:r>
              <w:rPr>
                <w:rFonts w:ascii="宋体" w:hAnsi="宋体" w:eastAsia="宋体"/>
                <w:sz w:val="16"/>
              </w:rPr>
              <w:t>9.75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95B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3CFE0">
            <w:pPr>
              <w:jc w:val="center"/>
            </w:pPr>
            <w:r>
              <w:rPr>
                <w:rFonts w:ascii="宋体" w:hAnsi="宋体" w:eastAsia="宋体"/>
                <w:sz w:val="16"/>
              </w:rPr>
              <w:t>88.64%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A653E">
            <w:pPr>
              <w:jc w:val="center"/>
            </w:pPr>
            <w:r>
              <w:rPr>
                <w:rFonts w:ascii="宋体" w:hAnsi="宋体" w:eastAsia="宋体"/>
                <w:sz w:val="16"/>
              </w:rPr>
              <w:t>7.16</w:t>
            </w:r>
          </w:p>
        </w:tc>
      </w:tr>
      <w:tr w14:paraId="68460A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236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4EB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230F9">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D3973">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890EA">
            <w:pPr>
              <w:jc w:val="center"/>
            </w:pPr>
            <w:r>
              <w:rPr>
                <w:rFonts w:ascii="宋体" w:hAnsi="宋体" w:eastAsia="宋体"/>
                <w:sz w:val="16"/>
              </w:rPr>
              <w:t>9.75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AC4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907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60A02">
            <w:pPr>
              <w:jc w:val="center"/>
            </w:pPr>
            <w:r>
              <w:rPr>
                <w:rFonts w:ascii="宋体" w:hAnsi="宋体" w:eastAsia="宋体"/>
                <w:sz w:val="16"/>
              </w:rPr>
              <w:t>-</w:t>
            </w:r>
          </w:p>
        </w:tc>
      </w:tr>
      <w:tr w14:paraId="03C5E0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E0E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2934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D85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FA4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441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474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9FF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EBBD">
            <w:pPr>
              <w:jc w:val="center"/>
            </w:pPr>
            <w:r>
              <w:rPr>
                <w:rFonts w:ascii="宋体" w:hAnsi="宋体" w:eastAsia="宋体"/>
                <w:sz w:val="16"/>
              </w:rPr>
              <w:t>-</w:t>
            </w:r>
          </w:p>
        </w:tc>
      </w:tr>
      <w:tr w14:paraId="61F490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4C02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9344A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556B3D">
            <w:pPr>
              <w:jc w:val="center"/>
            </w:pPr>
            <w:r>
              <w:rPr>
                <w:rFonts w:ascii="宋体" w:hAnsi="宋体" w:eastAsia="宋体"/>
                <w:sz w:val="16"/>
              </w:rPr>
              <w:t>总体目标完成情况</w:t>
            </w:r>
          </w:p>
        </w:tc>
      </w:tr>
      <w:tr w14:paraId="14E5D9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685B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DC35CE">
            <w:pPr>
              <w:jc w:val="both"/>
            </w:pPr>
            <w:r>
              <w:rPr>
                <w:rFonts w:hint="eastAsia" w:ascii="宋体" w:hAnsi="宋体"/>
                <w:sz w:val="16"/>
                <w:lang w:eastAsia="zh-CN"/>
              </w:rPr>
              <w:t>1.</w:t>
            </w:r>
            <w:r>
              <w:rPr>
                <w:rFonts w:ascii="宋体" w:hAnsi="宋体" w:eastAsia="宋体"/>
                <w:sz w:val="16"/>
              </w:rPr>
              <w:t>按季度发放助学金，保障大中专生孤儿在校期间的生活补助，让其感受国家的关爱；2、寄养部按月对在校孩子进行电话联系，了解其在校期间的生活状态，切实把国家对大专生孤儿的关注落到实处。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9B0D82">
            <w:pPr>
              <w:jc w:val="both"/>
            </w:pPr>
            <w:r>
              <w:rPr>
                <w:rFonts w:ascii="宋体" w:hAnsi="宋体" w:eastAsia="宋体"/>
                <w:sz w:val="16"/>
              </w:rPr>
              <w:t>按照2500元/月的标准为我院12名就读大中专学院的孤儿按季度发放了助学金，为他们在校期间的基本生活开支提供基本保障，截止至12月底有2名大中专生完成学业毕业，其中1名中专升大专继续就读，</w:t>
            </w:r>
            <w:r>
              <w:rPr>
                <w:rFonts w:hint="eastAsia" w:ascii="宋体" w:hAnsi="宋体"/>
                <w:sz w:val="16"/>
                <w:lang w:eastAsia="zh-CN"/>
              </w:rPr>
              <w:t>另一</w:t>
            </w:r>
            <w:r>
              <w:rPr>
                <w:rFonts w:ascii="宋体" w:hAnsi="宋体" w:eastAsia="宋体"/>
                <w:sz w:val="16"/>
              </w:rPr>
              <w:t>名遵照本人意愿放弃升学机会签订了离院协议，整体来说助学金的发放切实保障了孤儿就学权，提升了他们学历的同时，也为其未来的生活创造了生存条件。</w:t>
            </w:r>
          </w:p>
        </w:tc>
      </w:tr>
      <w:tr w14:paraId="07DB1E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FE41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F633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54DB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AF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701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3D0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57C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FDE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F101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0D84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9B2F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649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6CF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87AA">
            <w:pPr>
              <w:jc w:val="center"/>
            </w:pPr>
            <w:r>
              <w:rPr>
                <w:rFonts w:ascii="宋体" w:hAnsi="宋体" w:eastAsia="宋体"/>
                <w:sz w:val="16"/>
              </w:rPr>
              <w:t>偏差原因分析及改进措施</w:t>
            </w:r>
          </w:p>
        </w:tc>
      </w:tr>
      <w:tr w14:paraId="166001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8963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2282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5349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1B5A">
            <w:pPr>
              <w:jc w:val="center"/>
            </w:pPr>
            <w:r>
              <w:rPr>
                <w:rFonts w:ascii="宋体" w:hAnsi="宋体" w:eastAsia="宋体"/>
                <w:sz w:val="16"/>
              </w:rPr>
              <w:t>资助“福彩圆梦·孤儿助学工程”项目人数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C68D">
            <w:pPr>
              <w:jc w:val="center"/>
            </w:pPr>
            <w:r>
              <w:rPr>
                <w:rFonts w:ascii="宋体" w:hAnsi="宋体" w:eastAsia="宋体"/>
                <w:sz w:val="16"/>
              </w:rPr>
              <w:t>&gt;=11人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EA7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519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17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4D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C7A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C5F5">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3116">
            <w:pPr>
              <w:jc w:val="center"/>
            </w:pPr>
            <w:r>
              <w:rPr>
                <w:rFonts w:ascii="宋体" w:hAnsi="宋体" w:eastAsia="宋体"/>
                <w:sz w:val="16"/>
              </w:rPr>
              <w:t>109.09%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660C">
            <w:pPr>
              <w:jc w:val="center"/>
            </w:pPr>
            <w:r>
              <w:rPr>
                <w:rFonts w:ascii="宋体" w:hAnsi="宋体" w:eastAsia="宋体"/>
                <w:sz w:val="16"/>
              </w:rPr>
              <w:t>9.09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2AB5C">
            <w:pPr>
              <w:jc w:val="center"/>
            </w:pPr>
            <w:r>
              <w:rPr>
                <w:rFonts w:ascii="宋体" w:hAnsi="宋体" w:eastAsia="宋体"/>
                <w:sz w:val="16"/>
              </w:rPr>
              <w:t>年初预算按照11人申请助学金，但因中途符合享受助学金条件的孤儿人数是滚动的，中途有新入的也有6月毕业后停止享受的。</w:t>
            </w:r>
          </w:p>
        </w:tc>
      </w:tr>
      <w:tr w14:paraId="40716F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2AC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02A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8AC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9E087">
            <w:pPr>
              <w:jc w:val="center"/>
            </w:pPr>
            <w:r>
              <w:rPr>
                <w:rFonts w:ascii="宋体" w:hAnsi="宋体" w:eastAsia="宋体"/>
                <w:sz w:val="16"/>
              </w:rPr>
              <w:t>助学资金发放次数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DECB">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B8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FA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06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FF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011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5F582">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0B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AAC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E6D9">
            <w:pPr>
              <w:jc w:val="center"/>
            </w:pPr>
          </w:p>
        </w:tc>
      </w:tr>
      <w:tr w14:paraId="7CBA4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E6E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A57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3D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9AC7">
            <w:pPr>
              <w:jc w:val="center"/>
            </w:pPr>
            <w:r>
              <w:rPr>
                <w:rFonts w:ascii="宋体" w:hAnsi="宋体" w:eastAsia="宋体"/>
                <w:sz w:val="16"/>
              </w:rPr>
              <w:t>受助孤儿毕业率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A457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B2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CEC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F7B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557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6E3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C6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AA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58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2000">
            <w:pPr>
              <w:jc w:val="center"/>
            </w:pPr>
            <w:r>
              <w:rPr>
                <w:rFonts w:ascii="宋体" w:hAnsi="宋体" w:eastAsia="宋体"/>
                <w:sz w:val="16"/>
              </w:rPr>
              <w:t>本年度享受助学金的孤儿都已经取</w:t>
            </w:r>
            <w:r>
              <w:rPr>
                <w:rFonts w:hint="eastAsia" w:ascii="宋体" w:hAnsi="宋体"/>
                <w:sz w:val="16"/>
                <w:lang w:eastAsia="zh-CN"/>
              </w:rPr>
              <w:t>得</w:t>
            </w:r>
            <w:r>
              <w:rPr>
                <w:rFonts w:ascii="宋体" w:hAnsi="宋体" w:eastAsia="宋体"/>
                <w:sz w:val="16"/>
              </w:rPr>
              <w:t>毕业证，不存在中途放弃学业的情况</w:t>
            </w:r>
          </w:p>
        </w:tc>
      </w:tr>
      <w:tr w14:paraId="481C60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71E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38B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4EC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C0E4D">
            <w:pPr>
              <w:jc w:val="center"/>
            </w:pPr>
            <w:r>
              <w:rPr>
                <w:rFonts w:ascii="宋体" w:hAnsi="宋体" w:eastAsia="宋体"/>
                <w:sz w:val="16"/>
              </w:rPr>
              <w:t>助学金按月或按季社会化发放到位率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C3E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0B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B8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24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49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DBE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EA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C89F">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B1A6B">
            <w:pPr>
              <w:jc w:val="center"/>
            </w:pPr>
            <w:r>
              <w:rPr>
                <w:rFonts w:ascii="宋体" w:hAnsi="宋体" w:eastAsia="宋体"/>
                <w:sz w:val="16"/>
              </w:rPr>
              <w:t>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3817">
            <w:pPr>
              <w:jc w:val="center"/>
            </w:pPr>
            <w:r>
              <w:rPr>
                <w:rFonts w:ascii="宋体" w:hAnsi="宋体" w:eastAsia="宋体"/>
                <w:sz w:val="16"/>
              </w:rPr>
              <w:t>助学金都按照季度发放到孤儿银行卡上</w:t>
            </w:r>
          </w:p>
        </w:tc>
      </w:tr>
      <w:tr w14:paraId="181FE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175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45C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58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A9A6">
            <w:pPr>
              <w:jc w:val="center"/>
            </w:pPr>
            <w:r>
              <w:rPr>
                <w:rFonts w:ascii="宋体" w:hAnsi="宋体" w:eastAsia="宋体"/>
                <w:sz w:val="16"/>
              </w:rPr>
              <w:t>资助每位孤儿助学费用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2424C">
            <w:pPr>
              <w:jc w:val="center"/>
            </w:pPr>
            <w:r>
              <w:rPr>
                <w:rFonts w:ascii="宋体" w:hAnsi="宋体" w:eastAsia="宋体"/>
                <w:sz w:val="16"/>
              </w:rPr>
              <w:t>&lt;=1万元/年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D03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7B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B9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5B4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B5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CA57">
            <w:pPr>
              <w:jc w:val="center"/>
            </w:pPr>
            <w:r>
              <w:rPr>
                <w:rFonts w:ascii="宋体" w:hAnsi="宋体" w:eastAsia="宋体"/>
                <w:sz w:val="16"/>
              </w:rPr>
              <w:t>=8125元/年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A21A">
            <w:pPr>
              <w:jc w:val="center"/>
            </w:pPr>
            <w:r>
              <w:rPr>
                <w:rFonts w:ascii="宋体" w:hAnsi="宋体" w:eastAsia="宋体"/>
                <w:sz w:val="16"/>
              </w:rPr>
              <w:t>81.25%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5BA7">
            <w:pPr>
              <w:jc w:val="center"/>
            </w:pPr>
            <w:r>
              <w:rPr>
                <w:rFonts w:ascii="宋体" w:hAnsi="宋体" w:eastAsia="宋体"/>
                <w:sz w:val="16"/>
              </w:rPr>
              <w:t>10.63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17CA2">
            <w:pPr>
              <w:jc w:val="center"/>
            </w:pPr>
            <w:r>
              <w:rPr>
                <w:rFonts w:ascii="宋体" w:hAnsi="宋体" w:eastAsia="宋体"/>
                <w:sz w:val="16"/>
              </w:rPr>
              <w:t>中途有放弃中专升大专的孤儿</w:t>
            </w:r>
            <w:r>
              <w:rPr>
                <w:rFonts w:hint="eastAsia" w:ascii="宋体" w:hAnsi="宋体"/>
                <w:sz w:val="16"/>
                <w:lang w:eastAsia="zh-CN"/>
              </w:rPr>
              <w:t>以及</w:t>
            </w:r>
            <w:r>
              <w:rPr>
                <w:rFonts w:ascii="宋体" w:hAnsi="宋体" w:eastAsia="宋体"/>
                <w:sz w:val="16"/>
              </w:rPr>
              <w:t>符合年龄要求才享受助学金的孤儿，导致资金产生了结余</w:t>
            </w:r>
          </w:p>
        </w:tc>
      </w:tr>
      <w:tr w14:paraId="55811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E50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74F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BB5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3AD9">
            <w:pPr>
              <w:jc w:val="center"/>
            </w:pPr>
            <w:r>
              <w:rPr>
                <w:rFonts w:ascii="宋体" w:hAnsi="宋体" w:eastAsia="宋体"/>
                <w:sz w:val="16"/>
              </w:rPr>
              <w:t>孤儿教育水平提升情况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60C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3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46A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1A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635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69E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BE4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AF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D8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D3481">
            <w:pPr>
              <w:jc w:val="center"/>
            </w:pPr>
          </w:p>
        </w:tc>
      </w:tr>
      <w:tr w14:paraId="04F5D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E6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5B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7F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39E9">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5892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681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11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30D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4F1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B5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7D0E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DD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B9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794B">
            <w:pPr>
              <w:jc w:val="center"/>
            </w:pPr>
          </w:p>
        </w:tc>
      </w:tr>
      <w:tr w14:paraId="158C2B6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64398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0E8A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0BF2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3A3F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0B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14F5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6CA9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CAB4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49FF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D3D6">
            <w:pPr>
              <w:jc w:val="center"/>
            </w:pPr>
            <w:r>
              <w:rPr>
                <w:rFonts w:ascii="宋体" w:hAnsi="宋体" w:eastAsia="宋体"/>
                <w:sz w:val="16"/>
              </w:rPr>
              <w:t>85.77分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91787D"/>
        </w:tc>
      </w:tr>
    </w:tbl>
    <w:p w14:paraId="4ECC2C8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74802F32">
        <w:tblPrEx>
          <w:tblCellMar>
            <w:top w:w="0" w:type="dxa"/>
            <w:left w:w="108" w:type="dxa"/>
            <w:bottom w:w="0" w:type="dxa"/>
            <w:right w:w="108" w:type="dxa"/>
          </w:tblCellMar>
        </w:tblPrEx>
        <w:tc>
          <w:tcPr>
            <w:tcW w:w="8848" w:type="dxa"/>
            <w:gridSpan w:val="14"/>
            <w:vAlign w:val="center"/>
          </w:tcPr>
          <w:p w14:paraId="6EE42DF9">
            <w:pPr>
              <w:jc w:val="center"/>
            </w:pPr>
            <w:r>
              <w:rPr>
                <w:rFonts w:ascii="宋体" w:hAnsi="宋体" w:eastAsia="宋体"/>
                <w:sz w:val="24"/>
              </w:rPr>
              <w:t>项目支出绩效自评表</w:t>
            </w:r>
          </w:p>
        </w:tc>
      </w:tr>
      <w:tr w14:paraId="656F4BFC">
        <w:tblPrEx>
          <w:tblCellMar>
            <w:top w:w="0" w:type="dxa"/>
            <w:left w:w="108" w:type="dxa"/>
            <w:bottom w:w="0" w:type="dxa"/>
            <w:right w:w="108" w:type="dxa"/>
          </w:tblCellMar>
        </w:tblPrEx>
        <w:tc>
          <w:tcPr>
            <w:tcW w:w="8848" w:type="dxa"/>
            <w:gridSpan w:val="14"/>
            <w:vAlign w:val="center"/>
          </w:tcPr>
          <w:p w14:paraId="49A6DBDE">
            <w:pPr>
              <w:jc w:val="center"/>
            </w:pPr>
            <w:r>
              <w:rPr>
                <w:rFonts w:ascii="宋体" w:hAnsi="宋体" w:eastAsia="宋体"/>
                <w:sz w:val="24"/>
              </w:rPr>
              <w:t>(2024年度)</w:t>
            </w:r>
          </w:p>
        </w:tc>
      </w:tr>
      <w:tr w14:paraId="28AE99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BDA3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86CC9F">
            <w:pPr>
              <w:jc w:val="center"/>
            </w:pPr>
            <w:r>
              <w:rPr>
                <w:rFonts w:ascii="宋体" w:hAnsi="宋体" w:eastAsia="宋体"/>
                <w:sz w:val="16"/>
              </w:rPr>
              <w:t>2024年自治州福利彩票公益金支持社会福利项目</w:t>
            </w:r>
            <w:r>
              <w:rPr>
                <w:rFonts w:hint="eastAsia" w:ascii="宋体" w:hAnsi="宋体"/>
                <w:sz w:val="16"/>
                <w:lang w:eastAsia="zh-CN"/>
              </w:rPr>
              <w:t>－</w:t>
            </w:r>
            <w:r>
              <w:rPr>
                <w:rFonts w:ascii="宋体" w:hAnsi="宋体" w:eastAsia="宋体"/>
                <w:sz w:val="16"/>
              </w:rPr>
              <w:t xml:space="preserve"> 州儿童福利院未成年人（困境儿童）项目补助经费</w:t>
            </w:r>
          </w:p>
        </w:tc>
      </w:tr>
      <w:tr w14:paraId="1A2432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25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D01746">
            <w:pPr>
              <w:jc w:val="center"/>
            </w:pPr>
            <w:r>
              <w:rPr>
                <w:rFonts w:ascii="宋体" w:hAnsi="宋体" w:eastAsia="宋体"/>
                <w:sz w:val="16"/>
              </w:rPr>
              <w:t>新疆巴音郭楞蒙古自治州儿童福利院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54A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5FE947">
            <w:pPr>
              <w:jc w:val="center"/>
            </w:pPr>
            <w:r>
              <w:rPr>
                <w:rFonts w:ascii="宋体" w:hAnsi="宋体" w:eastAsia="宋体"/>
                <w:sz w:val="16"/>
              </w:rPr>
              <w:t>新疆巴音郭楞蒙古自治州儿童福利院</w:t>
            </w:r>
          </w:p>
        </w:tc>
      </w:tr>
      <w:tr w14:paraId="7A0D38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2CD9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D8CF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FD8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A5BD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EA68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6B3E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607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7E1AF">
            <w:pPr>
              <w:jc w:val="center"/>
            </w:pPr>
            <w:r>
              <w:rPr>
                <w:rFonts w:ascii="宋体" w:hAnsi="宋体" w:eastAsia="宋体"/>
                <w:sz w:val="16"/>
              </w:rPr>
              <w:t>得分</w:t>
            </w:r>
          </w:p>
        </w:tc>
      </w:tr>
      <w:tr w14:paraId="7C9442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35A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D61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97DC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0374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E501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87E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6299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A4CFD">
            <w:pPr>
              <w:jc w:val="center"/>
            </w:pPr>
            <w:r>
              <w:rPr>
                <w:rFonts w:ascii="宋体" w:hAnsi="宋体" w:eastAsia="宋体"/>
                <w:sz w:val="16"/>
              </w:rPr>
              <w:t>10.00</w:t>
            </w:r>
          </w:p>
        </w:tc>
      </w:tr>
      <w:tr w14:paraId="32A94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0F3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42E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ED1C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BA84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A3ED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10B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CBC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273F1">
            <w:pPr>
              <w:jc w:val="center"/>
            </w:pPr>
            <w:r>
              <w:rPr>
                <w:rFonts w:ascii="宋体" w:hAnsi="宋体" w:eastAsia="宋体"/>
                <w:sz w:val="16"/>
              </w:rPr>
              <w:t>-</w:t>
            </w:r>
          </w:p>
        </w:tc>
      </w:tr>
      <w:tr w14:paraId="7B395D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BE0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AE2D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172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DF0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7D5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129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C55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46F6">
            <w:pPr>
              <w:jc w:val="center"/>
            </w:pPr>
            <w:r>
              <w:rPr>
                <w:rFonts w:ascii="宋体" w:hAnsi="宋体" w:eastAsia="宋体"/>
                <w:sz w:val="16"/>
              </w:rPr>
              <w:t>-</w:t>
            </w:r>
          </w:p>
        </w:tc>
      </w:tr>
      <w:tr w14:paraId="212149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0475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E317C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09A6A8">
            <w:pPr>
              <w:jc w:val="center"/>
            </w:pPr>
            <w:r>
              <w:rPr>
                <w:rFonts w:ascii="宋体" w:hAnsi="宋体" w:eastAsia="宋体"/>
                <w:sz w:val="16"/>
              </w:rPr>
              <w:t>总体目标完成情况</w:t>
            </w:r>
          </w:p>
        </w:tc>
      </w:tr>
      <w:tr w14:paraId="5141BC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E2C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A6391">
            <w:pPr>
              <w:jc w:val="both"/>
            </w:pPr>
            <w:r>
              <w:rPr>
                <w:rFonts w:ascii="宋体" w:hAnsi="宋体" w:eastAsia="宋体"/>
                <w:sz w:val="16"/>
              </w:rPr>
              <w:t>通过政府采购平台，购置不少于9台康复设备，完善我院康复室，为残障孤儿提供更加精细化的康复训练，不断提升残障儿童自理能力和适应社会的能力，加强对康复师的培训，提高设备的利用率，推动孤残儿童服务工作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F85327">
            <w:pPr>
              <w:jc w:val="both"/>
            </w:pPr>
            <w:r>
              <w:rPr>
                <w:rFonts w:ascii="宋体" w:hAnsi="宋体" w:eastAsia="宋体"/>
                <w:sz w:val="16"/>
              </w:rPr>
              <w:t>我院在政府采购平台，通过招投标的方式，与购货方签订了政府采购合同，合同总价50万元，购置器材数量为10件，器材平均成本为5000元/件，设备到货后，11月22日经过专家验收，器材数量准确，设备质量合格；康复部3名教师运用新购入的康复器材，为我院6名残障儿童制定了个性化的康复计划，满足不同层次儿童的康复需求，残障儿童服务保障率达到了100%。该批康复设备的运用，提高了工作人员对残障儿童的康复能力，同时也在不断</w:t>
            </w:r>
            <w:r>
              <w:rPr>
                <w:rFonts w:hint="eastAsia" w:ascii="宋体" w:hAnsi="宋体"/>
                <w:sz w:val="16"/>
                <w:lang w:eastAsia="zh-CN"/>
              </w:rPr>
              <w:t>地</w:t>
            </w:r>
            <w:r>
              <w:rPr>
                <w:rFonts w:ascii="宋体" w:hAnsi="宋体" w:eastAsia="宋体"/>
                <w:sz w:val="16"/>
              </w:rPr>
              <w:t>促进残障儿童在生理</w:t>
            </w:r>
            <w:r>
              <w:rPr>
                <w:rFonts w:hint="eastAsia" w:ascii="宋体" w:hAnsi="宋体"/>
                <w:sz w:val="16"/>
                <w:lang w:eastAsia="zh-CN"/>
              </w:rPr>
              <w:t>和</w:t>
            </w:r>
            <w:r>
              <w:rPr>
                <w:rFonts w:ascii="宋体" w:hAnsi="宋体" w:eastAsia="宋体"/>
                <w:sz w:val="16"/>
              </w:rPr>
              <w:t>心理方面的改变，切实有效提高了我院孤残智障儿童服务工作高质量的发展。</w:t>
            </w:r>
          </w:p>
        </w:tc>
      </w:tr>
      <w:tr w14:paraId="5A6201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8836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2986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0C4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CB5A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1BE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773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8F49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212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C5A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CF7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B121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584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D870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7436">
            <w:pPr>
              <w:jc w:val="center"/>
            </w:pPr>
            <w:r>
              <w:rPr>
                <w:rFonts w:ascii="宋体" w:hAnsi="宋体" w:eastAsia="宋体"/>
                <w:sz w:val="16"/>
              </w:rPr>
              <w:t>偏差原因分析及改进措施</w:t>
            </w:r>
          </w:p>
        </w:tc>
      </w:tr>
      <w:tr w14:paraId="6DA680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58DB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C7D2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A19D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AABB">
            <w:pPr>
              <w:jc w:val="center"/>
            </w:pPr>
            <w:r>
              <w:rPr>
                <w:rFonts w:ascii="宋体" w:hAnsi="宋体" w:eastAsia="宋体"/>
                <w:sz w:val="16"/>
              </w:rPr>
              <w:t>配置康复器械数量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E9E2">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C5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85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E05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CCF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D6E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304CD">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D61CA">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AA37">
            <w:pPr>
              <w:jc w:val="center"/>
            </w:pPr>
            <w:r>
              <w:rPr>
                <w:rFonts w:ascii="宋体" w:hAnsi="宋体" w:eastAsia="宋体"/>
                <w:sz w:val="16"/>
              </w:rPr>
              <w:t>5.33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EA0C">
            <w:pPr>
              <w:jc w:val="center"/>
            </w:pPr>
            <w:r>
              <w:rPr>
                <w:rFonts w:ascii="宋体" w:hAnsi="宋体" w:eastAsia="宋体"/>
                <w:sz w:val="16"/>
              </w:rPr>
              <w:t>单位按照实际需求购买了10台设备</w:t>
            </w:r>
          </w:p>
        </w:tc>
      </w:tr>
      <w:tr w14:paraId="677141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933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8F4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637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2DAE">
            <w:pPr>
              <w:jc w:val="center"/>
            </w:pPr>
            <w:r>
              <w:rPr>
                <w:rFonts w:ascii="宋体" w:hAnsi="宋体" w:eastAsia="宋体"/>
                <w:sz w:val="16"/>
              </w:rPr>
              <w:t>未成年人服务保障率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E03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B6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82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8B60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E14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49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FB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F1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46E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0269">
            <w:pPr>
              <w:jc w:val="center"/>
            </w:pPr>
          </w:p>
        </w:tc>
      </w:tr>
      <w:tr w14:paraId="0AA2CD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965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25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E2D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D229">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D5E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11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EA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367F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D9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A2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C2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7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C93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2A8EB">
            <w:pPr>
              <w:jc w:val="center"/>
            </w:pPr>
          </w:p>
        </w:tc>
      </w:tr>
      <w:tr w14:paraId="25DFC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7D0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424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872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A830">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31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0C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BAD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C0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D43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8F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71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ADA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AC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ADBDB">
            <w:pPr>
              <w:jc w:val="center"/>
            </w:pPr>
            <w:r>
              <w:rPr>
                <w:rFonts w:ascii="宋体" w:hAnsi="宋体" w:eastAsia="宋体"/>
                <w:sz w:val="16"/>
              </w:rPr>
              <w:t>经专家验收，器材质量都为合格产品。</w:t>
            </w:r>
          </w:p>
        </w:tc>
      </w:tr>
      <w:tr w14:paraId="60CAE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F2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682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849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341F">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BF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8C4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2FB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E9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CF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F6E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9A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12D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DCB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43CF">
            <w:pPr>
              <w:jc w:val="center"/>
            </w:pPr>
            <w:r>
              <w:rPr>
                <w:rFonts w:ascii="宋体" w:hAnsi="宋体" w:eastAsia="宋体"/>
                <w:sz w:val="16"/>
              </w:rPr>
              <w:t>经过专家验收，器材数量和质量都合格</w:t>
            </w:r>
          </w:p>
        </w:tc>
      </w:tr>
      <w:tr w14:paraId="77C7C2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155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819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4E4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DE22">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87D2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3E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055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2E4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751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DF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59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859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DD77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038F">
            <w:pPr>
              <w:jc w:val="center"/>
            </w:pPr>
          </w:p>
        </w:tc>
      </w:tr>
      <w:tr w14:paraId="00BB58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A2B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930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41B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C7A0">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8366">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C7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90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E88C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A0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C4A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E5C88">
            <w:pPr>
              <w:jc w:val="center"/>
            </w:pPr>
            <w:r>
              <w:rPr>
                <w:rFonts w:ascii="宋体" w:hAnsi="宋体" w:eastAsia="宋体"/>
                <w:sz w:val="16"/>
              </w:rPr>
              <w:t>2024年11月22日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FC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B4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3E04">
            <w:pPr>
              <w:jc w:val="center"/>
            </w:pPr>
          </w:p>
        </w:tc>
      </w:tr>
      <w:tr w14:paraId="064AF3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DCE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08B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36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4AAD1">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7195">
            <w:pPr>
              <w:jc w:val="center"/>
            </w:pPr>
            <w:r>
              <w:rPr>
                <w:rFonts w:ascii="宋体" w:hAnsi="宋体" w:eastAsia="宋体"/>
                <w:sz w:val="16"/>
              </w:rPr>
              <w:t>&lt;=5.55万元/台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0D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08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32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A5B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DA0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3A90">
            <w:pPr>
              <w:jc w:val="center"/>
            </w:pPr>
            <w:r>
              <w:rPr>
                <w:rFonts w:ascii="宋体" w:hAnsi="宋体" w:eastAsia="宋体"/>
                <w:sz w:val="16"/>
              </w:rPr>
              <w:t>=5万元/台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A191">
            <w:pPr>
              <w:jc w:val="center"/>
            </w:pPr>
            <w:r>
              <w:rPr>
                <w:rFonts w:ascii="宋体" w:hAnsi="宋体" w:eastAsia="宋体"/>
                <w:sz w:val="16"/>
              </w:rPr>
              <w:t>90.09%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FE6F">
            <w:pPr>
              <w:jc w:val="center"/>
            </w:pPr>
            <w:r>
              <w:rPr>
                <w:rFonts w:ascii="宋体" w:hAnsi="宋体" w:eastAsia="宋体"/>
                <w:sz w:val="16"/>
              </w:rPr>
              <w:t>15.05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339D5">
            <w:pPr>
              <w:jc w:val="center"/>
            </w:pPr>
            <w:r>
              <w:rPr>
                <w:rFonts w:ascii="宋体" w:hAnsi="宋体" w:eastAsia="宋体"/>
                <w:sz w:val="16"/>
              </w:rPr>
              <w:t>单位按照需求购买了10台设备，导致平均成本较低了</w:t>
            </w:r>
          </w:p>
        </w:tc>
      </w:tr>
      <w:tr w14:paraId="4AE07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9A3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D697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C8C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34BE">
            <w:pPr>
              <w:jc w:val="center"/>
            </w:pPr>
            <w:r>
              <w:rPr>
                <w:rFonts w:ascii="宋体" w:hAnsi="宋体" w:eastAsia="宋体"/>
                <w:sz w:val="16"/>
              </w:rPr>
              <w:t>推动未成年人保护（困境儿童）工作高质量发展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8D2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66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803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F8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21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42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120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FBF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5E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1322">
            <w:pPr>
              <w:jc w:val="center"/>
            </w:pPr>
          </w:p>
        </w:tc>
      </w:tr>
      <w:tr w14:paraId="0DAE06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112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FCB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A55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12A9">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64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44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B9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0F1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25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02B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158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21D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3A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C914">
            <w:pPr>
              <w:jc w:val="center"/>
            </w:pPr>
            <w:r>
              <w:rPr>
                <w:rFonts w:ascii="宋体" w:hAnsi="宋体" w:eastAsia="宋体"/>
                <w:sz w:val="16"/>
              </w:rPr>
              <w:t>康复部将购置设</w:t>
            </w:r>
            <w:r>
              <w:rPr>
                <w:rFonts w:hint="eastAsia" w:ascii="宋体" w:hAnsi="宋体"/>
                <w:sz w:val="16"/>
                <w:lang w:eastAsia="zh-CN"/>
              </w:rPr>
              <w:t>备最</w:t>
            </w:r>
            <w:r>
              <w:rPr>
                <w:rFonts w:ascii="宋体" w:hAnsi="宋体" w:eastAsia="宋体"/>
                <w:sz w:val="16"/>
              </w:rPr>
              <w:t>终</w:t>
            </w:r>
            <w:r>
              <w:rPr>
                <w:rFonts w:hint="eastAsia" w:ascii="宋体" w:hAnsi="宋体"/>
                <w:sz w:val="16"/>
                <w:lang w:eastAsia="zh-CN"/>
              </w:rPr>
              <w:t>投入</w:t>
            </w:r>
            <w:r>
              <w:rPr>
                <w:rFonts w:ascii="宋体" w:hAnsi="宋体" w:eastAsia="宋体"/>
                <w:sz w:val="16"/>
              </w:rPr>
              <w:t>使用，不同的设备对应不同的康复儿童。</w:t>
            </w:r>
          </w:p>
        </w:tc>
      </w:tr>
      <w:tr w14:paraId="70C40D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CFE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EC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8D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DD67">
            <w:pPr>
              <w:jc w:val="center"/>
            </w:pPr>
            <w:r>
              <w:rPr>
                <w:rFonts w:ascii="宋体" w:hAnsi="宋体" w:eastAsia="宋体"/>
                <w:sz w:val="16"/>
              </w:rPr>
              <w:t>受益未成年人（困境儿童）满意度）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6E7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4C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B0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78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F2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5D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54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7A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BF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A4E4">
            <w:pPr>
              <w:jc w:val="center"/>
            </w:pPr>
            <w:r>
              <w:rPr>
                <w:rFonts w:ascii="宋体" w:hAnsi="宋体" w:eastAsia="宋体"/>
                <w:sz w:val="16"/>
              </w:rPr>
              <w:t>经满意度调查，残障儿童对康复设备和康复服务都比较满意</w:t>
            </w:r>
          </w:p>
        </w:tc>
      </w:tr>
      <w:tr w14:paraId="2B2DBEB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BC59C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EC37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2809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B2FA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FF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2284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2AB1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9EBA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16A2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C700">
            <w:pPr>
              <w:jc w:val="center"/>
            </w:pPr>
            <w:r>
              <w:rPr>
                <w:rFonts w:ascii="宋体" w:hAnsi="宋体" w:eastAsia="宋体"/>
                <w:sz w:val="16"/>
              </w:rPr>
              <w:t>94.38分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0CEA4E"/>
        </w:tc>
      </w:tr>
    </w:tbl>
    <w:p w14:paraId="398672EA">
      <w:r>
        <w:br w:type="page"/>
      </w:r>
    </w:p>
    <w:p w14:paraId="435B3267">
      <w:pPr>
        <w:spacing w:line="640" w:lineRule="exact"/>
        <w:ind w:firstLine="640"/>
        <w:jc w:val="both"/>
        <w:outlineLvl w:val="2"/>
      </w:pPr>
      <w:r>
        <w:rPr>
          <w:rFonts w:ascii="黑体" w:hAnsi="黑体" w:eastAsia="黑体"/>
          <w:sz w:val="32"/>
        </w:rPr>
        <w:t>十二、其他需说明的事项</w:t>
      </w:r>
    </w:p>
    <w:p w14:paraId="0D5A3FCA">
      <w:pPr>
        <w:spacing w:line="580" w:lineRule="exact"/>
        <w:ind w:firstLine="640"/>
        <w:jc w:val="both"/>
      </w:pPr>
      <w:r>
        <w:rPr>
          <w:rFonts w:hint="eastAsia" w:ascii="仿宋_GB2312" w:hAnsi="仿宋_GB2312" w:eastAsia="仿宋_GB2312"/>
          <w:b w:val="0"/>
          <w:sz w:val="32"/>
        </w:rPr>
        <w:t>本年度本单位整体绩效自评表由主管部门编报并公开</w:t>
      </w:r>
      <w:bookmarkStart w:id="0" w:name="_GoBack"/>
      <w:bookmarkEnd w:id="0"/>
      <w:r>
        <w:rPr>
          <w:rFonts w:ascii="仿宋_GB2312" w:hAnsi="仿宋_GB2312" w:eastAsia="仿宋_GB2312"/>
          <w:b w:val="0"/>
          <w:sz w:val="32"/>
        </w:rPr>
        <w:t>。</w:t>
      </w:r>
    </w:p>
    <w:p w14:paraId="0C67CF83">
      <w:r>
        <w:br w:type="page"/>
      </w:r>
    </w:p>
    <w:p w14:paraId="0ED49359">
      <w:pPr>
        <w:spacing w:line="240" w:lineRule="auto"/>
        <w:jc w:val="center"/>
        <w:outlineLvl w:val="1"/>
      </w:pPr>
      <w:r>
        <w:rPr>
          <w:rFonts w:ascii="黑体" w:hAnsi="黑体" w:eastAsia="黑体"/>
          <w:sz w:val="32"/>
        </w:rPr>
        <w:t>第三部分 专业名词解释</w:t>
      </w:r>
    </w:p>
    <w:p w14:paraId="6B45969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D6AF42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3D6CAF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1955A8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931CAE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F518B1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812788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C18F85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6378F3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FBE4B6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EAAF08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A76369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D7295B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8A2CC9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AE5531E">
      <w:r>
        <w:br w:type="page"/>
      </w:r>
    </w:p>
    <w:p w14:paraId="176B2C4A">
      <w:pPr>
        <w:spacing w:line="240" w:lineRule="auto"/>
        <w:jc w:val="center"/>
        <w:outlineLvl w:val="1"/>
      </w:pPr>
      <w:r>
        <w:rPr>
          <w:rFonts w:ascii="黑体" w:hAnsi="黑体" w:eastAsia="黑体"/>
          <w:sz w:val="32"/>
        </w:rPr>
        <w:t>第四部分 部门决算报表（见附表）</w:t>
      </w:r>
    </w:p>
    <w:p w14:paraId="64BA5012">
      <w:pPr>
        <w:spacing w:line="240" w:lineRule="auto"/>
        <w:ind w:firstLine="640"/>
        <w:jc w:val="both"/>
      </w:pPr>
      <w:r>
        <w:rPr>
          <w:rFonts w:ascii="仿宋_GB2312" w:hAnsi="仿宋_GB2312" w:eastAsia="仿宋_GB2312"/>
          <w:b w:val="0"/>
          <w:sz w:val="32"/>
        </w:rPr>
        <w:t>一、《收入支出决算总表》</w:t>
      </w:r>
    </w:p>
    <w:p w14:paraId="5093A61A">
      <w:pPr>
        <w:spacing w:line="240" w:lineRule="auto"/>
        <w:ind w:firstLine="640"/>
        <w:jc w:val="both"/>
      </w:pPr>
      <w:r>
        <w:rPr>
          <w:rFonts w:ascii="仿宋_GB2312" w:hAnsi="仿宋_GB2312" w:eastAsia="仿宋_GB2312"/>
          <w:b w:val="0"/>
          <w:sz w:val="32"/>
        </w:rPr>
        <w:t>二、《收入决算表》</w:t>
      </w:r>
    </w:p>
    <w:p w14:paraId="58C4499D">
      <w:pPr>
        <w:spacing w:line="240" w:lineRule="auto"/>
        <w:ind w:firstLine="640"/>
        <w:jc w:val="both"/>
      </w:pPr>
      <w:r>
        <w:rPr>
          <w:rFonts w:ascii="仿宋_GB2312" w:hAnsi="仿宋_GB2312" w:eastAsia="仿宋_GB2312"/>
          <w:b w:val="0"/>
          <w:sz w:val="32"/>
        </w:rPr>
        <w:t>三、《支出决算表》</w:t>
      </w:r>
    </w:p>
    <w:p w14:paraId="1119BE89">
      <w:pPr>
        <w:spacing w:line="240" w:lineRule="auto"/>
        <w:ind w:firstLine="640"/>
        <w:jc w:val="both"/>
      </w:pPr>
      <w:r>
        <w:rPr>
          <w:rFonts w:ascii="仿宋_GB2312" w:hAnsi="仿宋_GB2312" w:eastAsia="仿宋_GB2312"/>
          <w:b w:val="0"/>
          <w:sz w:val="32"/>
        </w:rPr>
        <w:t>四、《财政拨款收入支出决算总表》</w:t>
      </w:r>
    </w:p>
    <w:p w14:paraId="208D3361">
      <w:pPr>
        <w:spacing w:line="240" w:lineRule="auto"/>
        <w:ind w:firstLine="640"/>
        <w:jc w:val="both"/>
      </w:pPr>
      <w:r>
        <w:rPr>
          <w:rFonts w:ascii="仿宋_GB2312" w:hAnsi="仿宋_GB2312" w:eastAsia="仿宋_GB2312"/>
          <w:b w:val="0"/>
          <w:sz w:val="32"/>
        </w:rPr>
        <w:t>五、《一般公共预算财政拨款支出决算表》</w:t>
      </w:r>
    </w:p>
    <w:p w14:paraId="1C92E472">
      <w:pPr>
        <w:spacing w:line="240" w:lineRule="auto"/>
        <w:ind w:firstLine="640"/>
        <w:jc w:val="both"/>
      </w:pPr>
      <w:r>
        <w:rPr>
          <w:rFonts w:ascii="仿宋_GB2312" w:hAnsi="仿宋_GB2312" w:eastAsia="仿宋_GB2312"/>
          <w:b w:val="0"/>
          <w:sz w:val="32"/>
        </w:rPr>
        <w:t>六、《一般公共预算财政拨款基本支出决算表》</w:t>
      </w:r>
    </w:p>
    <w:p w14:paraId="03EDAF18">
      <w:pPr>
        <w:spacing w:line="240" w:lineRule="auto"/>
        <w:ind w:firstLine="640"/>
        <w:jc w:val="both"/>
      </w:pPr>
      <w:r>
        <w:rPr>
          <w:rFonts w:ascii="仿宋_GB2312" w:hAnsi="仿宋_GB2312" w:eastAsia="仿宋_GB2312"/>
          <w:b w:val="0"/>
          <w:sz w:val="32"/>
        </w:rPr>
        <w:t>七、《政府性基金预算财政拨款收入支出决算表》</w:t>
      </w:r>
    </w:p>
    <w:p w14:paraId="4AE6CCE2">
      <w:pPr>
        <w:spacing w:line="240" w:lineRule="auto"/>
        <w:ind w:firstLine="640"/>
        <w:jc w:val="both"/>
      </w:pPr>
      <w:r>
        <w:rPr>
          <w:rFonts w:ascii="仿宋_GB2312" w:hAnsi="仿宋_GB2312" w:eastAsia="仿宋_GB2312"/>
          <w:b w:val="0"/>
          <w:sz w:val="32"/>
        </w:rPr>
        <w:t>八、《国有资本经营预算财政拨款收入支出决算表》</w:t>
      </w:r>
    </w:p>
    <w:p w14:paraId="715D89FA">
      <w:pPr>
        <w:spacing w:line="240" w:lineRule="auto"/>
        <w:ind w:firstLine="640"/>
        <w:jc w:val="both"/>
      </w:pPr>
      <w:r>
        <w:rPr>
          <w:rFonts w:ascii="仿宋_GB2312" w:hAnsi="仿宋_GB2312" w:eastAsia="仿宋_GB2312"/>
          <w:b w:val="0"/>
          <w:sz w:val="32"/>
        </w:rPr>
        <w:t>九、《财政拨款“三公”经费支出决算表》</w:t>
      </w:r>
    </w:p>
    <w:p w14:paraId="327B6BE1">
      <w:pPr>
        <w:spacing w:line="240" w:lineRule="auto"/>
        <w:ind w:firstLine="640"/>
        <w:jc w:val="both"/>
      </w:pPr>
    </w:p>
    <w:p w14:paraId="402ED1A0">
      <w:pPr>
        <w:spacing w:line="240" w:lineRule="auto"/>
        <w:ind w:firstLine="640"/>
        <w:jc w:val="both"/>
      </w:pPr>
    </w:p>
    <w:p w14:paraId="48402590">
      <w:pPr>
        <w:spacing w:line="240" w:lineRule="auto"/>
        <w:ind w:firstLine="640"/>
        <w:jc w:val="both"/>
      </w:pPr>
    </w:p>
    <w:p w14:paraId="217636EB">
      <w:pPr>
        <w:spacing w:line="240" w:lineRule="auto"/>
        <w:ind w:firstLine="640"/>
        <w:jc w:val="both"/>
      </w:pPr>
    </w:p>
    <w:p w14:paraId="7491386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88B28F3"/>
    <w:rsid w:val="19071D6C"/>
    <w:rsid w:val="19B5554D"/>
    <w:rsid w:val="1B8F2D19"/>
    <w:rsid w:val="1C317E4F"/>
    <w:rsid w:val="1C472464"/>
    <w:rsid w:val="1DAF458D"/>
    <w:rsid w:val="1E086ACE"/>
    <w:rsid w:val="1E4B5CA5"/>
    <w:rsid w:val="1E9E334E"/>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B7E297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5113</Words>
  <Characters>5864</Characters>
  <Lines>0</Lines>
  <Paragraphs>0</Paragraphs>
  <TotalTime>5</TotalTime>
  <ScaleCrop>false</ScaleCrop>
  <LinksUpToDate>false</LinksUpToDate>
  <CharactersWithSpaces>5873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2025-09-11T10:40:47Z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