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新疆巴音郭楞蒙古自治州救助管理站（流浪少年儿童救助保护中心）2024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F889B32">
      <w:r>
        <w:br w:type="page"/>
      </w:r>
    </w:p>
    <w:p w14:paraId="5F584783">
      <w:pPr>
        <w:spacing w:line="640" w:lineRule="exact"/>
        <w:jc w:val="center"/>
        <w:outlineLvl w:val="1"/>
      </w:pPr>
      <w:r>
        <w:rPr>
          <w:rFonts w:ascii="黑体" w:hAnsi="黑体" w:eastAsia="黑体"/>
          <w:sz w:val="32"/>
        </w:rPr>
        <w:t>第一部分 单位概况</w:t>
      </w:r>
    </w:p>
    <w:p w14:paraId="7077F10C">
      <w:pPr>
        <w:spacing w:line="640" w:lineRule="exact"/>
        <w:ind w:firstLine="640"/>
        <w:jc w:val="both"/>
        <w:outlineLvl w:val="2"/>
      </w:pPr>
      <w:r>
        <w:rPr>
          <w:rFonts w:ascii="黑体" w:hAnsi="黑体" w:eastAsia="黑体"/>
          <w:sz w:val="32"/>
        </w:rPr>
        <w:t>一、主要职能</w:t>
      </w:r>
    </w:p>
    <w:p w14:paraId="04559BFA">
      <w:pPr>
        <w:spacing w:line="580" w:lineRule="exact"/>
        <w:ind w:firstLine="640"/>
        <w:jc w:val="both"/>
      </w:pPr>
      <w:r>
        <w:rPr>
          <w:rFonts w:ascii="仿宋_GB2312" w:hAnsi="仿宋_GB2312" w:eastAsia="仿宋_GB2312"/>
          <w:sz w:val="32"/>
        </w:rPr>
        <w:t>巴州救助管理站本着“自愿受助，无偿救助”的原则对在城市生活无着的流浪、乞讨人员实行救助，保障其基本生活权益。帮助受助人员解决生产、生活困难，教育遗弃残疾人、未成年人、老年人的近亲属或者其他监护人履行抚养、赡养义务。</w:t>
      </w:r>
    </w:p>
    <w:p w14:paraId="3D2C8750">
      <w:pPr>
        <w:spacing w:line="640" w:lineRule="exact"/>
        <w:ind w:firstLine="640"/>
        <w:jc w:val="both"/>
        <w:outlineLvl w:val="2"/>
      </w:pPr>
      <w:r>
        <w:rPr>
          <w:rFonts w:ascii="黑体" w:hAnsi="黑体" w:eastAsia="黑体"/>
          <w:sz w:val="32"/>
        </w:rPr>
        <w:t>二、机构设置及人员情况</w:t>
      </w:r>
    </w:p>
    <w:p w14:paraId="01E47451">
      <w:pPr>
        <w:spacing w:line="580" w:lineRule="exact"/>
        <w:ind w:firstLine="640"/>
        <w:jc w:val="both"/>
      </w:pPr>
      <w:r>
        <w:rPr>
          <w:rFonts w:ascii="仿宋_GB2312" w:hAnsi="仿宋_GB2312" w:eastAsia="仿宋_GB2312"/>
          <w:sz w:val="32"/>
        </w:rPr>
        <w:t>新疆巴音郭楞蒙古自治州救助管理站（流浪少年儿童救助保护中心）2024年度，实有人数21人，其中：在职人员10人，减少2人；离休人员0人，增加0人；退休人员11人,增加1人。</w:t>
      </w:r>
    </w:p>
    <w:p w14:paraId="37E468C7">
      <w:pPr>
        <w:spacing w:line="580" w:lineRule="exact"/>
        <w:ind w:firstLine="640"/>
        <w:jc w:val="both"/>
      </w:pPr>
      <w:r>
        <w:rPr>
          <w:rFonts w:ascii="仿宋_GB2312" w:hAnsi="仿宋_GB2312" w:eastAsia="仿宋_GB2312"/>
          <w:sz w:val="32"/>
        </w:rPr>
        <w:t>新疆巴音郭楞蒙古自治州救助管理站（流浪少年儿童救助保护中心）无下属预算单位，下设4个科室，分别是：站长室、业务室、财务室、安保室。</w:t>
      </w:r>
    </w:p>
    <w:p w14:paraId="170503B1">
      <w:r>
        <w:br w:type="page"/>
      </w:r>
    </w:p>
    <w:p w14:paraId="07FECD3C">
      <w:pPr>
        <w:spacing w:line="240" w:lineRule="auto"/>
        <w:jc w:val="center"/>
        <w:outlineLvl w:val="1"/>
      </w:pPr>
      <w:r>
        <w:rPr>
          <w:rFonts w:ascii="黑体" w:hAnsi="黑体" w:eastAsia="黑体"/>
          <w:sz w:val="32"/>
        </w:rPr>
        <w:t>第二部分 部门决算情况说明</w:t>
      </w:r>
    </w:p>
    <w:p w14:paraId="01B295A7">
      <w:pPr>
        <w:spacing w:line="640" w:lineRule="exact"/>
        <w:ind w:firstLine="640"/>
        <w:jc w:val="both"/>
        <w:outlineLvl w:val="2"/>
      </w:pPr>
      <w:r>
        <w:rPr>
          <w:rFonts w:ascii="黑体" w:hAnsi="黑体" w:eastAsia="黑体"/>
          <w:sz w:val="32"/>
        </w:rPr>
        <w:t>一、收入支出决算总体情况说明</w:t>
      </w:r>
    </w:p>
    <w:p w14:paraId="47E0CC83">
      <w:pPr>
        <w:spacing w:line="580" w:lineRule="exact"/>
        <w:ind w:firstLine="640"/>
        <w:jc w:val="both"/>
      </w:pPr>
      <w:r>
        <w:rPr>
          <w:rFonts w:ascii="仿宋_GB2312" w:hAnsi="仿宋_GB2312" w:eastAsia="仿宋_GB2312"/>
          <w:b/>
          <w:sz w:val="32"/>
        </w:rPr>
        <w:t>2024年度收入总计386.04万元，</w:t>
      </w:r>
      <w:r>
        <w:rPr>
          <w:rFonts w:ascii="仿宋_GB2312" w:hAnsi="仿宋_GB2312" w:eastAsia="仿宋_GB2312"/>
          <w:b w:val="0"/>
          <w:sz w:val="32"/>
        </w:rPr>
        <w:t>其中：本年收入合计386.04万元，使用非财政拨款结余（含专用结余）0.00万元，年初结转和结余0.00万元。</w:t>
      </w:r>
    </w:p>
    <w:p w14:paraId="0FBE49D6">
      <w:pPr>
        <w:spacing w:line="580" w:lineRule="exact"/>
        <w:ind w:firstLine="640"/>
        <w:jc w:val="both"/>
      </w:pPr>
      <w:r>
        <w:rPr>
          <w:rFonts w:ascii="仿宋_GB2312" w:hAnsi="仿宋_GB2312" w:eastAsia="仿宋_GB2312"/>
          <w:b/>
          <w:sz w:val="32"/>
        </w:rPr>
        <w:t>2024年度支出总计386.04万元，</w:t>
      </w:r>
      <w:r>
        <w:rPr>
          <w:rFonts w:ascii="仿宋_GB2312" w:hAnsi="仿宋_GB2312" w:eastAsia="仿宋_GB2312"/>
          <w:b w:val="0"/>
          <w:sz w:val="32"/>
        </w:rPr>
        <w:t>其中：本年支出合计386.04万元，结余分配0.00万元，年末结转和结余0.00万元。</w:t>
      </w:r>
    </w:p>
    <w:p w14:paraId="1755F679">
      <w:pPr>
        <w:spacing w:line="580" w:lineRule="exact"/>
        <w:ind w:firstLine="640"/>
        <w:jc w:val="both"/>
      </w:pPr>
      <w:r>
        <w:rPr>
          <w:rFonts w:ascii="仿宋_GB2312" w:hAnsi="仿宋_GB2312" w:eastAsia="仿宋_GB2312"/>
          <w:b w:val="0"/>
          <w:sz w:val="32"/>
        </w:rPr>
        <w:t>收入支出总体与上年相比，减少67.20万元，下降14.83%，主要原因是：本年在职人员减少，相关人员经费较上年减少；本年减少聘用人员工资补助、州救助管理站设施改造项目、变压器维修改造资金项目、困难群众救助补助资金项目资金，导致经费较上年减少。</w:t>
      </w:r>
    </w:p>
    <w:p w14:paraId="5F465D84">
      <w:pPr>
        <w:spacing w:line="640" w:lineRule="exact"/>
        <w:ind w:firstLine="640"/>
        <w:jc w:val="both"/>
        <w:outlineLvl w:val="2"/>
      </w:pPr>
      <w:r>
        <w:rPr>
          <w:rFonts w:ascii="黑体" w:hAnsi="黑体" w:eastAsia="黑体"/>
          <w:sz w:val="32"/>
        </w:rPr>
        <w:t>二、收入决算情况说明</w:t>
      </w:r>
    </w:p>
    <w:p w14:paraId="506245AB">
      <w:pPr>
        <w:spacing w:line="580" w:lineRule="exact"/>
        <w:ind w:firstLine="640"/>
        <w:jc w:val="both"/>
      </w:pPr>
      <w:r>
        <w:rPr>
          <w:rFonts w:ascii="仿宋_GB2312" w:hAnsi="仿宋_GB2312" w:eastAsia="仿宋_GB2312"/>
          <w:b/>
          <w:sz w:val="32"/>
        </w:rPr>
        <w:t>本年收入386.04万元，</w:t>
      </w:r>
      <w:r>
        <w:rPr>
          <w:rFonts w:ascii="仿宋_GB2312" w:hAnsi="仿宋_GB2312" w:eastAsia="仿宋_GB2312"/>
          <w:b w:val="0"/>
          <w:sz w:val="32"/>
        </w:rPr>
        <w:t>其中：财政拨款收入382.07万元，占98.97%；上级补助收入0.00万元，占0.00%；事业收入0.00万元，占0.00%；经营收入0.00万元，占0.00%；附属单位上缴收入0.00万元，占0.00%；其他收入3.97万元，占1.03%。</w:t>
      </w:r>
    </w:p>
    <w:p w14:paraId="2EEE23A9">
      <w:pPr>
        <w:spacing w:line="640" w:lineRule="exact"/>
        <w:ind w:firstLine="640"/>
        <w:jc w:val="both"/>
        <w:outlineLvl w:val="2"/>
      </w:pPr>
      <w:r>
        <w:rPr>
          <w:rFonts w:ascii="黑体" w:hAnsi="黑体" w:eastAsia="黑体"/>
          <w:sz w:val="32"/>
        </w:rPr>
        <w:t>三、支出决算情况说明</w:t>
      </w:r>
    </w:p>
    <w:p w14:paraId="275571AF">
      <w:pPr>
        <w:spacing w:line="580" w:lineRule="exact"/>
        <w:ind w:firstLine="640"/>
        <w:jc w:val="both"/>
      </w:pPr>
      <w:r>
        <w:rPr>
          <w:rFonts w:ascii="仿宋_GB2312" w:hAnsi="仿宋_GB2312" w:eastAsia="仿宋_GB2312"/>
          <w:b/>
          <w:sz w:val="32"/>
        </w:rPr>
        <w:t>本年支出386.04万元，</w:t>
      </w:r>
      <w:r>
        <w:rPr>
          <w:rFonts w:ascii="仿宋_GB2312" w:hAnsi="仿宋_GB2312" w:eastAsia="仿宋_GB2312"/>
          <w:b w:val="0"/>
          <w:sz w:val="32"/>
        </w:rPr>
        <w:t>其中：基本支出226.46万元，占58.66%；项目支出159.58万元，占41.34%；上缴上级支出0.00万元，占0.00%；经营支出0.00万元，占0.00%；对附属单位补助支出0.00万元，占0.00%。</w:t>
      </w:r>
    </w:p>
    <w:p w14:paraId="7A2F545A">
      <w:pPr>
        <w:spacing w:line="640" w:lineRule="exact"/>
        <w:ind w:firstLine="640"/>
        <w:jc w:val="both"/>
        <w:outlineLvl w:val="2"/>
      </w:pPr>
      <w:r>
        <w:rPr>
          <w:rFonts w:ascii="黑体" w:hAnsi="黑体" w:eastAsia="黑体"/>
          <w:sz w:val="32"/>
        </w:rPr>
        <w:t>四、财政拨款收入支出决算总体情况说明</w:t>
      </w:r>
    </w:p>
    <w:p w14:paraId="030FE02C">
      <w:pPr>
        <w:spacing w:line="580" w:lineRule="exact"/>
        <w:ind w:firstLine="640"/>
        <w:jc w:val="both"/>
      </w:pPr>
      <w:r>
        <w:rPr>
          <w:rFonts w:ascii="仿宋_GB2312" w:hAnsi="仿宋_GB2312" w:eastAsia="仿宋_GB2312"/>
          <w:b/>
          <w:sz w:val="32"/>
        </w:rPr>
        <w:t>2024年度财政拨款收入总计382.07万元，</w:t>
      </w:r>
      <w:r>
        <w:rPr>
          <w:rFonts w:ascii="仿宋_GB2312" w:hAnsi="仿宋_GB2312" w:eastAsia="仿宋_GB2312"/>
          <w:b w:val="0"/>
          <w:sz w:val="32"/>
        </w:rPr>
        <w:t>其中：年初财政拨款结转和结余0.00万元，本年财政拨款收入382.07万元。</w:t>
      </w:r>
      <w:r>
        <w:rPr>
          <w:rFonts w:ascii="仿宋_GB2312" w:hAnsi="仿宋_GB2312" w:eastAsia="仿宋_GB2312"/>
          <w:b/>
          <w:sz w:val="32"/>
        </w:rPr>
        <w:t>财政拨款支出总计382.07万元，</w:t>
      </w:r>
      <w:r>
        <w:rPr>
          <w:rFonts w:ascii="仿宋_GB2312" w:hAnsi="仿宋_GB2312" w:eastAsia="仿宋_GB2312"/>
          <w:b w:val="0"/>
          <w:sz w:val="32"/>
        </w:rPr>
        <w:t>其中：年末财政拨款结转和结余0.00万元，本年财政拨款支出382.07万元。</w:t>
      </w:r>
    </w:p>
    <w:p w14:paraId="57ADC25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71.17万元，下降15.70%，主要原因是：本年在职人员减少，相关人员经费较上年减少；本年减少聘用人员工资补助、州救助管理站设施改造项目、变压器维修改造资金项目、困难群众救助补助资金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年初预算数363.06万元，决算数382.07万元，预决算差异率5.24%，主要原因是：年中追加巴州流浪未成年人救助保护中心项目，导致预决算存在差异。</w:t>
      </w:r>
    </w:p>
    <w:p w14:paraId="6176A403">
      <w:pPr>
        <w:spacing w:line="640" w:lineRule="exact"/>
        <w:ind w:firstLine="640"/>
        <w:jc w:val="both"/>
        <w:outlineLvl w:val="2"/>
      </w:pPr>
      <w:r>
        <w:rPr>
          <w:rFonts w:ascii="黑体" w:hAnsi="黑体" w:eastAsia="黑体"/>
          <w:sz w:val="32"/>
        </w:rPr>
        <w:t>五、一般公共预算财政拨款支出决算情况说明</w:t>
      </w:r>
    </w:p>
    <w:p w14:paraId="52AE570B">
      <w:pPr>
        <w:spacing w:line="640" w:lineRule="exact"/>
        <w:ind w:firstLine="640"/>
        <w:jc w:val="both"/>
        <w:outlineLvl w:val="3"/>
      </w:pPr>
      <w:r>
        <w:rPr>
          <w:rFonts w:ascii="楷体_GB2312" w:hAnsi="楷体_GB2312" w:eastAsia="楷体_GB2312"/>
          <w:b/>
          <w:sz w:val="32"/>
        </w:rPr>
        <w:t>（一）一般公共预算财政拨款支出决算总体情况</w:t>
      </w:r>
    </w:p>
    <w:p w14:paraId="325EB13D">
      <w:pPr>
        <w:spacing w:line="580" w:lineRule="exact"/>
        <w:ind w:firstLine="640"/>
        <w:jc w:val="both"/>
      </w:pPr>
      <w:r>
        <w:rPr>
          <w:rFonts w:ascii="仿宋_GB2312" w:hAnsi="仿宋_GB2312" w:eastAsia="仿宋_GB2312"/>
          <w:b/>
          <w:sz w:val="32"/>
        </w:rPr>
        <w:t>2024年度一般公共预算财政拨款支出372.07万元，</w:t>
      </w:r>
      <w:r>
        <w:rPr>
          <w:rFonts w:ascii="仿宋_GB2312" w:hAnsi="仿宋_GB2312" w:eastAsia="仿宋_GB2312"/>
          <w:b w:val="0"/>
          <w:sz w:val="32"/>
        </w:rPr>
        <w:t>占本年支出合计的96.38%。</w:t>
      </w:r>
      <w:r>
        <w:rPr>
          <w:rFonts w:ascii="仿宋_GB2312" w:hAnsi="仿宋_GB2312" w:eastAsia="仿宋_GB2312"/>
          <w:b/>
          <w:sz w:val="32"/>
        </w:rPr>
        <w:t>与上年相比，</w:t>
      </w:r>
      <w:r>
        <w:rPr>
          <w:rFonts w:ascii="仿宋_GB2312" w:hAnsi="仿宋_GB2312" w:eastAsia="仿宋_GB2312"/>
          <w:b w:val="0"/>
          <w:sz w:val="32"/>
        </w:rPr>
        <w:t>减少59.18万元，下降13.72%，主要原因是：本年在职人员减少，相关人员经费较上年减少；本年减少聘用人员工资补助、州救助管理站设施改造项目、变压器维修改造资金项目、困难群众救助补助资金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年初预算数363.06万元，决算数372.07万元，预决算差异率2.48%，主要原因是：年中追加巴州流浪未成年人救助保护中心项目，导致预决算存在差异。</w:t>
      </w:r>
    </w:p>
    <w:p w14:paraId="3644772C">
      <w:pPr>
        <w:spacing w:line="640" w:lineRule="exact"/>
        <w:ind w:firstLine="640"/>
        <w:jc w:val="both"/>
        <w:outlineLvl w:val="3"/>
      </w:pPr>
      <w:r>
        <w:rPr>
          <w:rFonts w:ascii="楷体_GB2312" w:hAnsi="楷体_GB2312" w:eastAsia="楷体_GB2312"/>
          <w:b/>
          <w:sz w:val="32"/>
        </w:rPr>
        <w:t>（二）一般公共预算财政拨款支出决算结构情况</w:t>
      </w:r>
    </w:p>
    <w:p w14:paraId="389A0F4E">
      <w:pPr>
        <w:spacing w:line="580" w:lineRule="exact"/>
        <w:ind w:firstLine="640"/>
        <w:jc w:val="both"/>
      </w:pPr>
      <w:r>
        <w:rPr>
          <w:rFonts w:ascii="仿宋_GB2312" w:hAnsi="仿宋_GB2312" w:eastAsia="仿宋_GB2312"/>
          <w:b w:val="0"/>
          <w:sz w:val="32"/>
        </w:rPr>
        <w:t>1.教育支出(类)0.5万元,占0.13%。</w:t>
      </w:r>
    </w:p>
    <w:p w14:paraId="36487236">
      <w:pPr>
        <w:spacing w:line="580" w:lineRule="exact"/>
        <w:ind w:firstLine="640"/>
        <w:jc w:val="both"/>
      </w:pPr>
      <w:r>
        <w:rPr>
          <w:rFonts w:ascii="仿宋_GB2312" w:hAnsi="仿宋_GB2312" w:eastAsia="仿宋_GB2312"/>
          <w:b w:val="0"/>
          <w:sz w:val="32"/>
        </w:rPr>
        <w:t>2.社会保障和就业支出(类)345.1万元,占92.75%。</w:t>
      </w:r>
    </w:p>
    <w:p w14:paraId="53F9653E">
      <w:pPr>
        <w:spacing w:line="580" w:lineRule="exact"/>
        <w:ind w:firstLine="640"/>
        <w:jc w:val="both"/>
      </w:pPr>
      <w:r>
        <w:rPr>
          <w:rFonts w:ascii="仿宋_GB2312" w:hAnsi="仿宋_GB2312" w:eastAsia="仿宋_GB2312"/>
          <w:b w:val="0"/>
          <w:sz w:val="32"/>
        </w:rPr>
        <w:t>3.卫生健康支出(类)12.05万元,占3.24%。</w:t>
      </w:r>
    </w:p>
    <w:p w14:paraId="33EF7F2D">
      <w:pPr>
        <w:spacing w:line="580" w:lineRule="exact"/>
        <w:ind w:firstLine="640"/>
        <w:jc w:val="both"/>
      </w:pPr>
      <w:r>
        <w:rPr>
          <w:rFonts w:ascii="仿宋_GB2312" w:hAnsi="仿宋_GB2312" w:eastAsia="仿宋_GB2312"/>
          <w:b w:val="0"/>
          <w:sz w:val="32"/>
        </w:rPr>
        <w:t>4.住房保障支出(类)14.42万元,占3.88%。</w:t>
      </w:r>
    </w:p>
    <w:p w14:paraId="57AC9413">
      <w:pPr>
        <w:spacing w:line="640" w:lineRule="exact"/>
        <w:ind w:firstLine="640"/>
        <w:jc w:val="both"/>
        <w:outlineLvl w:val="3"/>
      </w:pPr>
      <w:r>
        <w:rPr>
          <w:rFonts w:ascii="楷体_GB2312" w:hAnsi="楷体_GB2312" w:eastAsia="楷体_GB2312"/>
          <w:b/>
          <w:sz w:val="32"/>
        </w:rPr>
        <w:t>（三）一般公共预算财政拨款支出决算具体情况</w:t>
      </w:r>
    </w:p>
    <w:p w14:paraId="46D7E34E">
      <w:pPr>
        <w:spacing w:line="580" w:lineRule="exact"/>
        <w:ind w:firstLine="640"/>
        <w:jc w:val="both"/>
      </w:pPr>
      <w:r>
        <w:rPr>
          <w:rFonts w:ascii="仿宋_GB2312" w:hAnsi="仿宋_GB2312" w:eastAsia="仿宋_GB2312"/>
          <w:b w:val="0"/>
          <w:sz w:val="32"/>
        </w:rPr>
        <w:t>1.教育支出(类)进修及培训(款)培训支出(项):支出决算数为0.5万元，比上年决算增加0.50万元，增长100.00%,主要原因是：本年度参加自治区开展的培训，相关培训经费较上年增加。</w:t>
      </w:r>
    </w:p>
    <w:p w14:paraId="6BD62AE9">
      <w:pPr>
        <w:spacing w:line="580" w:lineRule="exact"/>
        <w:ind w:firstLine="640"/>
        <w:jc w:val="both"/>
      </w:pPr>
      <w:r>
        <w:rPr>
          <w:rFonts w:ascii="仿宋_GB2312" w:hAnsi="仿宋_GB2312" w:eastAsia="仿宋_GB2312"/>
          <w:b w:val="0"/>
          <w:sz w:val="32"/>
        </w:rPr>
        <w:t>2.社会保障和就业支出(类)人力资源和社会保障管理事务(款)一般行政管理事务(项):支出决算数为0.00万元，比上年决算减少29.02万元，下降100.00%,主要原因是：本年未安排变压器维修改造资金项目，相关支出减少。</w:t>
      </w:r>
    </w:p>
    <w:p w14:paraId="3782DE66">
      <w:pPr>
        <w:spacing w:line="580" w:lineRule="exact"/>
        <w:ind w:firstLine="640"/>
        <w:jc w:val="both"/>
      </w:pPr>
      <w:r>
        <w:rPr>
          <w:rFonts w:ascii="仿宋_GB2312" w:hAnsi="仿宋_GB2312" w:eastAsia="仿宋_GB2312"/>
          <w:b w:val="0"/>
          <w:sz w:val="32"/>
        </w:rPr>
        <w:t>3.社会保障和就业支出(类)民政管理事务(款)行政运行(项):支出决算数为164.36万元，比上年决算减少12.35万元，下降6.99%,主要原因是：本年在职人员减少，相应人员经费较上年减少。</w:t>
      </w:r>
    </w:p>
    <w:p w14:paraId="6A2B0CA0">
      <w:pPr>
        <w:spacing w:line="580" w:lineRule="exact"/>
        <w:ind w:firstLine="640"/>
        <w:jc w:val="both"/>
      </w:pPr>
      <w:r>
        <w:rPr>
          <w:rFonts w:ascii="仿宋_GB2312" w:hAnsi="仿宋_GB2312" w:eastAsia="仿宋_GB2312"/>
          <w:b w:val="0"/>
          <w:sz w:val="32"/>
        </w:rPr>
        <w:t>4.社会保障和就业支出(类)民政管理事务(款)一般行政管理事务(项):支出决算数为5.88万元，比上年决算增加5.88万元，增长100.00%,主要原因是：本年新增州级流浪乞讨人员临时救助补助，相关支出增加。</w:t>
      </w:r>
    </w:p>
    <w:p w14:paraId="7ECD0AD8">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5.社会保障和就业支出(类)行政事业单位养老支出(款)行政单位离退休(项):支出决算数为9.72万元，比上年决算增加1.82万元，增长23.04%,主要原因是：本年退休人员增加，退休费支出增加。</w:t>
      </w:r>
    </w:p>
    <w:p w14:paraId="0404D032">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18.6万元，比上年决算增加0.33万元，增长1.81%,主要原因是：本年在职人员工资基数调增，养老缴费基数上涨，相应支出增加。</w:t>
      </w:r>
    </w:p>
    <w:p w14:paraId="2D86BB52">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6.81万元，比上年决算增加0.52万元，增长8.27%,主要原因是：本年新增退休人员、调出人员（调至自治区救助站）较上年增加，职业年金缴费支出增加。</w:t>
      </w:r>
    </w:p>
    <w:p w14:paraId="47D312D8">
      <w:pPr>
        <w:spacing w:line="580" w:lineRule="exact"/>
        <w:ind w:firstLine="640"/>
        <w:jc w:val="both"/>
      </w:pPr>
      <w:r>
        <w:rPr>
          <w:rFonts w:ascii="仿宋_GB2312" w:hAnsi="仿宋_GB2312" w:eastAsia="仿宋_GB2312"/>
          <w:b w:val="0"/>
          <w:sz w:val="32"/>
        </w:rPr>
        <w:t>8.社会保障和就业支出(类)临时救助(款)流浪乞讨人员救助支出(项):支出决算数为139.72万元，比上年决算减少27.92万元，下降16.65%,主要原因是：本年救助人员减少，相应救助费减少。</w:t>
      </w:r>
    </w:p>
    <w:p w14:paraId="162CA0D0">
      <w:pPr>
        <w:spacing w:line="580" w:lineRule="exact"/>
        <w:ind w:firstLine="640"/>
        <w:jc w:val="both"/>
      </w:pPr>
      <w:r>
        <w:rPr>
          <w:rFonts w:ascii="仿宋_GB2312" w:hAnsi="仿宋_GB2312" w:eastAsia="仿宋_GB2312"/>
          <w:b w:val="0"/>
          <w:sz w:val="32"/>
        </w:rPr>
        <w:t>9.卫生健康支出(类)行政事业单位医疗(款)行政单位医疗(项):支出决算数为8.21万元，比上年决算减少0.11万元，下降1.32%,主要原因是：本年在职人员减少，行政单位医疗支出较上年减少。</w:t>
      </w:r>
    </w:p>
    <w:p w14:paraId="3E268BFC">
      <w:pPr>
        <w:spacing w:line="580" w:lineRule="exact"/>
        <w:ind w:firstLine="640"/>
        <w:jc w:val="both"/>
      </w:pPr>
      <w:r>
        <w:rPr>
          <w:rFonts w:ascii="仿宋_GB2312" w:hAnsi="仿宋_GB2312" w:eastAsia="仿宋_GB2312"/>
          <w:b w:val="0"/>
          <w:sz w:val="32"/>
        </w:rPr>
        <w:t>10.卫生健康支出(类)行政事业单位医疗(款)公务员医疗补助(项):支出决算数为3.52万元，比上年决算减少0.07万元，下降1.95%,主要原因是：本年在职人员减少，公务员医疗补助较上年减少。</w:t>
      </w:r>
    </w:p>
    <w:p w14:paraId="61741013">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11.卫生健康支出(类)行政事业单位医疗(款)其他行政事业单位医疗支出(项):支出决算数为0.32万元，比上年决算减少0.23万元，下降41.82%,主要原因是：本年在职人员减少，其他行政事业单位医疗支出较上年减少。</w:t>
      </w:r>
    </w:p>
    <w:p w14:paraId="7D1472BB">
      <w:pPr>
        <w:spacing w:line="580" w:lineRule="exact"/>
        <w:ind w:firstLine="640"/>
        <w:jc w:val="both"/>
      </w:pPr>
      <w:r>
        <w:rPr>
          <w:rFonts w:ascii="仿宋_GB2312" w:hAnsi="仿宋_GB2312" w:eastAsia="仿宋_GB2312"/>
          <w:b w:val="0"/>
          <w:sz w:val="32"/>
        </w:rPr>
        <w:t>12.住房保障支出(类)住房改革支出(款)住房公积金(项):支出决算数为14.42万元，比上年决算增加1.46万元，增长11.27%,主要原因是：本年在职人员工资基数调增，公积金缴费基数上涨，相应支出增加。</w:t>
      </w:r>
    </w:p>
    <w:p w14:paraId="08E594BA">
      <w:pPr>
        <w:spacing w:line="640" w:lineRule="exact"/>
        <w:ind w:firstLine="640"/>
        <w:jc w:val="both"/>
        <w:outlineLvl w:val="2"/>
      </w:pPr>
      <w:r>
        <w:rPr>
          <w:rFonts w:ascii="黑体" w:hAnsi="黑体" w:eastAsia="黑体"/>
          <w:sz w:val="32"/>
        </w:rPr>
        <w:t>六、一般公共预算财政拨款基本支出决算情况说明</w:t>
      </w:r>
    </w:p>
    <w:p w14:paraId="60F4BB2D">
      <w:pPr>
        <w:spacing w:line="580" w:lineRule="exact"/>
        <w:ind w:firstLine="640"/>
        <w:jc w:val="both"/>
      </w:pPr>
      <w:r>
        <w:rPr>
          <w:rFonts w:ascii="仿宋_GB2312" w:hAnsi="仿宋_GB2312" w:eastAsia="仿宋_GB2312"/>
          <w:b w:val="0"/>
          <w:sz w:val="32"/>
        </w:rPr>
        <w:t>2024年度一般公共预算财政拨款基本支出226.46万元，其中：</w:t>
      </w:r>
      <w:r>
        <w:rPr>
          <w:rFonts w:ascii="仿宋_GB2312" w:hAnsi="仿宋_GB2312" w:eastAsia="仿宋_GB2312"/>
          <w:b/>
          <w:sz w:val="32"/>
        </w:rPr>
        <w:t>人员经费199.39万元，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包括：基本工资、津贴补贴、奖金、伙食补助费、机关事业单位基本养老保险缴费、职业年金缴费、职工基本医疗保险缴费、公务员医疗补助缴费、其他社会保障缴费、住房公积金、退休费、生活补助、奖励金。</w:t>
      </w:r>
    </w:p>
    <w:p w14:paraId="2A4DE0BA">
      <w:pPr>
        <w:spacing w:line="580" w:lineRule="exact"/>
        <w:ind w:firstLine="640"/>
        <w:jc w:val="both"/>
      </w:pPr>
      <w:r>
        <w:rPr>
          <w:rFonts w:ascii="仿宋_GB2312" w:hAnsi="仿宋_GB2312" w:eastAsia="仿宋_GB2312"/>
          <w:b/>
          <w:sz w:val="32"/>
        </w:rPr>
        <w:t>公用经费27.07万元，</w:t>
      </w:r>
      <w:r>
        <w:rPr>
          <w:rFonts w:ascii="仿宋_GB2312" w:hAnsi="仿宋_GB2312" w:eastAsia="仿宋_GB2312"/>
          <w:b w:val="0"/>
          <w:sz w:val="32"/>
        </w:rPr>
        <w:t>包括：办公费、水费、电费、邮电费、取暖费、差旅费、维修（护）费、培训费、劳务费、委托业务费、工会经费、福利费、公务用车运行维护费、其他商品和服务支出。</w:t>
      </w:r>
    </w:p>
    <w:p w14:paraId="6B56509C">
      <w:pPr>
        <w:spacing w:line="640" w:lineRule="exact"/>
        <w:ind w:firstLine="640"/>
        <w:jc w:val="both"/>
        <w:outlineLvl w:val="2"/>
      </w:pPr>
      <w:r>
        <w:rPr>
          <w:rFonts w:ascii="黑体" w:hAnsi="黑体" w:eastAsia="黑体"/>
          <w:sz w:val="32"/>
        </w:rPr>
        <w:t>七、政府性基金预算财政拨款收入支出决算情况说明</w:t>
      </w:r>
    </w:p>
    <w:p w14:paraId="63D7D107">
      <w:pPr>
        <w:spacing w:line="580" w:lineRule="exact"/>
        <w:ind w:firstLine="640"/>
        <w:jc w:val="both"/>
      </w:pPr>
      <w:r>
        <w:rPr>
          <w:rFonts w:ascii="仿宋_GB2312" w:hAnsi="仿宋_GB2312" w:eastAsia="仿宋_GB2312"/>
          <w:b/>
          <w:sz w:val="32"/>
        </w:rPr>
        <w:t>2024年度政府性基金预算财政拨款收入总计10.00万元，</w:t>
      </w:r>
      <w:r>
        <w:rPr>
          <w:rFonts w:ascii="仿宋_GB2312" w:hAnsi="仿宋_GB2312" w:eastAsia="仿宋_GB2312"/>
          <w:b w:val="0"/>
          <w:sz w:val="32"/>
        </w:rPr>
        <w:t>其中：年初结转和结余0.00万元，本年收入10.00万元。</w:t>
      </w:r>
      <w:r>
        <w:rPr>
          <w:rFonts w:ascii="仿宋_GB2312" w:hAnsi="仿宋_GB2312" w:eastAsia="仿宋_GB2312"/>
          <w:b/>
          <w:sz w:val="32"/>
        </w:rPr>
        <w:t>政府性基金预算财政拨款支出总计10.00万元，</w:t>
      </w:r>
      <w:r>
        <w:rPr>
          <w:rFonts w:ascii="仿宋_GB2312" w:hAnsi="仿宋_GB2312" w:eastAsia="仿宋_GB2312"/>
          <w:b w:val="0"/>
          <w:sz w:val="32"/>
        </w:rPr>
        <w:t>其中：年末结转和结余0.00万元，本年支出10.00万元。</w:t>
      </w:r>
    </w:p>
    <w:p w14:paraId="0E90A80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减少11.99万元，下降54.52%，主要原因是：本年巴州救助站管理站（未成年人保护中心）天然气管道改造项目资金较上年减少。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年初预算数0.00万元，决算数10.00万元，预决算差异率100.00%，主要原因是：年中追加巴州救助站管理站（未成年人保护中心）天然气管道改造项目，导致预决算存在差异。</w:t>
      </w:r>
    </w:p>
    <w:p w14:paraId="41B80BF4">
      <w:pPr>
        <w:spacing w:line="580" w:lineRule="exact"/>
        <w:ind w:firstLine="640"/>
        <w:jc w:val="both"/>
      </w:pPr>
      <w:r>
        <w:rPr>
          <w:rFonts w:ascii="仿宋_GB2312" w:hAnsi="仿宋_GB2312" w:eastAsia="仿宋_GB2312"/>
          <w:b w:val="0"/>
          <w:sz w:val="32"/>
        </w:rPr>
        <w:t>政府性基金预算财政拨款支出10.00万元。</w:t>
      </w:r>
    </w:p>
    <w:p w14:paraId="6E2C0F49">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10万元，比上年决算减少11.99万元，下降54.52%,主要原因是：本年巴州救助站管理站（未成年人保护中心）天然气管道改造项目资金较上年减少。</w:t>
      </w:r>
    </w:p>
    <w:p w14:paraId="16616E17">
      <w:pPr>
        <w:spacing w:line="640" w:lineRule="exact"/>
        <w:ind w:firstLine="640"/>
        <w:jc w:val="both"/>
        <w:outlineLvl w:val="2"/>
      </w:pPr>
      <w:r>
        <w:rPr>
          <w:rFonts w:ascii="黑体" w:hAnsi="黑体" w:eastAsia="黑体"/>
          <w:sz w:val="32"/>
        </w:rPr>
        <w:t>八、国有资本经营预算财政拨款收入支出决算情况说明</w:t>
      </w:r>
    </w:p>
    <w:p w14:paraId="37C800F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750DAA5">
      <w:pPr>
        <w:spacing w:line="640" w:lineRule="exact"/>
        <w:ind w:firstLine="640"/>
        <w:jc w:val="both"/>
        <w:outlineLvl w:val="2"/>
      </w:pPr>
      <w:r>
        <w:rPr>
          <w:rFonts w:ascii="黑体" w:hAnsi="黑体" w:eastAsia="黑体"/>
          <w:sz w:val="32"/>
        </w:rPr>
        <w:t>九、财政拨款“三公”经费支出决算情况说明</w:t>
      </w:r>
    </w:p>
    <w:p w14:paraId="1ADB534F">
      <w:pPr>
        <w:spacing w:line="580" w:lineRule="exact"/>
        <w:ind w:firstLine="640"/>
        <w:jc w:val="both"/>
      </w:pPr>
      <w:r>
        <w:rPr>
          <w:rFonts w:ascii="仿宋_GB2312" w:hAnsi="仿宋_GB2312" w:eastAsia="仿宋_GB2312"/>
          <w:b/>
          <w:sz w:val="32"/>
        </w:rPr>
        <w:t>2024年度财政拨款“三公”经费支出5.38万元，</w:t>
      </w:r>
      <w:r>
        <w:rPr>
          <w:rFonts w:ascii="仿宋_GB2312" w:hAnsi="仿宋_GB2312" w:eastAsia="仿宋_GB2312"/>
          <w:b w:val="0"/>
          <w:sz w:val="32"/>
        </w:rPr>
        <w:t>比上年增加1.06万元，增长24.54%，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5.38万元，占100.00%，比上年增加1.06万元，增长24.54%，主要原因是：本单位公务用车日渐老化，维修维护成本增加，导致公务用车运行维护费较上年增加。公务接待费支出0.00万元，占0.00%，比上年增加0.00万元，增长0.00%，主要原因是：2023年与2024年均未安排公务接待费支出。</w:t>
      </w:r>
    </w:p>
    <w:p w14:paraId="5CF76259">
      <w:pPr>
        <w:spacing w:line="580" w:lineRule="exact"/>
        <w:ind w:firstLine="640"/>
        <w:jc w:val="both"/>
      </w:pPr>
      <w:r>
        <w:rPr>
          <w:rFonts w:ascii="仿宋_GB2312" w:hAnsi="仿宋_GB2312" w:eastAsia="仿宋_GB2312"/>
          <w:b/>
          <w:sz w:val="32"/>
        </w:rPr>
        <w:t>具体情况如下：</w:t>
      </w:r>
    </w:p>
    <w:p w14:paraId="07E41EA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640E28A">
      <w:pPr>
        <w:spacing w:line="580" w:lineRule="exact"/>
        <w:ind w:firstLine="640"/>
        <w:jc w:val="both"/>
      </w:pPr>
      <w:r>
        <w:rPr>
          <w:rFonts w:ascii="仿宋_GB2312" w:hAnsi="仿宋_GB2312" w:eastAsia="仿宋_GB2312"/>
          <w:b w:val="0"/>
          <w:sz w:val="32"/>
        </w:rPr>
        <w:t>公务用车购置及运行维护费5.38万元，其中：公务用车购置费0.00万元，公务用车运行维护费5.38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3E7C5C6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9B3668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5.38万元，决算数5.38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5.38万元，决算数5.38万元，预决算差异率0.00%，主要原因是：严格按照预算执行，预决算无差异。公务接待费全年预算数0.00万元，决算数0.00万元，预决算差异率0.00%，主要原因是：本单位无公务接待费。</w:t>
      </w:r>
    </w:p>
    <w:p w14:paraId="36F1D100">
      <w:pPr>
        <w:spacing w:line="640" w:lineRule="exact"/>
        <w:ind w:firstLine="640"/>
        <w:jc w:val="both"/>
        <w:outlineLvl w:val="2"/>
      </w:pPr>
      <w:r>
        <w:rPr>
          <w:rFonts w:ascii="黑体" w:hAnsi="黑体" w:eastAsia="黑体"/>
          <w:sz w:val="32"/>
        </w:rPr>
        <w:t>十、其他重要事项的情况说明</w:t>
      </w:r>
    </w:p>
    <w:p w14:paraId="264CD753">
      <w:pPr>
        <w:spacing w:line="640" w:lineRule="exact"/>
        <w:ind w:firstLine="640"/>
        <w:jc w:val="both"/>
        <w:outlineLvl w:val="3"/>
      </w:pPr>
      <w:r>
        <w:rPr>
          <w:rFonts w:ascii="楷体_GB2312" w:hAnsi="楷体_GB2312" w:eastAsia="楷体_GB2312"/>
          <w:b/>
          <w:sz w:val="32"/>
        </w:rPr>
        <w:t>（一）机关运行经费及公用经费支出情况</w:t>
      </w:r>
    </w:p>
    <w:p w14:paraId="265ACB12">
      <w:pPr>
        <w:spacing w:line="580" w:lineRule="exact"/>
        <w:ind w:firstLine="640"/>
        <w:jc w:val="both"/>
      </w:pPr>
      <w:r>
        <w:rPr>
          <w:rFonts w:ascii="仿宋_GB2312" w:hAnsi="仿宋_GB2312" w:eastAsia="仿宋_GB2312"/>
          <w:b w:val="0"/>
          <w:sz w:val="32"/>
        </w:rPr>
        <w:t>2024年度新疆巴音郭楞蒙古自治州救助管理站（流浪少年儿童救助保护中心）（行政单位和参照公务员法管理事业单位）机关运行经费支出27.07万元，比上年减少5.42万元，下降16.68%，主要原因是：本年减少水费，导致机关运行经费支出减少。</w:t>
      </w:r>
    </w:p>
    <w:p w14:paraId="4AE81446">
      <w:pPr>
        <w:spacing w:line="640" w:lineRule="exact"/>
        <w:ind w:firstLine="640"/>
        <w:jc w:val="both"/>
        <w:outlineLvl w:val="3"/>
      </w:pPr>
      <w:r>
        <w:rPr>
          <w:rFonts w:ascii="楷体_GB2312" w:hAnsi="楷体_GB2312" w:eastAsia="楷体_GB2312"/>
          <w:b/>
          <w:sz w:val="32"/>
        </w:rPr>
        <w:t>（二）政府采购情况</w:t>
      </w:r>
    </w:p>
    <w:p w14:paraId="00357F34">
      <w:pPr>
        <w:spacing w:line="580" w:lineRule="exact"/>
        <w:ind w:firstLine="640"/>
        <w:jc w:val="both"/>
      </w:pPr>
      <w:r>
        <w:rPr>
          <w:rFonts w:ascii="仿宋_GB2312" w:hAnsi="仿宋_GB2312" w:eastAsia="仿宋_GB2312"/>
          <w:b w:val="0"/>
          <w:sz w:val="32"/>
        </w:rPr>
        <w:t>2024年度政府采购支出总额2.02万元，其中：政府采购货物支出0.12万元、政府采购工程支出0.00万元、政府采购服务支出1.90万元。</w:t>
      </w:r>
    </w:p>
    <w:p w14:paraId="32262C66">
      <w:pPr>
        <w:spacing w:line="580" w:lineRule="exact"/>
        <w:ind w:firstLine="640"/>
        <w:jc w:val="both"/>
      </w:pPr>
      <w:r>
        <w:rPr>
          <w:rFonts w:ascii="仿宋_GB2312" w:hAnsi="仿宋_GB2312" w:eastAsia="仿宋_GB2312"/>
          <w:b w:val="0"/>
          <w:sz w:val="32"/>
        </w:rPr>
        <w:t>授予中小企业合同金额2.02万元，占政府采购支出总额的100.00%，其中：授予小微企业合同金额2.02万元，占政府采购支出总额的100.00%。</w:t>
      </w:r>
    </w:p>
    <w:p w14:paraId="4C7E3D1E">
      <w:pPr>
        <w:spacing w:line="640" w:lineRule="exact"/>
        <w:ind w:firstLine="640"/>
        <w:jc w:val="both"/>
        <w:outlineLvl w:val="3"/>
      </w:pPr>
      <w:r>
        <w:rPr>
          <w:rFonts w:ascii="楷体_GB2312" w:hAnsi="楷体_GB2312" w:eastAsia="楷体_GB2312"/>
          <w:b/>
          <w:sz w:val="32"/>
        </w:rPr>
        <w:t>（三）国有资产占用情况说明</w:t>
      </w:r>
    </w:p>
    <w:p w14:paraId="7414612C">
      <w:pPr>
        <w:spacing w:line="580" w:lineRule="exact"/>
        <w:ind w:firstLine="640"/>
        <w:jc w:val="both"/>
      </w:pPr>
      <w:r>
        <w:rPr>
          <w:rFonts w:ascii="仿宋_GB2312" w:hAnsi="仿宋_GB2312" w:eastAsia="仿宋_GB2312"/>
          <w:b w:val="0"/>
          <w:sz w:val="32"/>
        </w:rPr>
        <w:t>截至2024年12月31日，房屋4,581.57平方米，价值816.61万元。车辆2辆，价值31.72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13753721">
      <w:pPr>
        <w:spacing w:line="640" w:lineRule="exact"/>
        <w:ind w:firstLine="640"/>
        <w:jc w:val="both"/>
        <w:outlineLvl w:val="2"/>
      </w:pPr>
      <w:r>
        <w:rPr>
          <w:rFonts w:ascii="黑体" w:hAnsi="黑体" w:eastAsia="黑体"/>
          <w:sz w:val="32"/>
        </w:rPr>
        <w:t>十一、预算绩效的情况说明</w:t>
      </w:r>
    </w:p>
    <w:p w14:paraId="2E22B323">
      <w:pPr>
        <w:spacing w:line="580" w:lineRule="exact"/>
        <w:ind w:firstLine="640"/>
        <w:jc w:val="both"/>
      </w:pPr>
      <w:r>
        <w:rPr>
          <w:rFonts w:ascii="仿宋_GB2312" w:hAnsi="仿宋_GB2312" w:eastAsia="仿宋_GB2312"/>
          <w:b w:val="0"/>
          <w:sz w:val="32"/>
        </w:rPr>
        <w:t>根据预算绩效管理要求，本单位预算绩效评价项目3个，全年预算数154.72万元，全年执行数154.71万元。预算绩效管理取得的成效：一是提升了资金使用效益。通过设定清晰的绩效目标、全程跟踪监控以及事后评价，促使各部门更注重资金投入与产出的匹配度，避免了资金闲置、浪费或低效使用的情况，让每一笔钱都用在“刀刃上”，比如在民生项目中，能更精准地保障资金投向关键领域，切实解决群众需求。二是</w:t>
      </w:r>
      <w:r>
        <w:rPr>
          <w:rFonts w:hint="eastAsia" w:ascii="仿宋_GB2312" w:hAnsi="仿宋_GB2312" w:eastAsia="仿宋_GB2312"/>
          <w:b w:val="0"/>
          <w:sz w:val="32"/>
          <w:lang w:eastAsia="zh-CN"/>
        </w:rPr>
        <w:t>强化</w:t>
      </w:r>
      <w:r>
        <w:rPr>
          <w:rFonts w:ascii="仿宋_GB2312" w:hAnsi="仿宋_GB2312" w:eastAsia="仿宋_GB2312"/>
          <w:b w:val="0"/>
          <w:sz w:val="32"/>
        </w:rPr>
        <w:t>责任落实。绩效管理</w:t>
      </w:r>
      <w:r>
        <w:rPr>
          <w:rFonts w:hint="eastAsia" w:ascii="仿宋_GB2312" w:hAnsi="仿宋_GB2312" w:eastAsia="仿宋_GB2312"/>
          <w:b w:val="0"/>
          <w:sz w:val="32"/>
          <w:lang w:eastAsia="zh-CN"/>
        </w:rPr>
        <w:t>将</w:t>
      </w:r>
      <w:r>
        <w:rPr>
          <w:rFonts w:ascii="仿宋_GB2312" w:hAnsi="仿宋_GB2312" w:eastAsia="仿宋_GB2312"/>
          <w:b w:val="0"/>
          <w:sz w:val="32"/>
        </w:rPr>
        <w:t>责任明确到具体部门和个人，形成了“花钱必问效、无效必问责”的机制，推动单位从“重投入”向“重结果”转变，增强了工作人员的责任意识和担当精神。发现的问题及原因：一是绩效目标设定不够科学精准，绩效目标存在模糊化、笼统化的情况。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细化绩效目标管理，提升目标设定的科学性。加强单位对绩效目标的指导和培训，明确目标需包含可量化的核心指标，并建立目标审核机制，确保目标与项目实际、政策导向紧密衔接。二是健全绩效评价结果应用机制，强化刚性约束。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具体附项目支出绩效自评表和评价报告。</w:t>
      </w:r>
    </w:p>
    <w:p w14:paraId="47E255A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96"/>
      </w:tblGrid>
      <w:tr w14:paraId="3483C526">
        <w:tblPrEx>
          <w:tblCellMar>
            <w:top w:w="0" w:type="dxa"/>
            <w:left w:w="108" w:type="dxa"/>
            <w:bottom w:w="0" w:type="dxa"/>
            <w:right w:w="108" w:type="dxa"/>
          </w:tblCellMar>
        </w:tblPrEx>
        <w:tc>
          <w:tcPr>
            <w:tcW w:w="8848" w:type="dxa"/>
            <w:gridSpan w:val="14"/>
            <w:vAlign w:val="center"/>
          </w:tcPr>
          <w:p w14:paraId="329CF5B8">
            <w:pPr>
              <w:jc w:val="center"/>
            </w:pPr>
            <w:r>
              <w:rPr>
                <w:rFonts w:ascii="宋体" w:hAnsi="宋体" w:eastAsia="宋体"/>
                <w:sz w:val="24"/>
              </w:rPr>
              <w:t>项目支出绩效自评表</w:t>
            </w:r>
          </w:p>
        </w:tc>
      </w:tr>
      <w:tr w14:paraId="753B8586">
        <w:tblPrEx>
          <w:tblCellMar>
            <w:top w:w="0" w:type="dxa"/>
            <w:left w:w="108" w:type="dxa"/>
            <w:bottom w:w="0" w:type="dxa"/>
            <w:right w:w="108" w:type="dxa"/>
          </w:tblCellMar>
        </w:tblPrEx>
        <w:tc>
          <w:tcPr>
            <w:tcW w:w="8848" w:type="dxa"/>
            <w:gridSpan w:val="14"/>
            <w:vAlign w:val="center"/>
          </w:tcPr>
          <w:p w14:paraId="757C0F29">
            <w:pPr>
              <w:jc w:val="center"/>
            </w:pPr>
            <w:r>
              <w:rPr>
                <w:rFonts w:ascii="宋体" w:hAnsi="宋体" w:eastAsia="宋体"/>
                <w:sz w:val="24"/>
              </w:rPr>
              <w:t>(2024年度)</w:t>
            </w:r>
          </w:p>
        </w:tc>
      </w:tr>
      <w:tr w14:paraId="41B292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F7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823826">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巴州救助管理站（未成年人保护中心）天然气管道改造项目</w:t>
            </w:r>
          </w:p>
        </w:tc>
      </w:tr>
      <w:tr w14:paraId="3A6EA5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71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43293B">
            <w:pPr>
              <w:jc w:val="center"/>
            </w:pPr>
            <w:r>
              <w:rPr>
                <w:rFonts w:ascii="宋体" w:hAnsi="宋体" w:eastAsia="宋体"/>
                <w:sz w:val="16"/>
              </w:rPr>
              <w:t>新疆巴音郭楞蒙古自治州救助管理站（流浪少年儿童救助保护中心）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0F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029DEF">
            <w:pPr>
              <w:jc w:val="center"/>
            </w:pPr>
            <w:r>
              <w:rPr>
                <w:rFonts w:ascii="宋体" w:hAnsi="宋体" w:eastAsia="宋体"/>
                <w:sz w:val="16"/>
              </w:rPr>
              <w:t>新疆巴音郭楞蒙古自治州救助管理站（流浪少年儿童救助保护中心）</w:t>
            </w:r>
          </w:p>
        </w:tc>
      </w:tr>
      <w:tr w14:paraId="6BDB1B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EC61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98E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A2A7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A13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3E2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4B16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236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9BFF">
            <w:pPr>
              <w:jc w:val="center"/>
            </w:pPr>
            <w:r>
              <w:rPr>
                <w:rFonts w:ascii="宋体" w:hAnsi="宋体" w:eastAsia="宋体"/>
                <w:sz w:val="16"/>
              </w:rPr>
              <w:t>得分</w:t>
            </w:r>
          </w:p>
        </w:tc>
      </w:tr>
      <w:tr w14:paraId="53FF54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719C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072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563F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448A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782E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0D0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9C54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45B3">
            <w:pPr>
              <w:jc w:val="center"/>
            </w:pPr>
            <w:r>
              <w:rPr>
                <w:rFonts w:ascii="宋体" w:hAnsi="宋体" w:eastAsia="宋体"/>
                <w:sz w:val="16"/>
              </w:rPr>
              <w:t>10.00</w:t>
            </w:r>
          </w:p>
        </w:tc>
      </w:tr>
      <w:tr w14:paraId="19F778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296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A77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31D3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416C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6873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71F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C0A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9EBB">
            <w:pPr>
              <w:jc w:val="center"/>
            </w:pPr>
            <w:r>
              <w:rPr>
                <w:rFonts w:ascii="宋体" w:hAnsi="宋体" w:eastAsia="宋体"/>
                <w:sz w:val="16"/>
              </w:rPr>
              <w:t>-</w:t>
            </w:r>
          </w:p>
        </w:tc>
      </w:tr>
      <w:tr w14:paraId="4B11B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B8F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9FB2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BF2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1D0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FD9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CF7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4C3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09A8">
            <w:pPr>
              <w:jc w:val="center"/>
            </w:pPr>
            <w:r>
              <w:rPr>
                <w:rFonts w:ascii="宋体" w:hAnsi="宋体" w:eastAsia="宋体"/>
                <w:sz w:val="16"/>
              </w:rPr>
              <w:t>-</w:t>
            </w:r>
          </w:p>
        </w:tc>
      </w:tr>
      <w:tr w14:paraId="4EA4BA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6A74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A1AF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D7C485">
            <w:pPr>
              <w:jc w:val="center"/>
            </w:pPr>
            <w:r>
              <w:rPr>
                <w:rFonts w:ascii="宋体" w:hAnsi="宋体" w:eastAsia="宋体"/>
                <w:sz w:val="16"/>
              </w:rPr>
              <w:t>总体目标完成情况</w:t>
            </w:r>
          </w:p>
        </w:tc>
      </w:tr>
      <w:tr w14:paraId="05F43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74C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6D6824">
            <w:pPr>
              <w:jc w:val="both"/>
            </w:pPr>
            <w:r>
              <w:rPr>
                <w:rFonts w:ascii="宋体" w:hAnsi="宋体" w:eastAsia="宋体"/>
                <w:sz w:val="16"/>
              </w:rPr>
              <w:t>根据巴财综</w:t>
            </w:r>
            <w:r>
              <w:rPr>
                <w:rFonts w:hint="eastAsia" w:ascii="宋体" w:hAnsi="宋体"/>
                <w:sz w:val="16"/>
                <w:lang w:eastAsia="zh-CN"/>
              </w:rPr>
              <w:t>〔2024〕7号</w:t>
            </w:r>
            <w:r>
              <w:rPr>
                <w:rFonts w:ascii="宋体" w:hAnsi="宋体" w:eastAsia="宋体"/>
                <w:sz w:val="16"/>
              </w:rPr>
              <w:t>、巴财预追</w:t>
            </w:r>
            <w:r>
              <w:rPr>
                <w:rFonts w:hint="eastAsia" w:ascii="宋体" w:hAnsi="宋体"/>
                <w:sz w:val="16"/>
                <w:lang w:eastAsia="zh-CN"/>
              </w:rPr>
              <w:t>〔2024〕40号</w:t>
            </w:r>
            <w:r>
              <w:rPr>
                <w:rFonts w:ascii="宋体" w:hAnsi="宋体" w:eastAsia="宋体"/>
                <w:sz w:val="16"/>
              </w:rPr>
              <w:t>文件通知要求，通过改造供水线路管道、安装天然气报警器工程数量1个，改造工程面积3531.57平方米；达到提高用水质量，优化工作环境，保障用气安全的效果。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B13CAA">
            <w:pPr>
              <w:jc w:val="both"/>
            </w:pPr>
            <w:r>
              <w:rPr>
                <w:rFonts w:ascii="宋体" w:hAnsi="宋体" w:eastAsia="宋体"/>
                <w:sz w:val="16"/>
              </w:rPr>
              <w:t>截至2024年底，该项目资金已改造供水线路管道、安装天然气报警器工程数量1个，改造工程面积3531.57平方米；达到了提高用水质量，优化了工作环境，消除天然气管道安全隐患，保障供气稳定、安全的效果。</w:t>
            </w:r>
          </w:p>
        </w:tc>
      </w:tr>
      <w:tr w14:paraId="4FB850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B3C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DB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5B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81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E1A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4C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FAC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FD1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143A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555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7B9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FE83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40A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EFB4">
            <w:pPr>
              <w:jc w:val="center"/>
            </w:pPr>
            <w:r>
              <w:rPr>
                <w:rFonts w:ascii="宋体" w:hAnsi="宋体" w:eastAsia="宋体"/>
                <w:sz w:val="16"/>
              </w:rPr>
              <w:t>偏差原因分析及改进措施</w:t>
            </w:r>
          </w:p>
        </w:tc>
      </w:tr>
      <w:tr w14:paraId="75E43C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207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8BAF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13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2C15">
            <w:pPr>
              <w:jc w:val="center"/>
            </w:pPr>
            <w:r>
              <w:rPr>
                <w:rFonts w:ascii="宋体" w:hAnsi="宋体" w:eastAsia="宋体"/>
                <w:sz w:val="16"/>
              </w:rPr>
              <w:t>改造工程数量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222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F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02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A6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7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15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E1A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7A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E1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56C0">
            <w:pPr>
              <w:jc w:val="center"/>
            </w:pPr>
          </w:p>
        </w:tc>
      </w:tr>
      <w:tr w14:paraId="69DDA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3C7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5DC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AD7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935D">
            <w:pPr>
              <w:jc w:val="center"/>
            </w:pPr>
            <w:r>
              <w:rPr>
                <w:rFonts w:ascii="宋体" w:hAnsi="宋体" w:eastAsia="宋体"/>
                <w:sz w:val="16"/>
              </w:rPr>
              <w:t>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CC2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87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3E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39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F4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4C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3D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03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AEE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DBC1">
            <w:pPr>
              <w:jc w:val="center"/>
            </w:pPr>
            <w:r>
              <w:rPr>
                <w:rFonts w:ascii="宋体" w:hAnsi="宋体" w:eastAsia="宋体"/>
                <w:sz w:val="16"/>
              </w:rPr>
              <w:t>偏差原因：该项目资金按照合同约定，竣工验收后一次性付款。改进措施：严格落实规范支付流程。</w:t>
            </w:r>
          </w:p>
        </w:tc>
      </w:tr>
      <w:tr w14:paraId="55FDEE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916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E41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FF5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9A11">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16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E8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88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BB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B6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60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C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DB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63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D1F1">
            <w:pPr>
              <w:jc w:val="center"/>
            </w:pPr>
          </w:p>
        </w:tc>
      </w:tr>
      <w:tr w14:paraId="13DA0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1B7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E0D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282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87F9">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1F67">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9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B5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D1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32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C3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A293">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E0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3D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1A8F">
            <w:pPr>
              <w:jc w:val="center"/>
            </w:pPr>
            <w:r>
              <w:rPr>
                <w:rFonts w:ascii="宋体" w:hAnsi="宋体" w:eastAsia="宋体"/>
                <w:sz w:val="16"/>
              </w:rPr>
              <w:t>偏差原因：该项目实际2024年7月开工，2024年8月竣工。改进措施：严格落实计划开工。</w:t>
            </w:r>
          </w:p>
        </w:tc>
      </w:tr>
      <w:tr w14:paraId="6E0DB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46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FA5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FE0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133A">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15C4">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15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F1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EB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817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E0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DF3B">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D3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3B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F22E">
            <w:pPr>
              <w:jc w:val="center"/>
            </w:pPr>
          </w:p>
        </w:tc>
      </w:tr>
      <w:tr w14:paraId="6711D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2C7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2921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49E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AC6B">
            <w:pPr>
              <w:jc w:val="center"/>
            </w:pPr>
            <w:r>
              <w:rPr>
                <w:rFonts w:ascii="宋体" w:hAnsi="宋体" w:eastAsia="宋体"/>
                <w:sz w:val="16"/>
              </w:rPr>
              <w:t>供水线路管道费用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3A1D">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86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4D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33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27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B5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AF96">
            <w:pPr>
              <w:jc w:val="center"/>
            </w:pPr>
            <w:r>
              <w:rPr>
                <w:rFonts w:ascii="宋体" w:hAnsi="宋体" w:eastAsia="宋体"/>
                <w:sz w:val="16"/>
              </w:rPr>
              <w:t>=6.1万元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906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F85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B552">
            <w:pPr>
              <w:jc w:val="center"/>
            </w:pPr>
            <w:r>
              <w:rPr>
                <w:rFonts w:ascii="宋体" w:hAnsi="宋体" w:eastAsia="宋体"/>
                <w:sz w:val="16"/>
              </w:rPr>
              <w:t>偏差原因：初步预算6万元，实际支出6.1万元。改进措施：进一步细化预算规范。</w:t>
            </w:r>
          </w:p>
        </w:tc>
      </w:tr>
      <w:tr w14:paraId="53D90F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BF0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B09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947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15F07">
            <w:pPr>
              <w:jc w:val="center"/>
            </w:pPr>
            <w:r>
              <w:rPr>
                <w:rFonts w:ascii="宋体" w:hAnsi="宋体" w:eastAsia="宋体"/>
                <w:sz w:val="16"/>
              </w:rPr>
              <w:t>安装天然气报警器费用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B88C">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85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29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1F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0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87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A4B6">
            <w:pPr>
              <w:jc w:val="center"/>
            </w:pPr>
            <w:r>
              <w:rPr>
                <w:rFonts w:ascii="宋体" w:hAnsi="宋体" w:eastAsia="宋体"/>
                <w:sz w:val="16"/>
              </w:rPr>
              <w: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9D5C">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B30B">
            <w:pPr>
              <w:jc w:val="center"/>
            </w:pPr>
            <w:r>
              <w:rPr>
                <w:rFonts w:ascii="宋体" w:hAnsi="宋体" w:eastAsia="宋体"/>
                <w:sz w:val="16"/>
              </w:rPr>
              <w:t>9.38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807D7">
            <w:pPr>
              <w:jc w:val="center"/>
            </w:pPr>
            <w:r>
              <w:rPr>
                <w:rFonts w:ascii="宋体" w:hAnsi="宋体" w:eastAsia="宋体"/>
                <w:sz w:val="16"/>
              </w:rPr>
              <w:t>偏差原因：初步预算4万元，实际支出3.9万元。改进措施：进一步细化预算规范。</w:t>
            </w:r>
          </w:p>
        </w:tc>
      </w:tr>
      <w:tr w14:paraId="639B8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E75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9D8F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E0B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542E">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355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09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16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E9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56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F8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28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8E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4A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1D7A">
            <w:pPr>
              <w:jc w:val="center"/>
            </w:pPr>
            <w:r>
              <w:rPr>
                <w:rFonts w:ascii="宋体" w:hAnsi="宋体" w:eastAsia="宋体"/>
                <w:sz w:val="16"/>
              </w:rPr>
              <w:t>偏差原因：通过该项目实施，保障救助站供水正常，燃气使用安全率提升，进一步强化安全生产工作。改进措施：加强后期使用和保养。</w:t>
            </w:r>
          </w:p>
        </w:tc>
      </w:tr>
      <w:tr w14:paraId="6E08C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876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46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E75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1FF1">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9BAD">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C3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C1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CF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B3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7E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CED3">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7E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01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7EFC">
            <w:pPr>
              <w:jc w:val="center"/>
            </w:pPr>
          </w:p>
        </w:tc>
      </w:tr>
      <w:tr w14:paraId="7424F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284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30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8E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D7E9">
            <w:pPr>
              <w:jc w:val="center"/>
            </w:pPr>
            <w:r>
              <w:rPr>
                <w:rFonts w:ascii="宋体" w:hAnsi="宋体" w:eastAsia="宋体"/>
                <w:sz w:val="16"/>
              </w:rPr>
              <w:t>救助站工作人员满意度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D3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BF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60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55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6F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D0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9D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4568">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40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0EB2">
            <w:pPr>
              <w:jc w:val="center"/>
            </w:pPr>
            <w:r>
              <w:rPr>
                <w:rFonts w:ascii="宋体" w:hAnsi="宋体" w:eastAsia="宋体"/>
                <w:sz w:val="16"/>
              </w:rPr>
              <w:t>偏差原因：工作人员满意度达到100%。改进措施：提供服务水平，加强员工培训，广泛收集意见、建议。</w:t>
            </w:r>
          </w:p>
        </w:tc>
      </w:tr>
      <w:tr w14:paraId="088CC47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7194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359C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8603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253B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12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57A9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718E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F7F7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189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01E7">
            <w:pPr>
              <w:jc w:val="center"/>
            </w:pPr>
            <w:r>
              <w:rPr>
                <w:rFonts w:ascii="宋体" w:hAnsi="宋体" w:eastAsia="宋体"/>
                <w:sz w:val="16"/>
              </w:rPr>
              <w:t>84.38分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465DE3"/>
        </w:tc>
      </w:tr>
    </w:tbl>
    <w:p w14:paraId="53E662B0">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5"/>
        <w:gridCol w:w="615"/>
        <w:gridCol w:w="620"/>
        <w:gridCol w:w="615"/>
        <w:gridCol w:w="615"/>
        <w:gridCol w:w="856"/>
        <w:gridCol w:w="696"/>
        <w:gridCol w:w="631"/>
        <w:gridCol w:w="631"/>
      </w:tblGrid>
      <w:tr w14:paraId="76AAE900">
        <w:tblPrEx>
          <w:tblCellMar>
            <w:top w:w="0" w:type="dxa"/>
            <w:left w:w="108" w:type="dxa"/>
            <w:bottom w:w="0" w:type="dxa"/>
            <w:right w:w="108" w:type="dxa"/>
          </w:tblCellMar>
        </w:tblPrEx>
        <w:tc>
          <w:tcPr>
            <w:tcW w:w="8848" w:type="dxa"/>
            <w:gridSpan w:val="14"/>
            <w:vAlign w:val="center"/>
          </w:tcPr>
          <w:p w14:paraId="47A051C9">
            <w:pPr>
              <w:jc w:val="center"/>
            </w:pPr>
            <w:r>
              <w:rPr>
                <w:rFonts w:ascii="宋体" w:hAnsi="宋体" w:eastAsia="宋体"/>
                <w:sz w:val="24"/>
              </w:rPr>
              <w:t>项目支出绩效自评表</w:t>
            </w:r>
          </w:p>
        </w:tc>
      </w:tr>
      <w:tr w14:paraId="23D303B7">
        <w:tblPrEx>
          <w:tblCellMar>
            <w:top w:w="0" w:type="dxa"/>
            <w:left w:w="108" w:type="dxa"/>
            <w:bottom w:w="0" w:type="dxa"/>
            <w:right w:w="108" w:type="dxa"/>
          </w:tblCellMar>
        </w:tblPrEx>
        <w:tc>
          <w:tcPr>
            <w:tcW w:w="8848" w:type="dxa"/>
            <w:gridSpan w:val="14"/>
            <w:vAlign w:val="center"/>
          </w:tcPr>
          <w:p w14:paraId="63CA788E">
            <w:pPr>
              <w:jc w:val="center"/>
            </w:pPr>
            <w:r>
              <w:rPr>
                <w:rFonts w:ascii="宋体" w:hAnsi="宋体" w:eastAsia="宋体"/>
                <w:sz w:val="24"/>
              </w:rPr>
              <w:t>(2024年度)</w:t>
            </w:r>
          </w:p>
        </w:tc>
      </w:tr>
      <w:tr w14:paraId="2938C7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FE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3C87C8">
            <w:pPr>
              <w:jc w:val="center"/>
            </w:pPr>
            <w:r>
              <w:rPr>
                <w:rFonts w:ascii="宋体" w:hAnsi="宋体" w:eastAsia="宋体"/>
                <w:sz w:val="16"/>
              </w:rPr>
              <w:t>2024年巴州救助站困难群众救助项目</w:t>
            </w:r>
          </w:p>
        </w:tc>
      </w:tr>
      <w:tr w14:paraId="21C225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14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94A740">
            <w:pPr>
              <w:jc w:val="center"/>
            </w:pPr>
            <w:r>
              <w:rPr>
                <w:rFonts w:ascii="宋体" w:hAnsi="宋体" w:eastAsia="宋体"/>
                <w:sz w:val="16"/>
              </w:rPr>
              <w:t>新疆巴音郭楞蒙古自治州救助管理站（流浪少年儿童救助保护中心）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E4E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0AE217">
            <w:pPr>
              <w:jc w:val="center"/>
            </w:pPr>
            <w:r>
              <w:rPr>
                <w:rFonts w:ascii="宋体" w:hAnsi="宋体" w:eastAsia="宋体"/>
                <w:sz w:val="16"/>
              </w:rPr>
              <w:t>新疆巴音郭楞蒙古自治州救助管理站（流浪少年儿童救助保护中心）</w:t>
            </w:r>
          </w:p>
        </w:tc>
      </w:tr>
      <w:tr w14:paraId="4B333A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8929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CAB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DFF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6AD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A6E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268F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C6D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7B96">
            <w:pPr>
              <w:jc w:val="center"/>
            </w:pPr>
            <w:r>
              <w:rPr>
                <w:rFonts w:ascii="宋体" w:hAnsi="宋体" w:eastAsia="宋体"/>
                <w:sz w:val="16"/>
              </w:rPr>
              <w:t>得分</w:t>
            </w:r>
          </w:p>
        </w:tc>
      </w:tr>
      <w:tr w14:paraId="151282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1E7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EB3D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2744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3231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E6604">
            <w:pPr>
              <w:jc w:val="center"/>
            </w:pPr>
            <w:r>
              <w:rPr>
                <w:rFonts w:ascii="宋体" w:hAnsi="宋体" w:eastAsia="宋体"/>
                <w:sz w:val="16"/>
              </w:rPr>
              <w:t>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B54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4D9A1">
            <w:pPr>
              <w:jc w:val="center"/>
            </w:pPr>
            <w:r>
              <w:rPr>
                <w:rFonts w:ascii="宋体" w:hAnsi="宋体" w:eastAsia="宋体"/>
                <w:sz w:val="16"/>
              </w:rPr>
              <w:t>99.80%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7D6B">
            <w:pPr>
              <w:jc w:val="center"/>
            </w:pPr>
            <w:r>
              <w:rPr>
                <w:rFonts w:ascii="宋体" w:hAnsi="宋体" w:eastAsia="宋体"/>
                <w:sz w:val="16"/>
              </w:rPr>
              <w:t>10.00</w:t>
            </w:r>
          </w:p>
        </w:tc>
      </w:tr>
      <w:tr w14:paraId="280EA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EBE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F1E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0FD7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4D44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91B15">
            <w:pPr>
              <w:jc w:val="center"/>
            </w:pPr>
            <w:r>
              <w:rPr>
                <w:rFonts w:ascii="宋体" w:hAnsi="宋体" w:eastAsia="宋体"/>
                <w:sz w:val="16"/>
              </w:rPr>
              <w:t>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14D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854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6687">
            <w:pPr>
              <w:jc w:val="center"/>
            </w:pPr>
            <w:r>
              <w:rPr>
                <w:rFonts w:ascii="宋体" w:hAnsi="宋体" w:eastAsia="宋体"/>
                <w:sz w:val="16"/>
              </w:rPr>
              <w:t>-</w:t>
            </w:r>
          </w:p>
        </w:tc>
      </w:tr>
      <w:tr w14:paraId="48C69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351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156C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B2A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D01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510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AFB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BF9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23BE">
            <w:pPr>
              <w:jc w:val="center"/>
            </w:pPr>
            <w:r>
              <w:rPr>
                <w:rFonts w:ascii="宋体" w:hAnsi="宋体" w:eastAsia="宋体"/>
                <w:sz w:val="16"/>
              </w:rPr>
              <w:t>-</w:t>
            </w:r>
          </w:p>
        </w:tc>
      </w:tr>
      <w:tr w14:paraId="3801A5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234C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69C64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6B2D61">
            <w:pPr>
              <w:jc w:val="center"/>
            </w:pPr>
            <w:r>
              <w:rPr>
                <w:rFonts w:ascii="宋体" w:hAnsi="宋体" w:eastAsia="宋体"/>
                <w:sz w:val="16"/>
              </w:rPr>
              <w:t>总体目标完成情况</w:t>
            </w:r>
          </w:p>
        </w:tc>
      </w:tr>
      <w:tr w14:paraId="6038A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132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F00D95">
            <w:pPr>
              <w:jc w:val="both"/>
            </w:pPr>
            <w:r>
              <w:rPr>
                <w:rFonts w:ascii="宋体" w:hAnsi="宋体" w:eastAsia="宋体"/>
                <w:sz w:val="16"/>
              </w:rPr>
              <w:t>为生活无着流浪乞讨人员提供协助返乡救助，对于需要返乡的流浪乞讨人员及时协助送其返乡至少25次，预计救助人员得到妥善安置，进一步完善流浪乞讨人员返乡救助。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A52196">
            <w:pPr>
              <w:jc w:val="both"/>
            </w:pPr>
            <w:r>
              <w:rPr>
                <w:rFonts w:ascii="宋体" w:hAnsi="宋体" w:eastAsia="宋体"/>
                <w:sz w:val="16"/>
              </w:rPr>
              <w:t>通过合理使用该项目资金，顺利护送返乡40人，有效解决了生活无着流浪乞讨人员因经济困难或身体不便而面临的返乡难题，确保资金使用的合规性与效益最大化。</w:t>
            </w:r>
          </w:p>
        </w:tc>
      </w:tr>
      <w:tr w14:paraId="27D145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587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8FA2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24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1A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8B3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531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DC8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EA8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5FD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68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693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773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1A7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50A0">
            <w:pPr>
              <w:jc w:val="center"/>
            </w:pPr>
            <w:r>
              <w:rPr>
                <w:rFonts w:ascii="宋体" w:hAnsi="宋体" w:eastAsia="宋体"/>
                <w:sz w:val="16"/>
              </w:rPr>
              <w:t>偏差原因分析及改进措施</w:t>
            </w:r>
          </w:p>
        </w:tc>
      </w:tr>
      <w:tr w14:paraId="650B4F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2E0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420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40A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C11E">
            <w:pPr>
              <w:jc w:val="center"/>
            </w:pPr>
            <w:r>
              <w:rPr>
                <w:rFonts w:ascii="宋体" w:hAnsi="宋体" w:eastAsia="宋体"/>
                <w:sz w:val="16"/>
              </w:rPr>
              <w:t>护送返乡工作人员人次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B86F">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5E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A6D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33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E1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DB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5C93">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34BE">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723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E343">
            <w:pPr>
              <w:jc w:val="center"/>
            </w:pPr>
            <w:r>
              <w:rPr>
                <w:rFonts w:ascii="宋体" w:hAnsi="宋体" w:eastAsia="宋体"/>
                <w:sz w:val="16"/>
              </w:rPr>
              <w:t>偏差原因：由于护送返乡救助量的不确定性，根据实际救助情况护送返乡。改进措施：严格按照护送返乡程序落实护送。</w:t>
            </w:r>
          </w:p>
        </w:tc>
      </w:tr>
      <w:tr w14:paraId="4593C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5A4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E5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CE4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BD09">
            <w:pPr>
              <w:jc w:val="center"/>
            </w:pPr>
            <w:r>
              <w:rPr>
                <w:rFonts w:ascii="宋体" w:hAnsi="宋体" w:eastAsia="宋体"/>
                <w:sz w:val="16"/>
              </w:rPr>
              <w:t>护送返乡工作人员出差次数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CBEA">
            <w:pPr>
              <w:jc w:val="center"/>
            </w:pPr>
            <w:r>
              <w:rPr>
                <w:rFonts w:ascii="宋体" w:hAnsi="宋体" w:eastAsia="宋体"/>
                <w:sz w:val="16"/>
              </w:rPr>
              <w:t>&gt;=25次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E5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20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61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1B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6F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A876">
            <w:pPr>
              <w:jc w:val="center"/>
            </w:pPr>
            <w:r>
              <w:rPr>
                <w:rFonts w:ascii="宋体" w:hAnsi="宋体" w:eastAsia="宋体"/>
                <w:sz w:val="16"/>
              </w:rPr>
              <w: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A820">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F1A6">
            <w:pPr>
              <w:jc w:val="center"/>
            </w:pPr>
            <w:r>
              <w:rPr>
                <w:rFonts w:ascii="宋体" w:hAnsi="宋体" w:eastAsia="宋体"/>
                <w:sz w:val="16"/>
              </w:rPr>
              <w: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A709">
            <w:pPr>
              <w:jc w:val="center"/>
            </w:pPr>
            <w:r>
              <w:rPr>
                <w:rFonts w:ascii="宋体" w:hAnsi="宋体" w:eastAsia="宋体"/>
                <w:sz w:val="16"/>
              </w:rPr>
              <w:t>偏差原因：由于护送返乡救助量的不确定性，根据实际救助情况护送返乡。改进措施：严格按照护送返乡程序落实护送。</w:t>
            </w:r>
          </w:p>
        </w:tc>
      </w:tr>
      <w:tr w14:paraId="6E545E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A68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988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9A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5339">
            <w:pPr>
              <w:jc w:val="center"/>
            </w:pPr>
            <w:r>
              <w:rPr>
                <w:rFonts w:ascii="宋体" w:hAnsi="宋体" w:eastAsia="宋体"/>
                <w:sz w:val="16"/>
              </w:rPr>
              <w:t>流浪乞讨人员返乡救助率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CD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8F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4A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15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5C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899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A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40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51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131B">
            <w:pPr>
              <w:jc w:val="center"/>
            </w:pPr>
          </w:p>
        </w:tc>
      </w:tr>
      <w:tr w14:paraId="399E56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DE2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DF9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4F3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8464">
            <w:pPr>
              <w:jc w:val="center"/>
            </w:pPr>
            <w:r>
              <w:rPr>
                <w:rFonts w:ascii="宋体" w:hAnsi="宋体" w:eastAsia="宋体"/>
                <w:sz w:val="16"/>
              </w:rPr>
              <w:t>流浪乞讨人员求助当天登记及时率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40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C4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88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D6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B1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10C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17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59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1B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3595">
            <w:pPr>
              <w:jc w:val="center"/>
            </w:pPr>
            <w:r>
              <w:rPr>
                <w:rFonts w:ascii="宋体" w:hAnsi="宋体" w:eastAsia="宋体"/>
                <w:sz w:val="16"/>
              </w:rPr>
              <w:t>偏差原因：严格按照救助程序，应救尽救</w:t>
            </w:r>
            <w:r>
              <w:rPr>
                <w:rFonts w:hint="eastAsia" w:ascii="宋体" w:hAnsi="宋体"/>
                <w:sz w:val="16"/>
                <w:lang w:eastAsia="zh-CN"/>
              </w:rPr>
              <w:t>的</w:t>
            </w:r>
            <w:r>
              <w:rPr>
                <w:rFonts w:ascii="宋体" w:hAnsi="宋体" w:eastAsia="宋体"/>
                <w:sz w:val="16"/>
              </w:rPr>
              <w:t>原则登记。改进措施：严格按照救助要求经甄别后登记系统。</w:t>
            </w:r>
          </w:p>
        </w:tc>
      </w:tr>
      <w:tr w14:paraId="41E607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53C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BF9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72F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D186">
            <w:pPr>
              <w:jc w:val="center"/>
            </w:pPr>
            <w:r>
              <w:rPr>
                <w:rFonts w:ascii="宋体" w:hAnsi="宋体" w:eastAsia="宋体"/>
                <w:sz w:val="16"/>
              </w:rPr>
              <w:t>护送流浪乞讨人员返乡差旅费报销及时率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FB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A2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15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0C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75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AD3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87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FD4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3E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6F36">
            <w:pPr>
              <w:jc w:val="center"/>
            </w:pPr>
          </w:p>
        </w:tc>
      </w:tr>
      <w:tr w14:paraId="51CE4D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A5D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0F1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BB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A53B">
            <w:pPr>
              <w:jc w:val="center"/>
            </w:pPr>
            <w:r>
              <w:rPr>
                <w:rFonts w:ascii="宋体" w:hAnsi="宋体" w:eastAsia="宋体"/>
                <w:sz w:val="16"/>
              </w:rPr>
              <w:t>平均每次差旅费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DB99">
            <w:pPr>
              <w:jc w:val="center"/>
            </w:pPr>
            <w:r>
              <w:rPr>
                <w:rFonts w:ascii="宋体" w:hAnsi="宋体" w:eastAsia="宋体"/>
                <w:sz w:val="16"/>
              </w:rPr>
              <w:t>&lt;=2000元/次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32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2D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AF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56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3C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FF1F">
            <w:pPr>
              <w:jc w:val="center"/>
            </w:pPr>
            <w:r>
              <w:rPr>
                <w:rFonts w:ascii="宋体" w:hAnsi="宋体" w:eastAsia="宋体"/>
                <w:sz w:val="16"/>
              </w:rPr>
              <w:t>=1781.12元/次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58EE">
            <w:pPr>
              <w:jc w:val="center"/>
            </w:pPr>
            <w:r>
              <w:rPr>
                <w:rFonts w:ascii="宋体" w:hAnsi="宋体" w:eastAsia="宋体"/>
                <w:sz w:val="16"/>
              </w:rPr>
              <w:t>89.06%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D1F0">
            <w:pPr>
              <w:jc w:val="center"/>
            </w:pPr>
            <w:r>
              <w:rPr>
                <w:rFonts w:ascii="宋体" w:hAnsi="宋体" w:eastAsia="宋体"/>
                <w:sz w:val="16"/>
              </w:rPr>
              <w:t>14.53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FD75">
            <w:pPr>
              <w:jc w:val="center"/>
            </w:pPr>
            <w:r>
              <w:rPr>
                <w:rFonts w:ascii="宋体" w:hAnsi="宋体" w:eastAsia="宋体"/>
                <w:sz w:val="16"/>
              </w:rPr>
              <w:t>偏差原因：由于护送返乡救助量的不确定性，根据实际救助情况支出。改进措施：按照护送返乡差旅费标准支出。</w:t>
            </w:r>
          </w:p>
        </w:tc>
      </w:tr>
      <w:tr w14:paraId="6BD126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B89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AAC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9B5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9FAD">
            <w:pPr>
              <w:jc w:val="center"/>
            </w:pPr>
            <w:r>
              <w:rPr>
                <w:rFonts w:ascii="宋体" w:hAnsi="宋体" w:eastAsia="宋体"/>
                <w:sz w:val="16"/>
              </w:rPr>
              <w:t>流浪乞讨人员受益人数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A31C">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F0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C3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99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DC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33C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99EF">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1108">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10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B494">
            <w:pPr>
              <w:jc w:val="center"/>
            </w:pPr>
            <w:r>
              <w:rPr>
                <w:rFonts w:ascii="宋体" w:hAnsi="宋体" w:eastAsia="宋体"/>
                <w:sz w:val="16"/>
              </w:rPr>
              <w:t>偏差原因：根据实际救助量确定受益人数。改进措施：积极开展巡街将需返乡救助人员及时护送返乡。</w:t>
            </w:r>
          </w:p>
        </w:tc>
      </w:tr>
      <w:tr w14:paraId="6ED3D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CEE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7C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9D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7A86">
            <w:pPr>
              <w:jc w:val="center"/>
            </w:pPr>
            <w:r>
              <w:rPr>
                <w:rFonts w:ascii="宋体" w:hAnsi="宋体" w:eastAsia="宋体"/>
                <w:sz w:val="16"/>
              </w:rPr>
              <w:t>出差人员满意度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FA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CB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F6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3B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F4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C5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9F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1D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EA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9F25">
            <w:pPr>
              <w:jc w:val="center"/>
            </w:pPr>
          </w:p>
        </w:tc>
      </w:tr>
      <w:tr w14:paraId="160C69F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6B6E4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1F76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B40C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FC24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9D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5EEA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108D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9EBC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362F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8774">
            <w:pPr>
              <w:jc w:val="center"/>
            </w:pPr>
            <w:r>
              <w:rPr>
                <w:rFonts w:ascii="宋体" w:hAnsi="宋体" w:eastAsia="宋体"/>
                <w:sz w:val="16"/>
              </w:rPr>
              <w:t>81.33分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AC3C71"/>
        </w:tc>
      </w:tr>
    </w:tbl>
    <w:p w14:paraId="5560D07A">
      <w:r>
        <w:br w:type="page"/>
      </w:r>
    </w:p>
    <w:tbl>
      <w:tblPr>
        <w:tblStyle w:val="9"/>
        <w:tblW w:w="0" w:type="auto"/>
        <w:tblInd w:w="0" w:type="dxa"/>
        <w:tblLayout w:type="autofit"/>
        <w:tblCellMar>
          <w:top w:w="0" w:type="dxa"/>
          <w:left w:w="108" w:type="dxa"/>
          <w:bottom w:w="0" w:type="dxa"/>
          <w:right w:w="108" w:type="dxa"/>
        </w:tblCellMar>
      </w:tblPr>
      <w:tblGrid>
        <w:gridCol w:w="611"/>
        <w:gridCol w:w="580"/>
        <w:gridCol w:w="580"/>
        <w:gridCol w:w="612"/>
        <w:gridCol w:w="936"/>
        <w:gridCol w:w="580"/>
        <w:gridCol w:w="612"/>
        <w:gridCol w:w="596"/>
        <w:gridCol w:w="580"/>
        <w:gridCol w:w="580"/>
        <w:gridCol w:w="856"/>
        <w:gridCol w:w="612"/>
        <w:gridCol w:w="696"/>
        <w:gridCol w:w="629"/>
      </w:tblGrid>
      <w:tr w14:paraId="0BBD0B91">
        <w:tblPrEx>
          <w:tblCellMar>
            <w:top w:w="0" w:type="dxa"/>
            <w:left w:w="108" w:type="dxa"/>
            <w:bottom w:w="0" w:type="dxa"/>
            <w:right w:w="108" w:type="dxa"/>
          </w:tblCellMar>
        </w:tblPrEx>
        <w:tc>
          <w:tcPr>
            <w:tcW w:w="8848" w:type="dxa"/>
            <w:gridSpan w:val="14"/>
            <w:vAlign w:val="center"/>
          </w:tcPr>
          <w:p w14:paraId="088C0510">
            <w:pPr>
              <w:jc w:val="center"/>
            </w:pPr>
            <w:r>
              <w:rPr>
                <w:rFonts w:ascii="宋体" w:hAnsi="宋体" w:eastAsia="宋体"/>
                <w:sz w:val="24"/>
              </w:rPr>
              <w:t>项目支出绩效自评表</w:t>
            </w:r>
          </w:p>
        </w:tc>
      </w:tr>
      <w:tr w14:paraId="789CCD20">
        <w:tblPrEx>
          <w:tblCellMar>
            <w:top w:w="0" w:type="dxa"/>
            <w:left w:w="108" w:type="dxa"/>
            <w:bottom w:w="0" w:type="dxa"/>
            <w:right w:w="108" w:type="dxa"/>
          </w:tblCellMar>
        </w:tblPrEx>
        <w:tc>
          <w:tcPr>
            <w:tcW w:w="8848" w:type="dxa"/>
            <w:gridSpan w:val="14"/>
            <w:vAlign w:val="center"/>
          </w:tcPr>
          <w:p w14:paraId="437CA64B">
            <w:pPr>
              <w:jc w:val="center"/>
            </w:pPr>
            <w:r>
              <w:rPr>
                <w:rFonts w:ascii="宋体" w:hAnsi="宋体" w:eastAsia="宋体"/>
                <w:sz w:val="24"/>
              </w:rPr>
              <w:t>(2024年度)</w:t>
            </w:r>
          </w:p>
        </w:tc>
      </w:tr>
      <w:tr w14:paraId="3B3404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91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240D5A">
            <w:pPr>
              <w:jc w:val="center"/>
            </w:pPr>
            <w:r>
              <w:rPr>
                <w:rFonts w:ascii="宋体" w:hAnsi="宋体" w:eastAsia="宋体"/>
                <w:sz w:val="16"/>
              </w:rPr>
              <w:t>关于提前下达2024年中央财政困难群众救助补助资金项目</w:t>
            </w:r>
          </w:p>
        </w:tc>
      </w:tr>
      <w:tr w14:paraId="6857D6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E1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565B83">
            <w:pPr>
              <w:jc w:val="center"/>
            </w:pPr>
            <w:r>
              <w:rPr>
                <w:rFonts w:ascii="宋体" w:hAnsi="宋体" w:eastAsia="宋体"/>
                <w:sz w:val="16"/>
              </w:rPr>
              <w:t>新疆巴音郭楞蒙古自治州救助管理站（流浪少年儿童救助保护中心）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BA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CD1AA3">
            <w:pPr>
              <w:jc w:val="center"/>
            </w:pPr>
            <w:r>
              <w:rPr>
                <w:rFonts w:ascii="宋体" w:hAnsi="宋体" w:eastAsia="宋体"/>
                <w:sz w:val="16"/>
              </w:rPr>
              <w:t>新疆巴音郭楞蒙古自治州救助管理站（流浪少年儿童救助保护中心）</w:t>
            </w:r>
          </w:p>
        </w:tc>
      </w:tr>
      <w:tr w14:paraId="5F45AB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B126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6D5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876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F91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04D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90BB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F05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1CCF">
            <w:pPr>
              <w:jc w:val="center"/>
            </w:pPr>
            <w:r>
              <w:rPr>
                <w:rFonts w:ascii="宋体" w:hAnsi="宋体" w:eastAsia="宋体"/>
                <w:sz w:val="16"/>
              </w:rPr>
              <w:t>得分</w:t>
            </w:r>
          </w:p>
        </w:tc>
      </w:tr>
      <w:tr w14:paraId="0A30D0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72FF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F7A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577FB">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96B0E">
            <w:pPr>
              <w:jc w:val="center"/>
            </w:pPr>
            <w:r>
              <w:rPr>
                <w:rFonts w:ascii="宋体" w:hAnsi="宋体" w:eastAsia="宋体"/>
                <w:sz w:val="16"/>
              </w:rPr>
              <w:t>139.72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30228">
            <w:pPr>
              <w:jc w:val="center"/>
            </w:pPr>
            <w:r>
              <w:rPr>
                <w:rFonts w:ascii="宋体" w:hAnsi="宋体" w:eastAsia="宋体"/>
                <w:sz w:val="16"/>
              </w:rPr>
              <w:t>139.72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4A0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4830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FDA0">
            <w:pPr>
              <w:jc w:val="center"/>
            </w:pPr>
            <w:r>
              <w:rPr>
                <w:rFonts w:ascii="宋体" w:hAnsi="宋体" w:eastAsia="宋体"/>
                <w:sz w:val="16"/>
              </w:rPr>
              <w:t>10.00</w:t>
            </w:r>
          </w:p>
        </w:tc>
      </w:tr>
      <w:tr w14:paraId="1F70A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552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5FC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AD662">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8B38E">
            <w:pPr>
              <w:jc w:val="center"/>
            </w:pPr>
            <w:r>
              <w:rPr>
                <w:rFonts w:ascii="宋体" w:hAnsi="宋体" w:eastAsia="宋体"/>
                <w:sz w:val="16"/>
              </w:rPr>
              <w:t>139.72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C9CD4">
            <w:pPr>
              <w:jc w:val="center"/>
            </w:pPr>
            <w:r>
              <w:rPr>
                <w:rFonts w:ascii="宋体" w:hAnsi="宋体" w:eastAsia="宋体"/>
                <w:sz w:val="16"/>
              </w:rPr>
              <w:t>139.72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E6A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A9D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FB95">
            <w:pPr>
              <w:jc w:val="center"/>
            </w:pPr>
            <w:r>
              <w:rPr>
                <w:rFonts w:ascii="宋体" w:hAnsi="宋体" w:eastAsia="宋体"/>
                <w:sz w:val="16"/>
              </w:rPr>
              <w:t>-</w:t>
            </w:r>
          </w:p>
        </w:tc>
      </w:tr>
      <w:tr w14:paraId="4212D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4FB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D656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CFC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BAA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D12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B1C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35A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2FC2">
            <w:pPr>
              <w:jc w:val="center"/>
            </w:pPr>
            <w:r>
              <w:rPr>
                <w:rFonts w:ascii="宋体" w:hAnsi="宋体" w:eastAsia="宋体"/>
                <w:sz w:val="16"/>
              </w:rPr>
              <w:t>-</w:t>
            </w:r>
          </w:p>
        </w:tc>
      </w:tr>
      <w:tr w14:paraId="09EDF2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043E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FD0D7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F086A2">
            <w:pPr>
              <w:jc w:val="center"/>
            </w:pPr>
            <w:r>
              <w:rPr>
                <w:rFonts w:ascii="宋体" w:hAnsi="宋体" w:eastAsia="宋体"/>
                <w:sz w:val="16"/>
              </w:rPr>
              <w:t>总体目标完成情况</w:t>
            </w:r>
          </w:p>
        </w:tc>
      </w:tr>
      <w:tr w14:paraId="414AE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B35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20845">
            <w:pPr>
              <w:jc w:val="both"/>
            </w:pPr>
            <w:r>
              <w:rPr>
                <w:rFonts w:ascii="宋体" w:hAnsi="宋体" w:eastAsia="宋体"/>
                <w:sz w:val="16"/>
              </w:rPr>
              <w:t>为进一步提升对困难群众的救助，使生活无着流浪乞讨人员提供临时食宿、疾病救治、协助返回等救助，并妥善安置返乡受助人员，对流浪未成年人提供特殊优先保护及教育等专业服务，确保其健康成长流浪乞讨儿童，提供临时照料、医疗救治、</w:t>
            </w:r>
            <w:r>
              <w:rPr>
                <w:rFonts w:hint="eastAsia" w:ascii="宋体" w:hAnsi="宋体"/>
                <w:sz w:val="16"/>
                <w:lang w:eastAsia="zh-CN"/>
              </w:rPr>
              <w:t>心理</w:t>
            </w:r>
            <w:r>
              <w:rPr>
                <w:rFonts w:ascii="宋体" w:hAnsi="宋体" w:eastAsia="宋体"/>
                <w:sz w:val="16"/>
              </w:rPr>
              <w:t>疏导、行为矫治、法律援助等服务。具体目标如下：计划临时救助412人，人均救助补助资金3391.35元。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7310B0">
            <w:pPr>
              <w:jc w:val="both"/>
            </w:pPr>
            <w:r>
              <w:rPr>
                <w:rFonts w:ascii="宋体" w:hAnsi="宋体" w:eastAsia="宋体"/>
                <w:sz w:val="16"/>
              </w:rPr>
              <w:t>我站在上级部门正确领导和精心指导下，在有关部门的大力支持下，用心用情用力做好救助管理工作。截至目前，经甄别符合救助条件的流浪乞讨人员按要求当天登记救助系统，根据求助人员实际情况实施救助；我站救助412人次，人均救助补助资金3391.35元/人，为其提供食宿和返乡乘车凭证等，使流浪乞讨</w:t>
            </w:r>
            <w:r>
              <w:rPr>
                <w:rFonts w:hint="eastAsia" w:ascii="宋体" w:hAnsi="宋体"/>
                <w:sz w:val="16"/>
                <w:lang w:eastAsia="zh-CN"/>
              </w:rPr>
              <w:t>人员</w:t>
            </w:r>
            <w:r>
              <w:rPr>
                <w:rFonts w:ascii="宋体" w:hAnsi="宋体" w:eastAsia="宋体"/>
                <w:sz w:val="16"/>
              </w:rPr>
              <w:t>得到妥善救助。在此期间无一冻伤，更无街头死亡现象发生。</w:t>
            </w:r>
          </w:p>
        </w:tc>
      </w:tr>
      <w:tr w14:paraId="6045DC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74CE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82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3F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C6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B1A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5E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813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A23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1B5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7A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628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9D6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310E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CA5E">
            <w:pPr>
              <w:jc w:val="center"/>
            </w:pPr>
            <w:r>
              <w:rPr>
                <w:rFonts w:ascii="宋体" w:hAnsi="宋体" w:eastAsia="宋体"/>
                <w:sz w:val="16"/>
              </w:rPr>
              <w:t>偏差原因分析及改进措施</w:t>
            </w:r>
          </w:p>
        </w:tc>
      </w:tr>
      <w:tr w14:paraId="3FF537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732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D4A4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81A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3BB5">
            <w:pPr>
              <w:jc w:val="center"/>
            </w:pPr>
            <w:r>
              <w:rPr>
                <w:rFonts w:ascii="宋体" w:hAnsi="宋体" w:eastAsia="宋体"/>
                <w:sz w:val="16"/>
              </w:rPr>
              <w:t>临时救助人次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C634A">
            <w:pPr>
              <w:jc w:val="center"/>
            </w:pPr>
            <w:r>
              <w:rPr>
                <w:rFonts w:ascii="宋体" w:hAnsi="宋体" w:eastAsia="宋体"/>
                <w:sz w:val="16"/>
              </w:rPr>
              <w:t>&gt;=412人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B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EBF4">
            <w:pPr>
              <w:jc w:val="center"/>
            </w:pPr>
            <w:r>
              <w:rPr>
                <w:rFonts w:ascii="宋体" w:hAnsi="宋体" w:eastAsia="宋体"/>
                <w:sz w:val="16"/>
              </w:rPr>
              <w:t>465人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D6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97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6C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E524">
            <w:pPr>
              <w:jc w:val="center"/>
            </w:pPr>
            <w:r>
              <w:rPr>
                <w:rFonts w:ascii="宋体" w:hAnsi="宋体" w:eastAsia="宋体"/>
                <w:sz w:val="16"/>
              </w:rPr>
              <w:t>=412人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AB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943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FEBA">
            <w:pPr>
              <w:jc w:val="center"/>
            </w:pPr>
          </w:p>
        </w:tc>
      </w:tr>
      <w:tr w14:paraId="323876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7C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6FF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DF4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0AA6">
            <w:pPr>
              <w:jc w:val="center"/>
            </w:pPr>
            <w:r>
              <w:rPr>
                <w:rFonts w:ascii="宋体" w:hAnsi="宋体" w:eastAsia="宋体"/>
                <w:sz w:val="16"/>
              </w:rPr>
              <w:t>求助的流浪乞讨人员救助率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A37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D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32A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C4C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C0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64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D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2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86A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0F3C">
            <w:pPr>
              <w:jc w:val="center"/>
            </w:pPr>
          </w:p>
        </w:tc>
      </w:tr>
      <w:tr w14:paraId="7EB564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A98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8CD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985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8673">
            <w:pPr>
              <w:jc w:val="center"/>
            </w:pPr>
            <w:r>
              <w:rPr>
                <w:rFonts w:ascii="宋体" w:hAnsi="宋体" w:eastAsia="宋体"/>
                <w:sz w:val="16"/>
              </w:rPr>
              <w:t>临时救助水平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5A949">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7F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38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93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88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39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1F1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1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320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35FA">
            <w:pPr>
              <w:jc w:val="center"/>
            </w:pPr>
          </w:p>
        </w:tc>
      </w:tr>
      <w:tr w14:paraId="1B202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1C4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2FD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FB5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9E0F">
            <w:pPr>
              <w:jc w:val="center"/>
            </w:pPr>
            <w:r>
              <w:rPr>
                <w:rFonts w:ascii="宋体" w:hAnsi="宋体" w:eastAsia="宋体"/>
                <w:sz w:val="16"/>
              </w:rPr>
              <w:t>求助的流浪乞讨人员临时安置率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74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22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656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A1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82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B7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0E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91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1C9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B661">
            <w:pPr>
              <w:jc w:val="center"/>
            </w:pPr>
          </w:p>
        </w:tc>
      </w:tr>
      <w:tr w14:paraId="3D3B0B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861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6E2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507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6175">
            <w:pPr>
              <w:jc w:val="center"/>
            </w:pPr>
            <w:r>
              <w:rPr>
                <w:rFonts w:ascii="宋体" w:hAnsi="宋体" w:eastAsia="宋体"/>
                <w:sz w:val="16"/>
              </w:rPr>
              <w:t>求助人员医疗救治率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F6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00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F2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02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0A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6E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E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C3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6C2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9E9B">
            <w:pPr>
              <w:jc w:val="center"/>
            </w:pPr>
          </w:p>
        </w:tc>
      </w:tr>
      <w:tr w14:paraId="1B2664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EA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61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F6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2C91">
            <w:pPr>
              <w:jc w:val="center"/>
            </w:pPr>
            <w:r>
              <w:rPr>
                <w:rFonts w:ascii="宋体" w:hAnsi="宋体" w:eastAsia="宋体"/>
                <w:sz w:val="16"/>
              </w:rPr>
              <w:t>经甄别符合救助条件的流浪乞讨人员求助要求当天登记救助率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6D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9C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53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3EC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9D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AC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C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1D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F3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704C">
            <w:pPr>
              <w:jc w:val="center"/>
            </w:pPr>
          </w:p>
        </w:tc>
      </w:tr>
      <w:tr w14:paraId="5CBBC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4BA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C56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9C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7F56">
            <w:pPr>
              <w:jc w:val="center"/>
            </w:pPr>
            <w:r>
              <w:rPr>
                <w:rFonts w:ascii="宋体" w:hAnsi="宋体" w:eastAsia="宋体"/>
                <w:sz w:val="16"/>
              </w:rPr>
              <w:t>流浪乞讨人员救助执行当地支出标准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3F5A7">
            <w:pPr>
              <w:jc w:val="center"/>
            </w:pPr>
            <w:r>
              <w:rPr>
                <w:rFonts w:ascii="宋体" w:hAnsi="宋体" w:eastAsia="宋体"/>
                <w:sz w:val="16"/>
              </w:rPr>
              <w:t>&lt;=3391.35元/人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5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31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53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A5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47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BE64">
            <w:pPr>
              <w:jc w:val="center"/>
            </w:pPr>
            <w:r>
              <w:rPr>
                <w:rFonts w:ascii="宋体" w:hAnsi="宋体" w:eastAsia="宋体"/>
                <w:sz w:val="16"/>
              </w:rPr>
              <w:t>＜=3391.35元/人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8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F1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67E3">
            <w:pPr>
              <w:jc w:val="center"/>
            </w:pPr>
          </w:p>
        </w:tc>
      </w:tr>
      <w:tr w14:paraId="0CC8A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7F2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C3BF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0C0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4062">
            <w:pPr>
              <w:jc w:val="center"/>
            </w:pPr>
            <w:r>
              <w:rPr>
                <w:rFonts w:ascii="宋体" w:hAnsi="宋体" w:eastAsia="宋体"/>
                <w:sz w:val="16"/>
              </w:rPr>
              <w:t>帮助查明身份滞留流浪乞讨人员返乡情况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CC05">
            <w:pPr>
              <w:jc w:val="center"/>
            </w:pPr>
            <w:r>
              <w:rPr>
                <w:rFonts w:ascii="宋体" w:hAnsi="宋体" w:eastAsia="宋体"/>
                <w:sz w:val="16"/>
              </w:rPr>
              <w:t>及时送返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15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ECE4">
            <w:pPr>
              <w:jc w:val="center"/>
            </w:pPr>
            <w:r>
              <w:rPr>
                <w:rFonts w:ascii="宋体" w:hAnsi="宋体" w:eastAsia="宋体"/>
                <w:sz w:val="16"/>
              </w:rPr>
              <w:t>及时送返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EA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36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5F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297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E4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9F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3403A">
            <w:pPr>
              <w:jc w:val="center"/>
            </w:pPr>
          </w:p>
        </w:tc>
      </w:tr>
      <w:tr w14:paraId="4F5AB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C1B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95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30A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4C95">
            <w:pPr>
              <w:jc w:val="center"/>
            </w:pPr>
            <w:r>
              <w:rPr>
                <w:rFonts w:ascii="宋体" w:hAnsi="宋体" w:eastAsia="宋体"/>
                <w:sz w:val="16"/>
              </w:rPr>
              <w:t>为走失、务工不着、家庭暴力受害者等离家在外的临时遇困求助人员提供救助服务率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A2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C0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293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05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B5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96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39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60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59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741A">
            <w:pPr>
              <w:jc w:val="center"/>
            </w:pPr>
          </w:p>
        </w:tc>
      </w:tr>
      <w:tr w14:paraId="525B2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9C3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49E5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B06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CD4B">
            <w:pPr>
              <w:jc w:val="center"/>
            </w:pPr>
            <w:r>
              <w:rPr>
                <w:rFonts w:ascii="宋体" w:hAnsi="宋体" w:eastAsia="宋体"/>
                <w:sz w:val="16"/>
              </w:rPr>
              <w:t>救助对象对社会救助实施满意度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A0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A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5D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E6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D6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EC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13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C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AC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F49F">
            <w:pPr>
              <w:jc w:val="center"/>
            </w:pPr>
          </w:p>
        </w:tc>
      </w:tr>
      <w:tr w14:paraId="075E5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434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93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EE6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4FC9">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E85F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5C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62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AA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20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7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12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E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B0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A846">
            <w:pPr>
              <w:jc w:val="center"/>
            </w:pPr>
          </w:p>
        </w:tc>
      </w:tr>
      <w:tr w14:paraId="6679EAB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664E3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65E1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4A53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20F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71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5D3B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EBD0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4F90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02B6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110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C5F984"/>
        </w:tc>
      </w:tr>
    </w:tbl>
    <w:p w14:paraId="3BCD4480">
      <w:r>
        <w:br w:type="page"/>
      </w:r>
    </w:p>
    <w:p w14:paraId="2B1634EC">
      <w:pPr>
        <w:spacing w:line="640" w:lineRule="exact"/>
        <w:ind w:firstLine="640"/>
        <w:jc w:val="both"/>
        <w:outlineLvl w:val="2"/>
      </w:pPr>
      <w:r>
        <w:rPr>
          <w:rFonts w:ascii="黑体" w:hAnsi="黑体" w:eastAsia="黑体"/>
          <w:sz w:val="32"/>
        </w:rPr>
        <w:t>十二、其他需说明的事项</w:t>
      </w:r>
    </w:p>
    <w:p w14:paraId="7A3C1890">
      <w:pPr>
        <w:spacing w:line="580" w:lineRule="exact"/>
        <w:ind w:firstLine="640"/>
        <w:jc w:val="both"/>
      </w:pPr>
      <w:r>
        <w:rPr>
          <w:rFonts w:hint="eastAsia" w:ascii="仿宋_GB2312" w:hAnsi="仿宋_GB2312" w:eastAsia="仿宋_GB2312"/>
          <w:b w:val="0"/>
          <w:sz w:val="32"/>
        </w:rPr>
        <w:t>本年度本单位整体绩效自评表由主管部门编报并公开</w:t>
      </w:r>
      <w:bookmarkStart w:id="0" w:name="_GoBack"/>
      <w:bookmarkEnd w:id="0"/>
      <w:r>
        <w:rPr>
          <w:rFonts w:ascii="仿宋_GB2312" w:hAnsi="仿宋_GB2312" w:eastAsia="仿宋_GB2312"/>
          <w:b w:val="0"/>
          <w:sz w:val="32"/>
        </w:rPr>
        <w:t>。</w:t>
      </w:r>
    </w:p>
    <w:p w14:paraId="0770145C">
      <w:r>
        <w:br w:type="page"/>
      </w:r>
    </w:p>
    <w:p w14:paraId="05BB5B29">
      <w:pPr>
        <w:spacing w:line="240" w:lineRule="auto"/>
        <w:jc w:val="center"/>
        <w:outlineLvl w:val="1"/>
      </w:pPr>
      <w:r>
        <w:rPr>
          <w:rFonts w:ascii="黑体" w:hAnsi="黑体" w:eastAsia="黑体"/>
          <w:sz w:val="32"/>
        </w:rPr>
        <w:t>第三部分 专业名词解释</w:t>
      </w:r>
    </w:p>
    <w:p w14:paraId="197E08F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66DA71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0DDFE2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63BB53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51CD89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5CD380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07496A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7D5910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05F10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457833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2D9048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969846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2433B5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6CAD09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F582657">
      <w:r>
        <w:br w:type="page"/>
      </w:r>
    </w:p>
    <w:p w14:paraId="3CE4BCB6">
      <w:pPr>
        <w:spacing w:line="240" w:lineRule="auto"/>
        <w:jc w:val="center"/>
        <w:outlineLvl w:val="1"/>
      </w:pPr>
      <w:r>
        <w:rPr>
          <w:rFonts w:ascii="黑体" w:hAnsi="黑体" w:eastAsia="黑体"/>
          <w:sz w:val="32"/>
        </w:rPr>
        <w:t>第四部分 部门决算报表（见附表）</w:t>
      </w:r>
    </w:p>
    <w:p w14:paraId="074909E6">
      <w:pPr>
        <w:spacing w:line="240" w:lineRule="auto"/>
        <w:ind w:firstLine="640"/>
        <w:jc w:val="both"/>
      </w:pPr>
      <w:r>
        <w:rPr>
          <w:rFonts w:ascii="仿宋_GB2312" w:hAnsi="仿宋_GB2312" w:eastAsia="仿宋_GB2312"/>
          <w:b w:val="0"/>
          <w:sz w:val="32"/>
        </w:rPr>
        <w:t>一、《收入支出决算总表》</w:t>
      </w:r>
    </w:p>
    <w:p w14:paraId="4F266DAE">
      <w:pPr>
        <w:spacing w:line="240" w:lineRule="auto"/>
        <w:ind w:firstLine="640"/>
        <w:jc w:val="both"/>
      </w:pPr>
      <w:r>
        <w:rPr>
          <w:rFonts w:ascii="仿宋_GB2312" w:hAnsi="仿宋_GB2312" w:eastAsia="仿宋_GB2312"/>
          <w:b w:val="0"/>
          <w:sz w:val="32"/>
        </w:rPr>
        <w:t>二、《收入决算表》</w:t>
      </w:r>
    </w:p>
    <w:p w14:paraId="57CCB3BE">
      <w:pPr>
        <w:spacing w:line="240" w:lineRule="auto"/>
        <w:ind w:firstLine="640"/>
        <w:jc w:val="both"/>
      </w:pPr>
      <w:r>
        <w:rPr>
          <w:rFonts w:ascii="仿宋_GB2312" w:hAnsi="仿宋_GB2312" w:eastAsia="仿宋_GB2312"/>
          <w:b w:val="0"/>
          <w:sz w:val="32"/>
        </w:rPr>
        <w:t>三、《支出决算表》</w:t>
      </w:r>
    </w:p>
    <w:p w14:paraId="2A6CC8FF">
      <w:pPr>
        <w:spacing w:line="240" w:lineRule="auto"/>
        <w:ind w:firstLine="640"/>
        <w:jc w:val="both"/>
      </w:pPr>
      <w:r>
        <w:rPr>
          <w:rFonts w:ascii="仿宋_GB2312" w:hAnsi="仿宋_GB2312" w:eastAsia="仿宋_GB2312"/>
          <w:b w:val="0"/>
          <w:sz w:val="32"/>
        </w:rPr>
        <w:t>四、《财政拨款收入支出决算总表》</w:t>
      </w:r>
    </w:p>
    <w:p w14:paraId="26859049">
      <w:pPr>
        <w:spacing w:line="240" w:lineRule="auto"/>
        <w:ind w:firstLine="640"/>
        <w:jc w:val="both"/>
      </w:pPr>
      <w:r>
        <w:rPr>
          <w:rFonts w:ascii="仿宋_GB2312" w:hAnsi="仿宋_GB2312" w:eastAsia="仿宋_GB2312"/>
          <w:b w:val="0"/>
          <w:sz w:val="32"/>
        </w:rPr>
        <w:t>五、《一般公共预算财政拨款支出决算表》</w:t>
      </w:r>
    </w:p>
    <w:p w14:paraId="7AA8289D">
      <w:pPr>
        <w:spacing w:line="240" w:lineRule="auto"/>
        <w:ind w:firstLine="640"/>
        <w:jc w:val="both"/>
      </w:pPr>
      <w:r>
        <w:rPr>
          <w:rFonts w:ascii="仿宋_GB2312" w:hAnsi="仿宋_GB2312" w:eastAsia="仿宋_GB2312"/>
          <w:b w:val="0"/>
          <w:sz w:val="32"/>
        </w:rPr>
        <w:t>六、《一般公共预算财政拨款基本支出决算表》</w:t>
      </w:r>
    </w:p>
    <w:p w14:paraId="158326C7">
      <w:pPr>
        <w:spacing w:line="240" w:lineRule="auto"/>
        <w:ind w:firstLine="640"/>
        <w:jc w:val="both"/>
      </w:pPr>
      <w:r>
        <w:rPr>
          <w:rFonts w:ascii="仿宋_GB2312" w:hAnsi="仿宋_GB2312" w:eastAsia="仿宋_GB2312"/>
          <w:b w:val="0"/>
          <w:sz w:val="32"/>
        </w:rPr>
        <w:t>七、《政府性基金预算财政拨款收入支出决算表》</w:t>
      </w:r>
    </w:p>
    <w:p w14:paraId="6FDDF715">
      <w:pPr>
        <w:spacing w:line="240" w:lineRule="auto"/>
        <w:ind w:firstLine="640"/>
        <w:jc w:val="both"/>
      </w:pPr>
      <w:r>
        <w:rPr>
          <w:rFonts w:ascii="仿宋_GB2312" w:hAnsi="仿宋_GB2312" w:eastAsia="仿宋_GB2312"/>
          <w:b w:val="0"/>
          <w:sz w:val="32"/>
        </w:rPr>
        <w:t>八、《国有资本经营预算财政拨款收入支出决算表》</w:t>
      </w:r>
    </w:p>
    <w:p w14:paraId="375ED4B1">
      <w:pPr>
        <w:spacing w:line="240" w:lineRule="auto"/>
        <w:ind w:firstLine="640"/>
        <w:jc w:val="both"/>
      </w:pPr>
      <w:r>
        <w:rPr>
          <w:rFonts w:ascii="仿宋_GB2312" w:hAnsi="仿宋_GB2312" w:eastAsia="仿宋_GB2312"/>
          <w:b w:val="0"/>
          <w:sz w:val="32"/>
        </w:rPr>
        <w:t>九、《财政拨款“三公”经费支出决算表》</w:t>
      </w:r>
    </w:p>
    <w:p w14:paraId="413F4E5D">
      <w:pPr>
        <w:spacing w:line="240" w:lineRule="auto"/>
        <w:ind w:firstLine="640"/>
        <w:jc w:val="both"/>
      </w:pPr>
    </w:p>
    <w:p w14:paraId="233B601A">
      <w:pPr>
        <w:spacing w:line="240" w:lineRule="auto"/>
        <w:ind w:firstLine="640"/>
        <w:jc w:val="both"/>
      </w:pPr>
    </w:p>
    <w:p w14:paraId="32769FAC">
      <w:pPr>
        <w:spacing w:line="240" w:lineRule="auto"/>
        <w:ind w:firstLine="640"/>
        <w:jc w:val="both"/>
      </w:pPr>
    </w:p>
    <w:p w14:paraId="5ED58A80">
      <w:pPr>
        <w:spacing w:line="240" w:lineRule="auto"/>
        <w:ind w:firstLine="640"/>
        <w:jc w:val="both"/>
      </w:pPr>
    </w:p>
    <w:p w14:paraId="4A9518D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07DB0"/>
    <w:rsid w:val="464B7E04"/>
    <w:rsid w:val="464F7E64"/>
    <w:rsid w:val="46901EEE"/>
    <w:rsid w:val="469C74D2"/>
    <w:rsid w:val="47445515"/>
    <w:rsid w:val="4AF979EB"/>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5649</Words>
  <Characters>6406</Characters>
  <Lines>0</Lines>
  <Paragraphs>0</Paragraphs>
  <TotalTime>4</TotalTime>
  <ScaleCrop>false</ScaleCrop>
  <LinksUpToDate>false</LinksUpToDate>
  <CharactersWithSpaces>6414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2025-09-11T11:16:11Z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