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88DA0">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87EDEE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34022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A8D956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08B6E6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C420B4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新疆巴音郭楞蒙古自治州殡仪管理所2024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407AB66">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7D1C3690">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731DAD3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29082E3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6672EFF8">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00BBAF7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0FF14EC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48F5245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0F57DC6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1B0DA1F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DA8160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40C82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0A2CC0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5C4F012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14E3088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63B61E8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22C9EE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562086D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B8B8AA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737C3D2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4AE1173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33EB5E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3CEFFF8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65E55D2A">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092AF61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50E6DF2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372BF99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0D854A1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E52B8F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31F68DE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1404FB5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4F05A3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B4136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6D08C9F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B76E7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5BCCAD">
      <w:r>
        <w:br w:type="page"/>
      </w:r>
    </w:p>
    <w:p w14:paraId="02308F50">
      <w:pPr>
        <w:spacing w:line="640" w:lineRule="exact"/>
        <w:jc w:val="center"/>
        <w:outlineLvl w:val="1"/>
      </w:pPr>
      <w:r>
        <w:rPr>
          <w:rFonts w:ascii="黑体" w:hAnsi="黑体" w:eastAsia="黑体"/>
          <w:sz w:val="32"/>
        </w:rPr>
        <w:t>第一部分 单位概况</w:t>
      </w:r>
    </w:p>
    <w:p w14:paraId="07D36ABB">
      <w:pPr>
        <w:spacing w:line="640" w:lineRule="exact"/>
        <w:ind w:firstLine="640"/>
        <w:jc w:val="both"/>
        <w:outlineLvl w:val="2"/>
      </w:pPr>
      <w:r>
        <w:rPr>
          <w:rFonts w:ascii="黑体" w:hAnsi="黑体" w:eastAsia="黑体"/>
          <w:sz w:val="32"/>
        </w:rPr>
        <w:t>一、主要职能</w:t>
      </w:r>
    </w:p>
    <w:p w14:paraId="58B799A9">
      <w:pPr>
        <w:spacing w:line="580" w:lineRule="exact"/>
        <w:ind w:firstLine="640"/>
        <w:jc w:val="both"/>
      </w:pPr>
      <w:r>
        <w:rPr>
          <w:rFonts w:ascii="仿宋_GB2312" w:hAnsi="仿宋_GB2312" w:eastAsia="仿宋_GB2312"/>
          <w:sz w:val="32"/>
        </w:rPr>
        <w:t>新疆</w:t>
      </w:r>
      <w:r>
        <w:rPr>
          <w:rFonts w:hint="eastAsia" w:ascii="仿宋_GB2312" w:hAnsi="仿宋_GB2312" w:eastAsia="仿宋_GB2312"/>
          <w:sz w:val="32"/>
          <w:lang w:eastAsia="zh-CN"/>
        </w:rPr>
        <w:t>巴音郭楞</w:t>
      </w:r>
      <w:r>
        <w:rPr>
          <w:rFonts w:ascii="仿宋_GB2312" w:hAnsi="仿宋_GB2312" w:eastAsia="仿宋_GB2312"/>
          <w:sz w:val="32"/>
        </w:rPr>
        <w:t>蒙古自治州殡仪管理所主要职能是管理殡葬事宜、推进殡葬改革、进行殡葬改革与殡葬法规宣传、殡葬执法检查、殡葬职业教育以及殡葬岗位培训等工作。</w:t>
      </w:r>
    </w:p>
    <w:p w14:paraId="4889DBA3">
      <w:pPr>
        <w:spacing w:line="580" w:lineRule="exact"/>
        <w:ind w:firstLine="640"/>
        <w:jc w:val="both"/>
      </w:pPr>
      <w:r>
        <w:rPr>
          <w:rFonts w:ascii="仿宋_GB2312" w:hAnsi="仿宋_GB2312" w:eastAsia="仿宋_GB2312"/>
          <w:sz w:val="32"/>
        </w:rPr>
        <w:t>（一）贯彻实施有关法律、法规、规章，执行殡葬工作的方针、政策；拟订自治州殡葬事业发展规划并组织实施。</w:t>
      </w:r>
    </w:p>
    <w:p w14:paraId="4796968F">
      <w:pPr>
        <w:spacing w:line="580" w:lineRule="exact"/>
        <w:ind w:firstLine="640"/>
        <w:jc w:val="both"/>
      </w:pPr>
      <w:r>
        <w:rPr>
          <w:rFonts w:ascii="仿宋_GB2312" w:hAnsi="仿宋_GB2312" w:eastAsia="仿宋_GB2312"/>
          <w:sz w:val="32"/>
        </w:rPr>
        <w:t>（二）掌握全州殡葬改革情况，提出建议，拟定殡葬改革规划。</w:t>
      </w:r>
    </w:p>
    <w:p w14:paraId="062319D6">
      <w:pPr>
        <w:spacing w:line="580" w:lineRule="exact"/>
        <w:ind w:firstLine="640"/>
        <w:jc w:val="both"/>
      </w:pPr>
      <w:r>
        <w:rPr>
          <w:rFonts w:ascii="仿宋_GB2312" w:hAnsi="仿宋_GB2312" w:eastAsia="仿宋_GB2312"/>
          <w:sz w:val="32"/>
        </w:rPr>
        <w:t>（三）贯彻落实国家殡葬管理工作</w:t>
      </w:r>
      <w:r>
        <w:rPr>
          <w:rFonts w:hint="eastAsia" w:ascii="仿宋_GB2312" w:hAnsi="仿宋_GB2312" w:eastAsia="仿宋_GB2312"/>
          <w:sz w:val="32"/>
          <w:lang w:eastAsia="zh-CN"/>
        </w:rPr>
        <w:t>方针，</w:t>
      </w:r>
      <w:r>
        <w:rPr>
          <w:rFonts w:ascii="仿宋_GB2312" w:hAnsi="仿宋_GB2312" w:eastAsia="仿宋_GB2312"/>
          <w:sz w:val="32"/>
        </w:rPr>
        <w:t>检查全州殡葬改革和殡葬法规的执行情况，对违反殡葬法规的行为做出行政处罚。</w:t>
      </w:r>
    </w:p>
    <w:p w14:paraId="26892330">
      <w:pPr>
        <w:spacing w:line="580" w:lineRule="exact"/>
        <w:ind w:firstLine="640"/>
        <w:jc w:val="both"/>
      </w:pPr>
      <w:r>
        <w:rPr>
          <w:rFonts w:ascii="仿宋_GB2312" w:hAnsi="仿宋_GB2312" w:eastAsia="仿宋_GB2312"/>
          <w:sz w:val="32"/>
        </w:rPr>
        <w:t>（四）做好殡葬改革的宣传工作</w:t>
      </w:r>
      <w:r>
        <w:rPr>
          <w:rFonts w:hint="eastAsia" w:ascii="仿宋_GB2312" w:hAnsi="仿宋_GB2312" w:eastAsia="仿宋_GB2312"/>
          <w:sz w:val="32"/>
          <w:lang w:eastAsia="zh-CN"/>
        </w:rPr>
        <w:t>，</w:t>
      </w:r>
      <w:r>
        <w:rPr>
          <w:rFonts w:ascii="仿宋_GB2312" w:hAnsi="仿宋_GB2312" w:eastAsia="仿宋_GB2312"/>
          <w:sz w:val="32"/>
        </w:rPr>
        <w:t>处理丧事中的封建迷信活动。</w:t>
      </w:r>
    </w:p>
    <w:p w14:paraId="40C29689">
      <w:pPr>
        <w:spacing w:line="580" w:lineRule="exact"/>
        <w:ind w:firstLine="640"/>
        <w:jc w:val="both"/>
      </w:pPr>
      <w:r>
        <w:rPr>
          <w:rFonts w:ascii="仿宋_GB2312" w:hAnsi="仿宋_GB2312" w:eastAsia="仿宋_GB2312"/>
          <w:sz w:val="32"/>
        </w:rPr>
        <w:t>（五）指导全州殡葬工作，做好火化管理、公墓管理和丧葬用品市场管理等。</w:t>
      </w:r>
    </w:p>
    <w:p w14:paraId="2A0D383B">
      <w:pPr>
        <w:spacing w:line="580" w:lineRule="exact"/>
        <w:ind w:firstLine="640"/>
        <w:jc w:val="both"/>
      </w:pPr>
      <w:r>
        <w:rPr>
          <w:rFonts w:ascii="仿宋_GB2312" w:hAnsi="仿宋_GB2312" w:eastAsia="仿宋_GB2312"/>
          <w:sz w:val="32"/>
        </w:rPr>
        <w:t>（六）负责全州殡葬的管理、使用和监督，推行节地生态安葬，倡导文明节俭、生态环保的殡葬新理念、新风尚。</w:t>
      </w:r>
    </w:p>
    <w:p w14:paraId="33665904">
      <w:pPr>
        <w:spacing w:line="580" w:lineRule="exact"/>
        <w:ind w:firstLine="640"/>
        <w:jc w:val="both"/>
      </w:pPr>
      <w:r>
        <w:rPr>
          <w:rFonts w:ascii="仿宋_GB2312" w:hAnsi="仿宋_GB2312" w:eastAsia="仿宋_GB2312"/>
          <w:sz w:val="32"/>
        </w:rPr>
        <w:t>（七）承办自治州人民政府交办的其他事项。</w:t>
      </w:r>
    </w:p>
    <w:p w14:paraId="1015EE6F">
      <w:pPr>
        <w:spacing w:line="640" w:lineRule="exact"/>
        <w:ind w:firstLine="640"/>
        <w:jc w:val="both"/>
        <w:outlineLvl w:val="2"/>
      </w:pPr>
      <w:r>
        <w:rPr>
          <w:rFonts w:ascii="黑体" w:hAnsi="黑体" w:eastAsia="黑体"/>
          <w:sz w:val="32"/>
        </w:rPr>
        <w:t>二、机构设置及人员情况</w:t>
      </w:r>
    </w:p>
    <w:p w14:paraId="2EEBB9B6">
      <w:pPr>
        <w:spacing w:line="580" w:lineRule="exact"/>
        <w:ind w:firstLine="640"/>
        <w:jc w:val="both"/>
      </w:pPr>
      <w:r>
        <w:rPr>
          <w:rFonts w:ascii="仿宋_GB2312" w:hAnsi="仿宋_GB2312" w:eastAsia="仿宋_GB2312"/>
          <w:sz w:val="32"/>
        </w:rPr>
        <w:t>新疆巴音郭楞蒙古自治州殡仪管理所2024年度，实有人数9人，其中：在职人员4人，增加1人；离休人员0人，增加0人；退休人员5人,增加0人。</w:t>
      </w:r>
    </w:p>
    <w:p w14:paraId="6A8E71C7">
      <w:pPr>
        <w:spacing w:line="580" w:lineRule="exact"/>
        <w:ind w:firstLine="640"/>
        <w:jc w:val="both"/>
      </w:pPr>
      <w:r>
        <w:rPr>
          <w:rFonts w:ascii="仿宋_GB2312" w:hAnsi="仿宋_GB2312" w:eastAsia="仿宋_GB2312"/>
          <w:sz w:val="32"/>
        </w:rPr>
        <w:t>新疆巴音郭楞蒙古自治州殡仪管理所无下属预算单位，下设2个科室，分别是：综合办公室、财务室。</w:t>
      </w:r>
    </w:p>
    <w:p w14:paraId="528CF619">
      <w:r>
        <w:br w:type="page"/>
      </w:r>
    </w:p>
    <w:p w14:paraId="217A818C">
      <w:pPr>
        <w:spacing w:line="240" w:lineRule="auto"/>
        <w:jc w:val="center"/>
        <w:outlineLvl w:val="1"/>
      </w:pPr>
      <w:r>
        <w:rPr>
          <w:rFonts w:ascii="黑体" w:hAnsi="黑体" w:eastAsia="黑体"/>
          <w:sz w:val="32"/>
        </w:rPr>
        <w:t>第二部分 部门决算情况说明</w:t>
      </w:r>
    </w:p>
    <w:p w14:paraId="0397FEE6">
      <w:pPr>
        <w:spacing w:line="640" w:lineRule="exact"/>
        <w:ind w:firstLine="640"/>
        <w:jc w:val="both"/>
        <w:outlineLvl w:val="2"/>
      </w:pPr>
      <w:r>
        <w:rPr>
          <w:rFonts w:ascii="黑体" w:hAnsi="黑体" w:eastAsia="黑体"/>
          <w:sz w:val="32"/>
        </w:rPr>
        <w:t>一、收入支出决算总体情况说明</w:t>
      </w:r>
    </w:p>
    <w:p w14:paraId="6A3E4A63">
      <w:pPr>
        <w:spacing w:line="580" w:lineRule="exact"/>
        <w:ind w:firstLine="640"/>
        <w:jc w:val="both"/>
      </w:pPr>
      <w:r>
        <w:rPr>
          <w:rFonts w:ascii="仿宋_GB2312" w:hAnsi="仿宋_GB2312" w:eastAsia="仿宋_GB2312"/>
          <w:b/>
          <w:sz w:val="32"/>
        </w:rPr>
        <w:t>2024年度收入总计45.70万元，</w:t>
      </w:r>
      <w:r>
        <w:rPr>
          <w:rFonts w:ascii="仿宋_GB2312" w:hAnsi="仿宋_GB2312" w:eastAsia="仿宋_GB2312"/>
          <w:b w:val="0"/>
          <w:sz w:val="32"/>
        </w:rPr>
        <w:t>其中：本年收入合计45.70万元，使用非财政拨款结余（含专用结余）0.00万元，年初结转和结余0.00万元。</w:t>
      </w:r>
    </w:p>
    <w:p w14:paraId="09829D6D">
      <w:pPr>
        <w:spacing w:line="580" w:lineRule="exact"/>
        <w:ind w:firstLine="640"/>
        <w:jc w:val="both"/>
      </w:pPr>
      <w:r>
        <w:rPr>
          <w:rFonts w:ascii="仿宋_GB2312" w:hAnsi="仿宋_GB2312" w:eastAsia="仿宋_GB2312"/>
          <w:b/>
          <w:sz w:val="32"/>
        </w:rPr>
        <w:t>2024年度支出总计45.70万元，</w:t>
      </w:r>
      <w:r>
        <w:rPr>
          <w:rFonts w:ascii="仿宋_GB2312" w:hAnsi="仿宋_GB2312" w:eastAsia="仿宋_GB2312"/>
          <w:b w:val="0"/>
          <w:sz w:val="32"/>
        </w:rPr>
        <w:t>其中：本年支出合计45.70万元，结余分配0.00万元，年末结转和结余0.00万元。</w:t>
      </w:r>
    </w:p>
    <w:p w14:paraId="372D6511">
      <w:pPr>
        <w:spacing w:line="580" w:lineRule="exact"/>
        <w:ind w:firstLine="640"/>
        <w:jc w:val="both"/>
      </w:pPr>
      <w:r>
        <w:rPr>
          <w:rFonts w:ascii="仿宋_GB2312" w:hAnsi="仿宋_GB2312" w:eastAsia="仿宋_GB2312"/>
          <w:b w:val="0"/>
          <w:sz w:val="32"/>
        </w:rPr>
        <w:t>收入支出总体与上年相比，减少0.01万元，下降0.02%，主要原因是：本年取暖费、物业管理费等经费减少，导致经费较上年减少。</w:t>
      </w:r>
    </w:p>
    <w:p w14:paraId="578D291F">
      <w:pPr>
        <w:spacing w:line="640" w:lineRule="exact"/>
        <w:ind w:firstLine="640"/>
        <w:jc w:val="both"/>
        <w:outlineLvl w:val="2"/>
      </w:pPr>
      <w:r>
        <w:rPr>
          <w:rFonts w:ascii="黑体" w:hAnsi="黑体" w:eastAsia="黑体"/>
          <w:sz w:val="32"/>
        </w:rPr>
        <w:t>二、收入决算情况说明</w:t>
      </w:r>
    </w:p>
    <w:p w14:paraId="613D137E">
      <w:pPr>
        <w:spacing w:line="580" w:lineRule="exact"/>
        <w:ind w:firstLine="640"/>
        <w:jc w:val="both"/>
      </w:pPr>
      <w:r>
        <w:rPr>
          <w:rFonts w:ascii="仿宋_GB2312" w:hAnsi="仿宋_GB2312" w:eastAsia="仿宋_GB2312"/>
          <w:b/>
          <w:sz w:val="32"/>
        </w:rPr>
        <w:t>本年收入45.70万元，</w:t>
      </w:r>
      <w:r>
        <w:rPr>
          <w:rFonts w:ascii="仿宋_GB2312" w:hAnsi="仿宋_GB2312" w:eastAsia="仿宋_GB2312"/>
          <w:b w:val="0"/>
          <w:sz w:val="32"/>
        </w:rPr>
        <w:t>其中：财政拨款收入45.70万元，占100.00%；上级补助收入0.00万元，占0.00%；事业收入0.00万元，占0.00%；经营收入0.00万元，占0.00%；附属单位上缴收入0.00万元，占0.00%；其他收入0.00万元，占0.00%。</w:t>
      </w:r>
    </w:p>
    <w:p w14:paraId="15A11FA8">
      <w:pPr>
        <w:spacing w:line="640" w:lineRule="exact"/>
        <w:ind w:firstLine="640"/>
        <w:jc w:val="both"/>
        <w:outlineLvl w:val="2"/>
      </w:pPr>
      <w:r>
        <w:rPr>
          <w:rFonts w:ascii="黑体" w:hAnsi="黑体" w:eastAsia="黑体"/>
          <w:sz w:val="32"/>
        </w:rPr>
        <w:t>三、支出决算情况说明</w:t>
      </w:r>
    </w:p>
    <w:p w14:paraId="71766520">
      <w:pPr>
        <w:spacing w:line="580" w:lineRule="exact"/>
        <w:ind w:firstLine="640"/>
        <w:jc w:val="both"/>
      </w:pPr>
      <w:r>
        <w:rPr>
          <w:rFonts w:ascii="仿宋_GB2312" w:hAnsi="仿宋_GB2312" w:eastAsia="仿宋_GB2312"/>
          <w:b/>
          <w:sz w:val="32"/>
        </w:rPr>
        <w:t>本年支出45.70万元，</w:t>
      </w:r>
      <w:r>
        <w:rPr>
          <w:rFonts w:ascii="仿宋_GB2312" w:hAnsi="仿宋_GB2312" w:eastAsia="仿宋_GB2312"/>
          <w:b w:val="0"/>
          <w:sz w:val="32"/>
        </w:rPr>
        <w:t>其中：基本支出45.70万元，占100.00%；项目支出0.00万元，占0.00%；上缴上级支出0.00万元，占0.00%；经营支出0.00万元，占0.00%；对附属单位补助支出0.00万元，占0.00%。</w:t>
      </w:r>
    </w:p>
    <w:p w14:paraId="02671F81">
      <w:pPr>
        <w:spacing w:line="640" w:lineRule="exact"/>
        <w:ind w:firstLine="640"/>
        <w:jc w:val="both"/>
        <w:outlineLvl w:val="2"/>
      </w:pPr>
      <w:r>
        <w:rPr>
          <w:rFonts w:ascii="黑体" w:hAnsi="黑体" w:eastAsia="黑体"/>
          <w:sz w:val="32"/>
        </w:rPr>
        <w:t>四、财政拨款收入支出决算总体情况说明</w:t>
      </w:r>
    </w:p>
    <w:p w14:paraId="7196A65C">
      <w:pPr>
        <w:spacing w:line="580" w:lineRule="exact"/>
        <w:ind w:firstLine="640"/>
        <w:jc w:val="both"/>
      </w:pPr>
      <w:r>
        <w:rPr>
          <w:rFonts w:ascii="仿宋_GB2312" w:hAnsi="仿宋_GB2312" w:eastAsia="仿宋_GB2312"/>
          <w:b/>
          <w:sz w:val="32"/>
        </w:rPr>
        <w:t>2024年度财政拨款收入总计45.70万元，</w:t>
      </w:r>
      <w:r>
        <w:rPr>
          <w:rFonts w:ascii="仿宋_GB2312" w:hAnsi="仿宋_GB2312" w:eastAsia="仿宋_GB2312"/>
          <w:b w:val="0"/>
          <w:sz w:val="32"/>
        </w:rPr>
        <w:t>其中：年初财政拨款结转和结余0.00万元，本年财政拨款收入45.70万元。</w:t>
      </w:r>
      <w:r>
        <w:rPr>
          <w:rFonts w:ascii="仿宋_GB2312" w:hAnsi="仿宋_GB2312" w:eastAsia="仿宋_GB2312"/>
          <w:b/>
          <w:sz w:val="32"/>
        </w:rPr>
        <w:t>财政拨款支出总计45.70万元，</w:t>
      </w:r>
      <w:r>
        <w:rPr>
          <w:rFonts w:ascii="仿宋_GB2312" w:hAnsi="仿宋_GB2312" w:eastAsia="仿宋_GB2312"/>
          <w:b w:val="0"/>
          <w:sz w:val="32"/>
        </w:rPr>
        <w:t>其中：年末财政拨款结转和结余0.00万元，本年财政拨款支出45.70万元。</w:t>
      </w:r>
    </w:p>
    <w:p w14:paraId="5789EEA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减少0.01万元，下降0.02%，主要原因是：本年取暖费、物业管理费等经费减少，导致经费较上年减少。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年初预算数41.79万元，决算数45.70万元，预决算差异率9.36%，主要原因是：本年在职人员增加，年中追加人员经费及人员工资、社保、公积金基数调增部分资金，导致预决算存在差异。</w:t>
      </w:r>
    </w:p>
    <w:p w14:paraId="43B9C8C5">
      <w:pPr>
        <w:spacing w:line="640" w:lineRule="exact"/>
        <w:ind w:firstLine="640"/>
        <w:jc w:val="both"/>
        <w:outlineLvl w:val="2"/>
      </w:pPr>
      <w:r>
        <w:rPr>
          <w:rFonts w:ascii="黑体" w:hAnsi="黑体" w:eastAsia="黑体"/>
          <w:sz w:val="32"/>
        </w:rPr>
        <w:t>五、一般公共预算财政拨款支出决算情况说明</w:t>
      </w:r>
    </w:p>
    <w:p w14:paraId="74A4D559">
      <w:pPr>
        <w:spacing w:line="640" w:lineRule="exact"/>
        <w:ind w:firstLine="640"/>
        <w:jc w:val="both"/>
        <w:outlineLvl w:val="3"/>
      </w:pPr>
      <w:r>
        <w:rPr>
          <w:rFonts w:ascii="楷体_GB2312" w:hAnsi="楷体_GB2312" w:eastAsia="楷体_GB2312"/>
          <w:b/>
          <w:sz w:val="32"/>
        </w:rPr>
        <w:t>（一）一般公共预算财政拨款支出决算总体情况</w:t>
      </w:r>
    </w:p>
    <w:p w14:paraId="4308782D">
      <w:pPr>
        <w:spacing w:line="580" w:lineRule="exact"/>
        <w:ind w:firstLine="640"/>
        <w:jc w:val="both"/>
      </w:pPr>
      <w:r>
        <w:rPr>
          <w:rFonts w:ascii="仿宋_GB2312" w:hAnsi="仿宋_GB2312" w:eastAsia="仿宋_GB2312"/>
          <w:b/>
          <w:sz w:val="32"/>
        </w:rPr>
        <w:t>2024年度一般公共预算财政拨款支出45.70万元，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减少0.01万元，下降0.02%，主要原因是：本年取暖费、物业管理费等经费减少，导致经费较上年减少。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年初预算数41.79万元，决算数45.70万元，预决算差异率9.36%，主要原因是：本年在职人员增加，年中追加人员经费及人员工资、社保、公积金基数调增部分资金，导致预决算存在差异。</w:t>
      </w:r>
    </w:p>
    <w:p w14:paraId="15AF8CFF">
      <w:pPr>
        <w:spacing w:line="640" w:lineRule="exact"/>
        <w:ind w:firstLine="640"/>
        <w:jc w:val="both"/>
        <w:outlineLvl w:val="3"/>
      </w:pPr>
      <w:r>
        <w:rPr>
          <w:rFonts w:ascii="楷体_GB2312" w:hAnsi="楷体_GB2312" w:eastAsia="楷体_GB2312"/>
          <w:b/>
          <w:sz w:val="32"/>
        </w:rPr>
        <w:t>（二）一般公共预算财政拨款支出决算结构情况</w:t>
      </w:r>
    </w:p>
    <w:p w14:paraId="74F36BCB">
      <w:pPr>
        <w:spacing w:line="580" w:lineRule="exact"/>
        <w:ind w:firstLine="640"/>
        <w:jc w:val="both"/>
      </w:pPr>
      <w:r>
        <w:rPr>
          <w:rFonts w:ascii="仿宋_GB2312" w:hAnsi="仿宋_GB2312" w:eastAsia="仿宋_GB2312"/>
          <w:b w:val="0"/>
          <w:sz w:val="32"/>
        </w:rPr>
        <w:t>1.社会保障和就业支出(类)40.37万元,占88.34%。</w:t>
      </w:r>
    </w:p>
    <w:p w14:paraId="4DA8E165">
      <w:pPr>
        <w:spacing w:line="580" w:lineRule="exact"/>
        <w:ind w:firstLine="640"/>
        <w:jc w:val="both"/>
      </w:pPr>
      <w:r>
        <w:rPr>
          <w:rFonts w:ascii="仿宋_GB2312" w:hAnsi="仿宋_GB2312" w:eastAsia="仿宋_GB2312"/>
          <w:b w:val="0"/>
          <w:sz w:val="32"/>
        </w:rPr>
        <w:t>2.卫生健康支出(类)1.82万元,占3.98%。</w:t>
      </w:r>
    </w:p>
    <w:p w14:paraId="388D8209">
      <w:pPr>
        <w:spacing w:line="580" w:lineRule="exact"/>
        <w:ind w:firstLine="640"/>
        <w:jc w:val="both"/>
      </w:pPr>
      <w:r>
        <w:rPr>
          <w:rFonts w:ascii="仿宋_GB2312" w:hAnsi="仿宋_GB2312" w:eastAsia="仿宋_GB2312"/>
          <w:b w:val="0"/>
          <w:sz w:val="32"/>
        </w:rPr>
        <w:t>3.住房保障支出(类)3.51万元,占7.68%。</w:t>
      </w:r>
    </w:p>
    <w:p w14:paraId="3314BFA3">
      <w:pPr>
        <w:spacing w:line="640" w:lineRule="exact"/>
        <w:ind w:firstLine="640"/>
        <w:jc w:val="both"/>
        <w:outlineLvl w:val="3"/>
      </w:pPr>
      <w:r>
        <w:rPr>
          <w:rFonts w:ascii="楷体_GB2312" w:hAnsi="楷体_GB2312" w:eastAsia="楷体_GB2312"/>
          <w:b/>
          <w:sz w:val="32"/>
        </w:rPr>
        <w:t>（三）一般公共预算财政拨款支出决算具体情况</w:t>
      </w:r>
    </w:p>
    <w:p w14:paraId="18359CCD">
      <w:pPr>
        <w:spacing w:line="580" w:lineRule="exact"/>
        <w:ind w:firstLine="640"/>
        <w:jc w:val="both"/>
      </w:pPr>
      <w:r>
        <w:rPr>
          <w:rFonts w:ascii="仿宋_GB2312" w:hAnsi="仿宋_GB2312" w:eastAsia="仿宋_GB2312"/>
          <w:b w:val="0"/>
          <w:sz w:val="32"/>
        </w:rPr>
        <w:t>1.社会保障和就业支出(类)民政管理事务(款)行政运行(项):支出决算数为0.00万元，比上年决算减少0.23万元，下降100.00%,主要原因是：本年功能科目调整，人员津贴补贴经费本年由本科目调整至殡葬科目列支，导致经费较上年减少。</w:t>
      </w:r>
    </w:p>
    <w:p w14:paraId="49BD2DBD">
      <w:pPr>
        <w:spacing w:line="580" w:lineRule="exact"/>
        <w:ind w:firstLine="640"/>
        <w:jc w:val="both"/>
      </w:pPr>
      <w:r>
        <w:rPr>
          <w:rFonts w:ascii="仿宋_GB2312" w:hAnsi="仿宋_GB2312" w:eastAsia="仿宋_GB2312"/>
          <w:b w:val="0"/>
          <w:sz w:val="32"/>
        </w:rPr>
        <w:t>2.社会保障和就业支出(类)民政管理事务(款)机关服务(项):支出决算数为0.04万元，比上年决算增加0.04万元，增长100.00%,主要原因是：本年功能科目调整，残疾人保障金由殡葬科目调整至本科目列支，导致经费较上年增加。</w:t>
      </w:r>
    </w:p>
    <w:p w14:paraId="71E57046">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3.社会保障和就业支出(类)行政事业单位养老支出(款)事业单位离退休(项):支出决算数为5.21万元，比上年决算增加2.27万元，增长77.21%,主要原因是：本年度发放退休人员绩效考核奖，导致相关支出增加。</w:t>
      </w:r>
    </w:p>
    <w:p w14:paraId="70D5A786">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4.39万元，比上年决算增加1.19万元，增长37.19%,主要原因是：本年在职人员增加，养老保险缴费较上年增加。</w:t>
      </w:r>
    </w:p>
    <w:p w14:paraId="7BEAA0FE">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5.社会保障和就业支出(类)行政事业单位养老支出(款)机关事业单位职业年金缴费支出(项):支出决算数为0.00万元，比上年决算减少6.27万元，下降100.00%,主要原因是：本年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新增退休人员，职业年金缴费较上年减少。</w:t>
      </w:r>
    </w:p>
    <w:p w14:paraId="4E76FF77">
      <w:pPr>
        <w:spacing w:line="580" w:lineRule="exact"/>
        <w:ind w:firstLine="640"/>
        <w:jc w:val="both"/>
      </w:pPr>
      <w:r>
        <w:rPr>
          <w:rFonts w:ascii="仿宋_GB2312" w:hAnsi="仿宋_GB2312" w:eastAsia="仿宋_GB2312"/>
          <w:b w:val="0"/>
          <w:sz w:val="32"/>
        </w:rPr>
        <w:t>6.社会保障和就业支出(类)社会福利(款)殡葬(项):支出决算数为30.73万元，比上年决算增加2.07万元，增长7.22%,主要原因是：本年功能科目调整，人员津贴补贴经费本年由行政运行科目调整至殡葬科目列支，导致经费较上年增加。</w:t>
      </w:r>
    </w:p>
    <w:p w14:paraId="089184A9">
      <w:pPr>
        <w:spacing w:line="580" w:lineRule="exact"/>
        <w:ind w:firstLine="640"/>
        <w:jc w:val="both"/>
      </w:pPr>
      <w:r>
        <w:rPr>
          <w:rFonts w:ascii="仿宋_GB2312" w:hAnsi="仿宋_GB2312" w:eastAsia="仿宋_GB2312"/>
          <w:b w:val="0"/>
          <w:sz w:val="32"/>
        </w:rPr>
        <w:t>7.卫生健康支出(类)行政事业单位医疗(款)事业单位医疗(项):支出决算数为1.73万元，比上年决算增加0.12万元，增长7.45%,主要原因是：本年在职人员工资基数调增，医疗缴费基数上涨，相应支出增加。</w:t>
      </w:r>
    </w:p>
    <w:p w14:paraId="58CB0381">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0.09万元，比上年决算减少0.11万元，下降55.00%,主要原因是：退休人员医疗保险制度改革，退休人员不再缴纳医疗，相应支出减少。</w:t>
      </w:r>
    </w:p>
    <w:p w14:paraId="06E0B251">
      <w:pPr>
        <w:spacing w:line="580" w:lineRule="exact"/>
        <w:ind w:firstLine="640"/>
        <w:jc w:val="both"/>
      </w:pPr>
      <w:r>
        <w:rPr>
          <w:rFonts w:ascii="仿宋_GB2312" w:hAnsi="仿宋_GB2312" w:eastAsia="仿宋_GB2312"/>
          <w:b w:val="0"/>
          <w:sz w:val="32"/>
        </w:rPr>
        <w:t>9.住房保障支出(类)住房改革支出(款)住房公积金(项):支出决算数为3.51万元，比上年决算增加0.89万元，增长33.97%,主要原因是：本年在职人员增加，住房公积金支出较上年增加。</w:t>
      </w:r>
    </w:p>
    <w:p w14:paraId="1BDAAF3C">
      <w:pPr>
        <w:spacing w:line="640" w:lineRule="exact"/>
        <w:ind w:firstLine="640"/>
        <w:jc w:val="both"/>
        <w:outlineLvl w:val="2"/>
      </w:pPr>
      <w:r>
        <w:rPr>
          <w:rFonts w:ascii="黑体" w:hAnsi="黑体" w:eastAsia="黑体"/>
          <w:sz w:val="32"/>
        </w:rPr>
        <w:t>六、一般公共预算财政拨款基本支出决算情况说明</w:t>
      </w:r>
    </w:p>
    <w:p w14:paraId="65D58777">
      <w:pPr>
        <w:spacing w:line="580" w:lineRule="exact"/>
        <w:ind w:firstLine="640"/>
        <w:jc w:val="both"/>
      </w:pPr>
      <w:r>
        <w:rPr>
          <w:rFonts w:ascii="仿宋_GB2312" w:hAnsi="仿宋_GB2312" w:eastAsia="仿宋_GB2312"/>
          <w:b w:val="0"/>
          <w:sz w:val="32"/>
        </w:rPr>
        <w:t>2024年度一般公共预算财政拨款基本支出45.70万元，其中：</w:t>
      </w:r>
      <w:r>
        <w:rPr>
          <w:rFonts w:ascii="仿宋_GB2312" w:hAnsi="仿宋_GB2312" w:eastAsia="仿宋_GB2312"/>
          <w:b/>
          <w:sz w:val="32"/>
        </w:rPr>
        <w:t>人员经费44.09万元，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包括：基本工资、津贴补贴、奖金、伙食补助费、机关事业单位基本养老保险缴费、职工基本医疗保险缴费、其他社会保障缴费、住房公积金、退休费、奖励金。</w:t>
      </w:r>
    </w:p>
    <w:p w14:paraId="2327AFB5">
      <w:pPr>
        <w:spacing w:line="580" w:lineRule="exact"/>
        <w:ind w:firstLine="640"/>
        <w:jc w:val="both"/>
      </w:pPr>
      <w:r>
        <w:rPr>
          <w:rFonts w:ascii="仿宋_GB2312" w:hAnsi="仿宋_GB2312" w:eastAsia="仿宋_GB2312"/>
          <w:b/>
          <w:sz w:val="32"/>
        </w:rPr>
        <w:t>公用经费1.61万元，</w:t>
      </w:r>
      <w:r>
        <w:rPr>
          <w:rFonts w:ascii="仿宋_GB2312" w:hAnsi="仿宋_GB2312" w:eastAsia="仿宋_GB2312"/>
          <w:b w:val="0"/>
          <w:sz w:val="32"/>
        </w:rPr>
        <w:t>包括：办公费、工会经费、福利费、其他商品和服务支出。</w:t>
      </w:r>
    </w:p>
    <w:p w14:paraId="7C72AB2F">
      <w:pPr>
        <w:spacing w:line="640" w:lineRule="exact"/>
        <w:ind w:firstLine="640"/>
        <w:jc w:val="both"/>
        <w:outlineLvl w:val="2"/>
      </w:pPr>
      <w:r>
        <w:rPr>
          <w:rFonts w:ascii="黑体" w:hAnsi="黑体" w:eastAsia="黑体"/>
          <w:sz w:val="32"/>
        </w:rPr>
        <w:t>七、政府性基金预算财政拨款收入支出决算情况说明</w:t>
      </w:r>
    </w:p>
    <w:p w14:paraId="3EB5AF4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5C64A0">
      <w:pPr>
        <w:spacing w:line="640" w:lineRule="exact"/>
        <w:ind w:firstLine="640"/>
        <w:jc w:val="both"/>
        <w:outlineLvl w:val="2"/>
      </w:pPr>
      <w:r>
        <w:rPr>
          <w:rFonts w:ascii="黑体" w:hAnsi="黑体" w:eastAsia="黑体"/>
          <w:sz w:val="32"/>
        </w:rPr>
        <w:t>八、国有资本经营预算财政拨款收入支出决算情况说明</w:t>
      </w:r>
    </w:p>
    <w:p w14:paraId="51D3E4B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413434">
      <w:pPr>
        <w:spacing w:line="640" w:lineRule="exact"/>
        <w:ind w:firstLine="640"/>
        <w:jc w:val="both"/>
        <w:outlineLvl w:val="2"/>
      </w:pPr>
      <w:r>
        <w:rPr>
          <w:rFonts w:ascii="黑体" w:hAnsi="黑体" w:eastAsia="黑体"/>
          <w:sz w:val="32"/>
        </w:rPr>
        <w:t>九、财政拨款“三公”经费支出决算情况说明</w:t>
      </w:r>
    </w:p>
    <w:p w14:paraId="388A018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80A840A">
      <w:pPr>
        <w:spacing w:line="580" w:lineRule="exact"/>
        <w:ind w:firstLine="640"/>
        <w:jc w:val="both"/>
      </w:pPr>
      <w:r>
        <w:rPr>
          <w:rFonts w:ascii="仿宋_GB2312" w:hAnsi="仿宋_GB2312" w:eastAsia="仿宋_GB2312"/>
          <w:b/>
          <w:sz w:val="32"/>
        </w:rPr>
        <w:t>具体情况如下：</w:t>
      </w:r>
    </w:p>
    <w:p w14:paraId="0D3C847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0EFC1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因机构改革，由</w:t>
      </w:r>
      <w:r>
        <w:rPr>
          <w:rFonts w:hint="eastAsia" w:ascii="仿宋_GB2312" w:hAnsi="仿宋_GB2312" w:eastAsia="仿宋_GB2312"/>
          <w:b w:val="0"/>
          <w:sz w:val="32"/>
          <w:lang w:eastAsia="zh-CN"/>
        </w:rPr>
        <w:t>巴音郭楞蒙古自治州</w:t>
      </w:r>
      <w:bookmarkStart w:id="0" w:name="_GoBack"/>
      <w:bookmarkEnd w:id="0"/>
      <w:r>
        <w:rPr>
          <w:rFonts w:ascii="仿宋_GB2312" w:hAnsi="仿宋_GB2312" w:eastAsia="仿宋_GB2312"/>
          <w:b w:val="0"/>
          <w:sz w:val="32"/>
        </w:rPr>
        <w:t>卫生健康委员会无偿划入固定资产车辆一辆，预算未安排公务用车运行维护费，未投入使用。</w:t>
      </w:r>
    </w:p>
    <w:p w14:paraId="25E6032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842E50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A2BE718">
      <w:pPr>
        <w:spacing w:line="640" w:lineRule="exact"/>
        <w:ind w:firstLine="640"/>
        <w:jc w:val="both"/>
        <w:outlineLvl w:val="2"/>
      </w:pPr>
      <w:r>
        <w:rPr>
          <w:rFonts w:ascii="黑体" w:hAnsi="黑体" w:eastAsia="黑体"/>
          <w:sz w:val="32"/>
        </w:rPr>
        <w:t>十、其他重要事项的情况说明</w:t>
      </w:r>
    </w:p>
    <w:p w14:paraId="2B5B6ED2">
      <w:pPr>
        <w:spacing w:line="640" w:lineRule="exact"/>
        <w:ind w:firstLine="640"/>
        <w:jc w:val="both"/>
        <w:outlineLvl w:val="3"/>
      </w:pPr>
      <w:r>
        <w:rPr>
          <w:rFonts w:ascii="楷体_GB2312" w:hAnsi="楷体_GB2312" w:eastAsia="楷体_GB2312"/>
          <w:b/>
          <w:sz w:val="32"/>
        </w:rPr>
        <w:t>（一）机关运行经费及公用经费支出情况</w:t>
      </w:r>
    </w:p>
    <w:p w14:paraId="18CFDAAA">
      <w:pPr>
        <w:spacing w:line="580" w:lineRule="exact"/>
        <w:ind w:firstLine="640"/>
        <w:jc w:val="both"/>
      </w:pPr>
      <w:r>
        <w:rPr>
          <w:rFonts w:ascii="仿宋_GB2312" w:hAnsi="仿宋_GB2312" w:eastAsia="仿宋_GB2312"/>
          <w:b w:val="0"/>
          <w:sz w:val="32"/>
        </w:rPr>
        <w:t>2024年度新疆巴音郭楞蒙古自治州殡仪管理所（事业单位）公用经费支出1.61万元，比上年减少0.18万元，下降10.06%，主要原因是：本年取暖费、物业管理费减少，导致公用经费较上年减少。</w:t>
      </w:r>
    </w:p>
    <w:p w14:paraId="410CF185">
      <w:pPr>
        <w:spacing w:line="640" w:lineRule="exact"/>
        <w:ind w:firstLine="640"/>
        <w:jc w:val="both"/>
        <w:outlineLvl w:val="3"/>
      </w:pPr>
      <w:r>
        <w:rPr>
          <w:rFonts w:ascii="楷体_GB2312" w:hAnsi="楷体_GB2312" w:eastAsia="楷体_GB2312"/>
          <w:b/>
          <w:sz w:val="32"/>
        </w:rPr>
        <w:t>（二）政府采购情况</w:t>
      </w:r>
    </w:p>
    <w:p w14:paraId="03C4D29A">
      <w:pPr>
        <w:spacing w:line="580" w:lineRule="exact"/>
        <w:ind w:firstLine="640"/>
        <w:jc w:val="both"/>
      </w:pPr>
      <w:r>
        <w:rPr>
          <w:rFonts w:ascii="仿宋_GB2312" w:hAnsi="仿宋_GB2312" w:eastAsia="仿宋_GB2312"/>
          <w:b w:val="0"/>
          <w:sz w:val="32"/>
        </w:rPr>
        <w:t>2024年度政府采购支出总额0.98万元，其中：政府采购货物支出0.98万元、政府采购工程支出0.00万元、政府采购服务支出0.00万元。</w:t>
      </w:r>
    </w:p>
    <w:p w14:paraId="5DB75ACF">
      <w:pPr>
        <w:spacing w:line="580" w:lineRule="exact"/>
        <w:ind w:firstLine="640"/>
        <w:jc w:val="both"/>
      </w:pPr>
      <w:r>
        <w:rPr>
          <w:rFonts w:ascii="仿宋_GB2312" w:hAnsi="仿宋_GB2312" w:eastAsia="仿宋_GB2312"/>
          <w:b w:val="0"/>
          <w:sz w:val="32"/>
        </w:rPr>
        <w:t>授予中小企业合同金额0.98万元，占政府采购支出总额的100.00%，其中：授予小微企业合同金额0.98万元，占政府采购支出总额的100.00%。</w:t>
      </w:r>
    </w:p>
    <w:p w14:paraId="30936C76">
      <w:pPr>
        <w:spacing w:line="640" w:lineRule="exact"/>
        <w:ind w:firstLine="640"/>
        <w:jc w:val="both"/>
        <w:outlineLvl w:val="3"/>
      </w:pPr>
      <w:r>
        <w:rPr>
          <w:rFonts w:ascii="楷体_GB2312" w:hAnsi="楷体_GB2312" w:eastAsia="楷体_GB2312"/>
          <w:b/>
          <w:sz w:val="32"/>
        </w:rPr>
        <w:t>（三）国有资产占用情况说明</w:t>
      </w:r>
    </w:p>
    <w:p w14:paraId="050E9580">
      <w:pPr>
        <w:spacing w:line="580" w:lineRule="exact"/>
        <w:ind w:firstLine="640"/>
        <w:jc w:val="both"/>
      </w:pPr>
      <w:r>
        <w:rPr>
          <w:rFonts w:ascii="仿宋_GB2312" w:hAnsi="仿宋_GB2312" w:eastAsia="仿宋_GB2312"/>
          <w:b w:val="0"/>
          <w:sz w:val="32"/>
        </w:rPr>
        <w:t>截至2024年12月31日，房屋0.00平方米，价值0.00万元。车辆1辆，价值15.17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19EC411F">
      <w:pPr>
        <w:spacing w:line="640" w:lineRule="exact"/>
        <w:ind w:firstLine="640"/>
        <w:jc w:val="both"/>
        <w:outlineLvl w:val="2"/>
      </w:pPr>
      <w:r>
        <w:rPr>
          <w:rFonts w:ascii="黑体" w:hAnsi="黑体" w:eastAsia="黑体"/>
          <w:sz w:val="32"/>
        </w:rPr>
        <w:t>十一、预算绩效的情况说明</w:t>
      </w:r>
    </w:p>
    <w:p w14:paraId="33A647A6">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74F67322">
      <w:r>
        <w:br w:type="page"/>
      </w:r>
    </w:p>
    <w:p w14:paraId="2653549F">
      <w:pPr>
        <w:spacing w:line="640" w:lineRule="exact"/>
        <w:ind w:firstLine="640"/>
        <w:jc w:val="both"/>
        <w:outlineLvl w:val="2"/>
      </w:pPr>
      <w:r>
        <w:rPr>
          <w:rFonts w:ascii="黑体" w:hAnsi="黑体" w:eastAsia="黑体"/>
          <w:sz w:val="32"/>
        </w:rPr>
        <w:t>十二、其他需说明的事项</w:t>
      </w:r>
    </w:p>
    <w:p w14:paraId="4EDAA7AD">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43983E96">
      <w:r>
        <w:br w:type="page"/>
      </w:r>
    </w:p>
    <w:p w14:paraId="0D9AB0CC">
      <w:pPr>
        <w:spacing w:line="240" w:lineRule="auto"/>
        <w:jc w:val="center"/>
        <w:outlineLvl w:val="1"/>
      </w:pPr>
      <w:r>
        <w:rPr>
          <w:rFonts w:ascii="黑体" w:hAnsi="黑体" w:eastAsia="黑体"/>
          <w:sz w:val="32"/>
        </w:rPr>
        <w:t>第三部分 专业名词解释</w:t>
      </w:r>
    </w:p>
    <w:p w14:paraId="541A146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E92A5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21F04D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E3FCB7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1D3D74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35208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5C1AA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76866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F71CE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F150B6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D3755E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BDE1F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3CC0F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91383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10D2E20">
      <w:r>
        <w:br w:type="page"/>
      </w:r>
    </w:p>
    <w:p w14:paraId="123BB0DB">
      <w:pPr>
        <w:spacing w:line="240" w:lineRule="auto"/>
        <w:jc w:val="center"/>
        <w:outlineLvl w:val="1"/>
      </w:pPr>
      <w:r>
        <w:rPr>
          <w:rFonts w:ascii="黑体" w:hAnsi="黑体" w:eastAsia="黑体"/>
          <w:sz w:val="32"/>
        </w:rPr>
        <w:t>第四部分 部门决算报表（见附表）</w:t>
      </w:r>
    </w:p>
    <w:p w14:paraId="17FA93D8">
      <w:pPr>
        <w:spacing w:line="240" w:lineRule="auto"/>
        <w:ind w:firstLine="640"/>
        <w:jc w:val="both"/>
      </w:pPr>
      <w:r>
        <w:rPr>
          <w:rFonts w:ascii="仿宋_GB2312" w:hAnsi="仿宋_GB2312" w:eastAsia="仿宋_GB2312"/>
          <w:b w:val="0"/>
          <w:sz w:val="32"/>
        </w:rPr>
        <w:t>一、《收入支出决算总表》</w:t>
      </w:r>
    </w:p>
    <w:p w14:paraId="16383C38">
      <w:pPr>
        <w:spacing w:line="240" w:lineRule="auto"/>
        <w:ind w:firstLine="640"/>
        <w:jc w:val="both"/>
      </w:pPr>
      <w:r>
        <w:rPr>
          <w:rFonts w:ascii="仿宋_GB2312" w:hAnsi="仿宋_GB2312" w:eastAsia="仿宋_GB2312"/>
          <w:b w:val="0"/>
          <w:sz w:val="32"/>
        </w:rPr>
        <w:t>二、《收入决算表》</w:t>
      </w:r>
    </w:p>
    <w:p w14:paraId="6F52D12F">
      <w:pPr>
        <w:spacing w:line="240" w:lineRule="auto"/>
        <w:ind w:firstLine="640"/>
        <w:jc w:val="both"/>
      </w:pPr>
      <w:r>
        <w:rPr>
          <w:rFonts w:ascii="仿宋_GB2312" w:hAnsi="仿宋_GB2312" w:eastAsia="仿宋_GB2312"/>
          <w:b w:val="0"/>
          <w:sz w:val="32"/>
        </w:rPr>
        <w:t>三、《支出决算表》</w:t>
      </w:r>
    </w:p>
    <w:p w14:paraId="5F9A7211">
      <w:pPr>
        <w:spacing w:line="240" w:lineRule="auto"/>
        <w:ind w:firstLine="640"/>
        <w:jc w:val="both"/>
      </w:pPr>
      <w:r>
        <w:rPr>
          <w:rFonts w:ascii="仿宋_GB2312" w:hAnsi="仿宋_GB2312" w:eastAsia="仿宋_GB2312"/>
          <w:b w:val="0"/>
          <w:sz w:val="32"/>
        </w:rPr>
        <w:t>四、《财政拨款收入支出决算总表》</w:t>
      </w:r>
    </w:p>
    <w:p w14:paraId="75CC1273">
      <w:pPr>
        <w:spacing w:line="240" w:lineRule="auto"/>
        <w:ind w:firstLine="640"/>
        <w:jc w:val="both"/>
      </w:pPr>
      <w:r>
        <w:rPr>
          <w:rFonts w:ascii="仿宋_GB2312" w:hAnsi="仿宋_GB2312" w:eastAsia="仿宋_GB2312"/>
          <w:b w:val="0"/>
          <w:sz w:val="32"/>
        </w:rPr>
        <w:t>五、《一般公共预算财政拨款支出决算表》</w:t>
      </w:r>
    </w:p>
    <w:p w14:paraId="74E0F2D0">
      <w:pPr>
        <w:spacing w:line="240" w:lineRule="auto"/>
        <w:ind w:firstLine="640"/>
        <w:jc w:val="both"/>
      </w:pPr>
      <w:r>
        <w:rPr>
          <w:rFonts w:ascii="仿宋_GB2312" w:hAnsi="仿宋_GB2312" w:eastAsia="仿宋_GB2312"/>
          <w:b w:val="0"/>
          <w:sz w:val="32"/>
        </w:rPr>
        <w:t>六、《一般公共预算财政拨款基本支出决算表》</w:t>
      </w:r>
    </w:p>
    <w:p w14:paraId="27D011B9">
      <w:pPr>
        <w:spacing w:line="240" w:lineRule="auto"/>
        <w:ind w:firstLine="640"/>
        <w:jc w:val="both"/>
      </w:pPr>
      <w:r>
        <w:rPr>
          <w:rFonts w:ascii="仿宋_GB2312" w:hAnsi="仿宋_GB2312" w:eastAsia="仿宋_GB2312"/>
          <w:b w:val="0"/>
          <w:sz w:val="32"/>
        </w:rPr>
        <w:t>七、《政府性基金预算财政拨款收入支出决算表》</w:t>
      </w:r>
    </w:p>
    <w:p w14:paraId="50B33BFD">
      <w:pPr>
        <w:spacing w:line="240" w:lineRule="auto"/>
        <w:ind w:firstLine="640"/>
        <w:jc w:val="both"/>
      </w:pPr>
      <w:r>
        <w:rPr>
          <w:rFonts w:ascii="仿宋_GB2312" w:hAnsi="仿宋_GB2312" w:eastAsia="仿宋_GB2312"/>
          <w:b w:val="0"/>
          <w:sz w:val="32"/>
        </w:rPr>
        <w:t>八、《国有资本经营预算财政拨款收入支出决算表》</w:t>
      </w:r>
    </w:p>
    <w:p w14:paraId="5D27717C">
      <w:pPr>
        <w:spacing w:line="240" w:lineRule="auto"/>
        <w:ind w:firstLine="640"/>
        <w:jc w:val="both"/>
      </w:pPr>
      <w:r>
        <w:rPr>
          <w:rFonts w:ascii="仿宋_GB2312" w:hAnsi="仿宋_GB2312" w:eastAsia="仿宋_GB2312"/>
          <w:b w:val="0"/>
          <w:sz w:val="32"/>
        </w:rPr>
        <w:t>九、《财政拨款“三公”经费支出决算表》</w:t>
      </w:r>
    </w:p>
    <w:p w14:paraId="684A7E68">
      <w:pPr>
        <w:spacing w:line="240" w:lineRule="auto"/>
        <w:ind w:firstLine="640"/>
        <w:jc w:val="both"/>
      </w:pPr>
    </w:p>
    <w:p w14:paraId="3858B372">
      <w:pPr>
        <w:spacing w:line="240" w:lineRule="auto"/>
        <w:ind w:firstLine="640"/>
        <w:jc w:val="both"/>
      </w:pPr>
    </w:p>
    <w:p w14:paraId="47D0698B">
      <w:pPr>
        <w:spacing w:line="240" w:lineRule="auto"/>
        <w:ind w:firstLine="640"/>
        <w:jc w:val="both"/>
      </w:pPr>
    </w:p>
    <w:p w14:paraId="664BD39F">
      <w:pPr>
        <w:spacing w:line="240" w:lineRule="auto"/>
        <w:ind w:firstLine="640"/>
        <w:jc w:val="both"/>
      </w:pPr>
    </w:p>
    <w:p w14:paraId="07457D4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EC2A0A-2C9F-4BFE-A77F-2E6D13DB0C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CC9DC3F-9586-4BE4-82C1-2280A9F2ACF3}"/>
  </w:font>
  <w:font w:name="仿宋_GB2312">
    <w:altName w:val="仿宋"/>
    <w:panose1 w:val="02010609030101010101"/>
    <w:charset w:val="86"/>
    <w:family w:val="modern"/>
    <w:pitch w:val="default"/>
    <w:sig w:usb0="00000000" w:usb1="00000000" w:usb2="00000000" w:usb3="00000000" w:csb0="00040000" w:csb1="00000000"/>
    <w:embedRegular r:id="rId3" w:fontKey="{3A558430-0B19-4495-808D-2C29D837E479}"/>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embedRegular r:id="rId4" w:fontKey="{3E6EDF45-2CFD-4C7A-9CE4-A29B8E07D38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9FC3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6C164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E6C164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2A22B7"/>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BE06D6"/>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971B6E"/>
    <w:rsid w:val="77ED6F44"/>
    <w:rsid w:val="795A0A34"/>
    <w:rsid w:val="79F1544B"/>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5462</Words>
  <Characters>6070</Characters>
  <Lines>0</Lines>
  <Paragraphs>0</Paragraphs>
  <TotalTime>3</TotalTime>
  <ScaleCrop>false</ScaleCrop>
  <LinksUpToDate>false</LinksUpToDate>
  <CharactersWithSpaces>6080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