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新疆巴音郭楞蒙古自治州福利彩票发行中心2024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71F56C9">
      <w:r>
        <w:br w:type="page"/>
      </w:r>
    </w:p>
    <w:p w14:paraId="4AAC9920">
      <w:pPr>
        <w:spacing w:line="640" w:lineRule="exact"/>
        <w:jc w:val="center"/>
        <w:outlineLvl w:val="1"/>
      </w:pPr>
      <w:r>
        <w:rPr>
          <w:rFonts w:ascii="黑体" w:hAnsi="黑体" w:eastAsia="黑体"/>
          <w:sz w:val="32"/>
        </w:rPr>
        <w:t>第一部分 单位概况</w:t>
      </w:r>
    </w:p>
    <w:p w14:paraId="7DFCE49A">
      <w:pPr>
        <w:spacing w:line="640" w:lineRule="exact"/>
        <w:ind w:firstLine="640"/>
        <w:jc w:val="both"/>
        <w:outlineLvl w:val="2"/>
      </w:pPr>
      <w:r>
        <w:rPr>
          <w:rFonts w:ascii="黑体" w:hAnsi="黑体" w:eastAsia="黑体"/>
          <w:sz w:val="32"/>
        </w:rPr>
        <w:t>一、主要职能</w:t>
      </w:r>
    </w:p>
    <w:p w14:paraId="446385BA">
      <w:pPr>
        <w:spacing w:line="580" w:lineRule="exact"/>
        <w:ind w:firstLine="640"/>
        <w:jc w:val="both"/>
      </w:pPr>
      <w:r>
        <w:rPr>
          <w:rFonts w:ascii="仿宋_GB2312" w:hAnsi="仿宋_GB2312" w:eastAsia="仿宋_GB2312"/>
          <w:sz w:val="32"/>
        </w:rPr>
        <w:t>在</w:t>
      </w:r>
      <w:r>
        <w:rPr>
          <w:rFonts w:hint="eastAsia" w:ascii="仿宋_GB2312" w:hAnsi="仿宋_GB2312" w:eastAsia="仿宋_GB2312"/>
          <w:sz w:val="32"/>
          <w:lang w:eastAsia="zh-CN"/>
        </w:rPr>
        <w:t>巴音郭楞蒙古自治州</w:t>
      </w:r>
      <w:bookmarkStart w:id="0" w:name="_GoBack"/>
      <w:bookmarkEnd w:id="0"/>
      <w:r>
        <w:rPr>
          <w:rFonts w:ascii="仿宋_GB2312" w:hAnsi="仿宋_GB2312" w:eastAsia="仿宋_GB2312"/>
          <w:sz w:val="32"/>
        </w:rPr>
        <w:t>组织销售电脑型和即开型福利彩票，建设和管理福利彩票销售网络，落实销售计划，筹集并上缴福利彩票公益金。</w:t>
      </w:r>
    </w:p>
    <w:p w14:paraId="3111E499">
      <w:pPr>
        <w:spacing w:line="640" w:lineRule="exact"/>
        <w:ind w:firstLine="640"/>
        <w:jc w:val="both"/>
        <w:outlineLvl w:val="2"/>
      </w:pPr>
      <w:r>
        <w:rPr>
          <w:rFonts w:ascii="黑体" w:hAnsi="黑体" w:eastAsia="黑体"/>
          <w:sz w:val="32"/>
        </w:rPr>
        <w:t>二、机构设置及人员情况</w:t>
      </w:r>
    </w:p>
    <w:p w14:paraId="4DD10986">
      <w:pPr>
        <w:spacing w:line="580" w:lineRule="exact"/>
        <w:ind w:firstLine="640"/>
        <w:jc w:val="both"/>
      </w:pPr>
      <w:r>
        <w:rPr>
          <w:rFonts w:ascii="仿宋_GB2312" w:hAnsi="仿宋_GB2312" w:eastAsia="仿宋_GB2312"/>
          <w:sz w:val="32"/>
        </w:rPr>
        <w:t>新疆巴音郭楞蒙古自治州福利彩票发行中心2024年度，实有人数6人，其中：在职人员5人，增加0人；离休人员0人，增加0人；退休人员1人,增加0人。</w:t>
      </w:r>
    </w:p>
    <w:p w14:paraId="01A8DC7F">
      <w:pPr>
        <w:spacing w:line="580" w:lineRule="exact"/>
        <w:ind w:firstLine="640"/>
        <w:jc w:val="both"/>
      </w:pPr>
      <w:r>
        <w:rPr>
          <w:rFonts w:ascii="仿宋_GB2312" w:hAnsi="仿宋_GB2312" w:eastAsia="仿宋_GB2312"/>
          <w:sz w:val="32"/>
        </w:rPr>
        <w:t>新疆巴音郭楞蒙古自治州福利彩票发行中心无下属预算单位，下设1个科室，分别是：办公室。</w:t>
      </w:r>
    </w:p>
    <w:p w14:paraId="10A216D9">
      <w:r>
        <w:br w:type="page"/>
      </w:r>
    </w:p>
    <w:p w14:paraId="7C9AA0E0">
      <w:pPr>
        <w:spacing w:line="240" w:lineRule="auto"/>
        <w:jc w:val="center"/>
        <w:outlineLvl w:val="1"/>
      </w:pPr>
      <w:r>
        <w:rPr>
          <w:rFonts w:ascii="黑体" w:hAnsi="黑体" w:eastAsia="黑体"/>
          <w:sz w:val="32"/>
        </w:rPr>
        <w:t>第二部分 部门决算情况说明</w:t>
      </w:r>
    </w:p>
    <w:p w14:paraId="11C54F77">
      <w:pPr>
        <w:spacing w:line="640" w:lineRule="exact"/>
        <w:ind w:firstLine="640"/>
        <w:jc w:val="both"/>
        <w:outlineLvl w:val="2"/>
      </w:pPr>
      <w:r>
        <w:rPr>
          <w:rFonts w:ascii="黑体" w:hAnsi="黑体" w:eastAsia="黑体"/>
          <w:sz w:val="32"/>
        </w:rPr>
        <w:t>一、收入支出决算总体情况说明</w:t>
      </w:r>
    </w:p>
    <w:p w14:paraId="3C31DA48">
      <w:pPr>
        <w:spacing w:line="580" w:lineRule="exact"/>
        <w:ind w:firstLine="640"/>
        <w:jc w:val="both"/>
      </w:pPr>
      <w:r>
        <w:rPr>
          <w:rFonts w:ascii="仿宋_GB2312" w:hAnsi="仿宋_GB2312" w:eastAsia="仿宋_GB2312"/>
          <w:b/>
          <w:sz w:val="32"/>
        </w:rPr>
        <w:t>2024年度收入总计731.68万元，</w:t>
      </w:r>
      <w:r>
        <w:rPr>
          <w:rFonts w:ascii="仿宋_GB2312" w:hAnsi="仿宋_GB2312" w:eastAsia="仿宋_GB2312"/>
          <w:b w:val="0"/>
          <w:sz w:val="32"/>
        </w:rPr>
        <w:t>其中：本年收入合计731.68万元，使用非财政拨款结余（含专用结余）0.00万元，年初结转和结余0.00万元。</w:t>
      </w:r>
    </w:p>
    <w:p w14:paraId="4F2A52DB">
      <w:pPr>
        <w:spacing w:line="580" w:lineRule="exact"/>
        <w:ind w:firstLine="640"/>
        <w:jc w:val="both"/>
      </w:pPr>
      <w:r>
        <w:rPr>
          <w:rFonts w:ascii="仿宋_GB2312" w:hAnsi="仿宋_GB2312" w:eastAsia="仿宋_GB2312"/>
          <w:b/>
          <w:sz w:val="32"/>
        </w:rPr>
        <w:t>2024年度支出总计731.68万元，</w:t>
      </w:r>
      <w:r>
        <w:rPr>
          <w:rFonts w:ascii="仿宋_GB2312" w:hAnsi="仿宋_GB2312" w:eastAsia="仿宋_GB2312"/>
          <w:b w:val="0"/>
          <w:sz w:val="32"/>
        </w:rPr>
        <w:t>其中：本年支出合计731.68万元，结余分配0.00万元，年末结转和结余0.00万元。</w:t>
      </w:r>
    </w:p>
    <w:p w14:paraId="69A9E87F">
      <w:pPr>
        <w:spacing w:line="580" w:lineRule="exact"/>
        <w:ind w:firstLine="640"/>
        <w:jc w:val="both"/>
      </w:pPr>
      <w:r>
        <w:rPr>
          <w:rFonts w:ascii="仿宋_GB2312" w:hAnsi="仿宋_GB2312" w:eastAsia="仿宋_GB2312"/>
          <w:b w:val="0"/>
          <w:sz w:val="32"/>
        </w:rPr>
        <w:t>收入支出总体与上年相比，增加28.25万元，增长4.02%，主要原因是：本年福利彩票发行销售业务增加，导致经费较上年增加。</w:t>
      </w:r>
    </w:p>
    <w:p w14:paraId="042D031C">
      <w:pPr>
        <w:spacing w:line="640" w:lineRule="exact"/>
        <w:ind w:firstLine="640"/>
        <w:jc w:val="both"/>
        <w:outlineLvl w:val="2"/>
      </w:pPr>
      <w:r>
        <w:rPr>
          <w:rFonts w:ascii="黑体" w:hAnsi="黑体" w:eastAsia="黑体"/>
          <w:sz w:val="32"/>
        </w:rPr>
        <w:t>二、收入决算情况说明</w:t>
      </w:r>
    </w:p>
    <w:p w14:paraId="226CF5CB">
      <w:pPr>
        <w:spacing w:line="580" w:lineRule="exact"/>
        <w:ind w:firstLine="640"/>
        <w:jc w:val="both"/>
      </w:pPr>
      <w:r>
        <w:rPr>
          <w:rFonts w:ascii="仿宋_GB2312" w:hAnsi="仿宋_GB2312" w:eastAsia="仿宋_GB2312"/>
          <w:b/>
          <w:sz w:val="32"/>
        </w:rPr>
        <w:t>本年收入731.68万元，</w:t>
      </w:r>
      <w:r>
        <w:rPr>
          <w:rFonts w:ascii="仿宋_GB2312" w:hAnsi="仿宋_GB2312" w:eastAsia="仿宋_GB2312"/>
          <w:b w:val="0"/>
          <w:sz w:val="32"/>
        </w:rPr>
        <w:t>其中：财政拨款收入731.68万元，占100.00%；上级补助收入0.00万元，占0.00%；事业收入0.00万元，占0.00%；经营收入0.00万元，占0.00%；附属单位上缴收入0.00万元，占0.00%；其他收入0.00万元，占0.00%。</w:t>
      </w:r>
    </w:p>
    <w:p w14:paraId="5408603A">
      <w:pPr>
        <w:spacing w:line="640" w:lineRule="exact"/>
        <w:ind w:firstLine="640"/>
        <w:jc w:val="both"/>
        <w:outlineLvl w:val="2"/>
      </w:pPr>
      <w:r>
        <w:rPr>
          <w:rFonts w:ascii="黑体" w:hAnsi="黑体" w:eastAsia="黑体"/>
          <w:sz w:val="32"/>
        </w:rPr>
        <w:t>三、支出决算情况说明</w:t>
      </w:r>
    </w:p>
    <w:p w14:paraId="594BEDB5">
      <w:pPr>
        <w:spacing w:line="580" w:lineRule="exact"/>
        <w:ind w:firstLine="640"/>
        <w:jc w:val="both"/>
      </w:pPr>
      <w:r>
        <w:rPr>
          <w:rFonts w:ascii="仿宋_GB2312" w:hAnsi="仿宋_GB2312" w:eastAsia="仿宋_GB2312"/>
          <w:b/>
          <w:sz w:val="32"/>
        </w:rPr>
        <w:t>本年支出731.68万元，</w:t>
      </w:r>
      <w:r>
        <w:rPr>
          <w:rFonts w:ascii="仿宋_GB2312" w:hAnsi="仿宋_GB2312" w:eastAsia="仿宋_GB2312"/>
          <w:b w:val="0"/>
          <w:sz w:val="32"/>
        </w:rPr>
        <w:t>其中：基本支出252.97万元，占34.57%；项目支出478.70万元，占65.42%；上缴上级支出0.00万元，占0.00%；经营支出0.00万元，占0.00%；对附属单位补助支出0.00万元，占0.00%。</w:t>
      </w:r>
    </w:p>
    <w:p w14:paraId="1D965F9B">
      <w:pPr>
        <w:spacing w:line="640" w:lineRule="exact"/>
        <w:ind w:firstLine="640"/>
        <w:jc w:val="both"/>
        <w:outlineLvl w:val="2"/>
      </w:pPr>
      <w:r>
        <w:rPr>
          <w:rFonts w:ascii="黑体" w:hAnsi="黑体" w:eastAsia="黑体"/>
          <w:sz w:val="32"/>
        </w:rPr>
        <w:t>四、财政拨款收入支出决算总体情况说明</w:t>
      </w:r>
    </w:p>
    <w:p w14:paraId="2692D86A">
      <w:pPr>
        <w:spacing w:line="580" w:lineRule="exact"/>
        <w:ind w:firstLine="640"/>
        <w:jc w:val="both"/>
      </w:pPr>
      <w:r>
        <w:rPr>
          <w:rFonts w:ascii="仿宋_GB2312" w:hAnsi="仿宋_GB2312" w:eastAsia="仿宋_GB2312"/>
          <w:b/>
          <w:sz w:val="32"/>
        </w:rPr>
        <w:t>2024年度财政拨款收入总计731.68万元，</w:t>
      </w:r>
      <w:r>
        <w:rPr>
          <w:rFonts w:ascii="仿宋_GB2312" w:hAnsi="仿宋_GB2312" w:eastAsia="仿宋_GB2312"/>
          <w:b w:val="0"/>
          <w:sz w:val="32"/>
        </w:rPr>
        <w:t>其中：年初财政拨款结转和结余0.00万元，本年财政拨款收入731.68万元。</w:t>
      </w:r>
      <w:r>
        <w:rPr>
          <w:rFonts w:ascii="仿宋_GB2312" w:hAnsi="仿宋_GB2312" w:eastAsia="仿宋_GB2312"/>
          <w:b/>
          <w:sz w:val="32"/>
        </w:rPr>
        <w:t>财政拨款支出总计731.68万元，</w:t>
      </w:r>
      <w:r>
        <w:rPr>
          <w:rFonts w:ascii="仿宋_GB2312" w:hAnsi="仿宋_GB2312" w:eastAsia="仿宋_GB2312"/>
          <w:b w:val="0"/>
          <w:sz w:val="32"/>
        </w:rPr>
        <w:t>其中：年末财政拨款结转和结余0.00万元，本年财政拨款支出731.68万元。</w:t>
      </w:r>
    </w:p>
    <w:p w14:paraId="7474CC0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增加28.25万元，增长4.02%，主要原因是：福利彩票发行销售业务增加，导致经费较上年增加。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年初预算数862.34万元，决算数731.68万元，预决算差异率-15.15%，主要原因是：年中调减彩票市场调控资金，导致预决算存在差异。</w:t>
      </w:r>
    </w:p>
    <w:p w14:paraId="723CFC6D">
      <w:pPr>
        <w:spacing w:line="640" w:lineRule="exact"/>
        <w:ind w:firstLine="640"/>
        <w:jc w:val="both"/>
        <w:outlineLvl w:val="2"/>
      </w:pPr>
      <w:r>
        <w:rPr>
          <w:rFonts w:ascii="黑体" w:hAnsi="黑体" w:eastAsia="黑体"/>
          <w:sz w:val="32"/>
        </w:rPr>
        <w:t>五、一般公共预算财政拨款支出决算情况说明</w:t>
      </w:r>
    </w:p>
    <w:p w14:paraId="707361CA">
      <w:pPr>
        <w:spacing w:line="640" w:lineRule="exact"/>
        <w:ind w:firstLine="640"/>
        <w:jc w:val="both"/>
        <w:outlineLvl w:val="3"/>
      </w:pPr>
      <w:r>
        <w:rPr>
          <w:rFonts w:ascii="楷体_GB2312" w:hAnsi="楷体_GB2312" w:eastAsia="楷体_GB2312"/>
          <w:b/>
          <w:sz w:val="32"/>
        </w:rPr>
        <w:t>（一）一般公共预算财政拨款支出决算总体情况</w:t>
      </w:r>
    </w:p>
    <w:p w14:paraId="74B6740F">
      <w:pPr>
        <w:spacing w:line="580" w:lineRule="exact"/>
        <w:ind w:firstLine="640"/>
        <w:jc w:val="both"/>
      </w:pPr>
      <w:r>
        <w:rPr>
          <w:rFonts w:ascii="仿宋_GB2312" w:hAnsi="仿宋_GB2312" w:eastAsia="仿宋_GB2312"/>
          <w:b/>
          <w:sz w:val="32"/>
        </w:rPr>
        <w:t>2024年度一般公共预算财政拨款支出0.00万元，</w:t>
      </w:r>
      <w:r>
        <w:rPr>
          <w:rFonts w:ascii="仿宋_GB2312" w:hAnsi="仿宋_GB2312" w:eastAsia="仿宋_GB2312"/>
          <w:b w:val="0"/>
          <w:sz w:val="32"/>
        </w:rPr>
        <w:t>占本年支出合计的0.00%。</w:t>
      </w:r>
      <w:r>
        <w:rPr>
          <w:rFonts w:ascii="仿宋_GB2312" w:hAnsi="仿宋_GB2312" w:eastAsia="仿宋_GB2312"/>
          <w:b/>
          <w:sz w:val="32"/>
        </w:rPr>
        <w:t>与上年相比，</w:t>
      </w:r>
      <w:r>
        <w:rPr>
          <w:rFonts w:ascii="仿宋_GB2312" w:hAnsi="仿宋_GB2312" w:eastAsia="仿宋_GB2312"/>
          <w:b w:val="0"/>
          <w:sz w:val="32"/>
        </w:rPr>
        <w:t>增加0.00万元，增长0.00%，主要原因是：本单位2023年与2024年均未安排一般公共预算财政拨款支出。</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年初预算数0.00万元，决算数0.00万元，预决算差异率0.00%，主要原因是：本单位无一般公共预算财政拨款支出。</w:t>
      </w:r>
    </w:p>
    <w:p w14:paraId="2556510E">
      <w:pPr>
        <w:spacing w:line="640" w:lineRule="exact"/>
        <w:ind w:firstLine="640"/>
        <w:jc w:val="both"/>
        <w:outlineLvl w:val="3"/>
      </w:pPr>
      <w:r>
        <w:rPr>
          <w:rFonts w:ascii="楷体_GB2312" w:hAnsi="楷体_GB2312" w:eastAsia="楷体_GB2312"/>
          <w:b/>
          <w:sz w:val="32"/>
        </w:rPr>
        <w:t>（二）一般公共预算财政拨款支出决算结构情况</w:t>
      </w:r>
    </w:p>
    <w:p w14:paraId="6471E51D">
      <w:pPr>
        <w:spacing w:line="640" w:lineRule="exact"/>
        <w:ind w:firstLine="640"/>
        <w:jc w:val="both"/>
        <w:outlineLvl w:val="3"/>
      </w:pPr>
      <w:r>
        <w:rPr>
          <w:rFonts w:ascii="楷体_GB2312" w:hAnsi="楷体_GB2312" w:eastAsia="楷体_GB2312"/>
          <w:b/>
          <w:sz w:val="32"/>
        </w:rPr>
        <w:t>（三）一般公共预算财政拨款支出决算具体情况</w:t>
      </w:r>
    </w:p>
    <w:p w14:paraId="6E7EBC2A">
      <w:pPr>
        <w:spacing w:line="640" w:lineRule="exact"/>
        <w:ind w:firstLine="640"/>
        <w:jc w:val="both"/>
        <w:outlineLvl w:val="2"/>
      </w:pPr>
      <w:r>
        <w:rPr>
          <w:rFonts w:ascii="黑体" w:hAnsi="黑体" w:eastAsia="黑体"/>
          <w:sz w:val="32"/>
        </w:rPr>
        <w:t>六、一般公共预算财政拨款基本支出决算情况说明</w:t>
      </w:r>
    </w:p>
    <w:p w14:paraId="782B2585">
      <w:pPr>
        <w:spacing w:line="580" w:lineRule="exact"/>
        <w:ind w:firstLine="640"/>
        <w:jc w:val="both"/>
      </w:pPr>
      <w:r>
        <w:rPr>
          <w:rFonts w:ascii="仿宋_GB2312" w:hAnsi="仿宋_GB2312" w:eastAsia="仿宋_GB2312"/>
          <w:b w:val="0"/>
          <w:sz w:val="32"/>
        </w:rPr>
        <w:t>2024年度一般公共预算财政拨款基本支出0.00万元，其中：</w:t>
      </w:r>
      <w:r>
        <w:rPr>
          <w:rFonts w:hint="eastAsia" w:ascii="仿宋_GB2312" w:hAnsi="仿宋_GB2312" w:eastAsia="仿宋_GB2312"/>
          <w:b w:val="0"/>
          <w:sz w:val="32"/>
          <w:lang w:val="en-US" w:eastAsia="zh-CN"/>
        </w:rPr>
        <w:t xml:space="preserve">  </w:t>
      </w:r>
      <w:r>
        <w:rPr>
          <w:rFonts w:ascii="仿宋_GB2312" w:hAnsi="仿宋_GB2312" w:eastAsia="仿宋_GB2312"/>
          <w:b/>
          <w:sz w:val="32"/>
        </w:rPr>
        <w:t>人员经费0.00万元，</w:t>
      </w:r>
      <w:r>
        <w:rPr>
          <w:rFonts w:ascii="仿宋_GB2312" w:hAnsi="仿宋_GB2312" w:eastAsia="仿宋_GB2312"/>
          <w:b w:val="0"/>
          <w:sz w:val="32"/>
        </w:rPr>
        <w:t>包括：无人员经费。</w:t>
      </w:r>
    </w:p>
    <w:p w14:paraId="077238C4">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40E73E5">
      <w:pPr>
        <w:spacing w:line="640" w:lineRule="exact"/>
        <w:ind w:firstLine="640"/>
        <w:jc w:val="both"/>
        <w:outlineLvl w:val="2"/>
      </w:pPr>
      <w:r>
        <w:rPr>
          <w:rFonts w:ascii="黑体" w:hAnsi="黑体" w:eastAsia="黑体"/>
          <w:sz w:val="32"/>
        </w:rPr>
        <w:t>七、政府性基金预算财政拨款收入支出决算情况说明</w:t>
      </w:r>
    </w:p>
    <w:p w14:paraId="584E65D6">
      <w:pPr>
        <w:spacing w:line="580" w:lineRule="exact"/>
        <w:ind w:firstLine="640"/>
        <w:jc w:val="both"/>
      </w:pPr>
      <w:r>
        <w:rPr>
          <w:rFonts w:ascii="仿宋_GB2312" w:hAnsi="仿宋_GB2312" w:eastAsia="仿宋_GB2312"/>
          <w:b/>
          <w:sz w:val="32"/>
        </w:rPr>
        <w:t>2024年度政府性基金预算财政拨款收入总计731.68万元，</w:t>
      </w:r>
      <w:r>
        <w:rPr>
          <w:rFonts w:ascii="仿宋_GB2312" w:hAnsi="仿宋_GB2312" w:eastAsia="仿宋_GB2312"/>
          <w:b w:val="0"/>
          <w:sz w:val="32"/>
        </w:rPr>
        <w:t>其中：年初结转和结余0.00万元，本年收入731.68万元。</w:t>
      </w:r>
      <w:r>
        <w:rPr>
          <w:rFonts w:ascii="仿宋_GB2312" w:hAnsi="仿宋_GB2312" w:eastAsia="仿宋_GB2312"/>
          <w:b/>
          <w:sz w:val="32"/>
        </w:rPr>
        <w:t>政府性基金预算财政拨款支出总计731.68万元，</w:t>
      </w:r>
      <w:r>
        <w:rPr>
          <w:rFonts w:ascii="仿宋_GB2312" w:hAnsi="仿宋_GB2312" w:eastAsia="仿宋_GB2312"/>
          <w:b w:val="0"/>
          <w:sz w:val="32"/>
        </w:rPr>
        <w:t>其中：年末结转和结余0.00万元，本年支出731.68万元。</w:t>
      </w:r>
    </w:p>
    <w:p w14:paraId="35296A2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增加28.25万元，增长4.02%，主要原因是：本年增加本级彩票发行销售业务项目资金，导致经费较上年增加。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年初预算数862.34万元，决算数731.68万元，预决算差异率-15.15%，主要原因是：本年调减彩票市场调控资金，导致预决算存在差异。</w:t>
      </w:r>
    </w:p>
    <w:p w14:paraId="6773E353">
      <w:pPr>
        <w:spacing w:line="580" w:lineRule="exact"/>
        <w:ind w:firstLine="640"/>
        <w:jc w:val="both"/>
      </w:pPr>
      <w:r>
        <w:rPr>
          <w:rFonts w:ascii="仿宋_GB2312" w:hAnsi="仿宋_GB2312" w:eastAsia="仿宋_GB2312"/>
          <w:b w:val="0"/>
          <w:sz w:val="32"/>
        </w:rPr>
        <w:t>政府性基金预算财政拨款支出731.68万元。</w:t>
      </w:r>
    </w:p>
    <w:p w14:paraId="1EBA7FC9">
      <w:pPr>
        <w:spacing w:line="580" w:lineRule="exact"/>
        <w:ind w:firstLine="640"/>
        <w:jc w:val="both"/>
      </w:pPr>
      <w:r>
        <w:rPr>
          <w:rFonts w:ascii="仿宋_GB2312" w:hAnsi="仿宋_GB2312" w:eastAsia="仿宋_GB2312"/>
          <w:b w:val="0"/>
          <w:sz w:val="32"/>
        </w:rPr>
        <w:t>1.其他支出(类)彩票发行销售机构业务费安排的支出(款)福利彩票销售机构的业务费支出(项):支出决算数为420.03万元，比上年决算增加86.60万元，增长25.97%,主要原因是：本年增加本级彩票发行销售业务项目资金，相关支出增加。</w:t>
      </w:r>
    </w:p>
    <w:p w14:paraId="27E488A6">
      <w:pPr>
        <w:spacing w:line="580" w:lineRule="exact"/>
        <w:ind w:firstLine="640"/>
        <w:jc w:val="both"/>
      </w:pPr>
      <w:r>
        <w:rPr>
          <w:rFonts w:ascii="仿宋_GB2312" w:hAnsi="仿宋_GB2312" w:eastAsia="仿宋_GB2312"/>
          <w:b w:val="0"/>
          <w:sz w:val="32"/>
        </w:rPr>
        <w:t>2.其他支出(类)彩票发行销售机构业务费安排的支出(款)彩票市场调控资金支出(项):支出决算数为311.65万元，比上年决算减少58.35万元，下降15.77%,主要原因是：本年减少彩票市场调控资金，相关支出减少。</w:t>
      </w:r>
    </w:p>
    <w:p w14:paraId="7CDF0B47">
      <w:pPr>
        <w:spacing w:line="640" w:lineRule="exact"/>
        <w:ind w:firstLine="640"/>
        <w:jc w:val="both"/>
        <w:outlineLvl w:val="2"/>
      </w:pPr>
      <w:r>
        <w:rPr>
          <w:rFonts w:ascii="黑体" w:hAnsi="黑体" w:eastAsia="黑体"/>
          <w:sz w:val="32"/>
        </w:rPr>
        <w:t>八、国有资本经营预算财政拨款收入支出决算情况说明</w:t>
      </w:r>
    </w:p>
    <w:p w14:paraId="75F4424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29A05D8">
      <w:pPr>
        <w:spacing w:line="640" w:lineRule="exact"/>
        <w:ind w:firstLine="640"/>
        <w:jc w:val="both"/>
        <w:outlineLvl w:val="2"/>
      </w:pPr>
      <w:r>
        <w:rPr>
          <w:rFonts w:ascii="黑体" w:hAnsi="黑体" w:eastAsia="黑体"/>
          <w:sz w:val="32"/>
        </w:rPr>
        <w:t>九、财政拨款“三公”经费支出决算情况说明</w:t>
      </w:r>
    </w:p>
    <w:p w14:paraId="4003AEB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2.76万元，下降100.00%，主要原因是：本单位公务用车报废，本年无财政拨款“三公”经费支出。其中：因公出国（境）费支出0.00万元，占0.00%，比上年增加0.00万元，增长0.00%，主要原因是：2023年与2024年均未安排因公出国（境）费支出。公务用车购置及运行维护费支出0.00万元，占0.00%，比上年减少2.76万元，下降100.00%，主要原因是：本单位公务用车报废，公务用车运行维护费减少。公务接待费支出0.00万元，占0.00%，比上年增加0.00万元，增长0.00%，主要原因是：2023年与2024年均未安排公务接待费支出。</w:t>
      </w:r>
    </w:p>
    <w:p w14:paraId="32D32875">
      <w:pPr>
        <w:spacing w:line="580" w:lineRule="exact"/>
        <w:ind w:firstLine="640"/>
        <w:jc w:val="both"/>
      </w:pPr>
      <w:r>
        <w:rPr>
          <w:rFonts w:ascii="仿宋_GB2312" w:hAnsi="仿宋_GB2312" w:eastAsia="仿宋_GB2312"/>
          <w:b/>
          <w:sz w:val="32"/>
        </w:rPr>
        <w:t>具体情况如下：</w:t>
      </w:r>
    </w:p>
    <w:p w14:paraId="62C70EC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E59547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964A9A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F52601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94E0AD7">
      <w:pPr>
        <w:spacing w:line="640" w:lineRule="exact"/>
        <w:ind w:firstLine="640"/>
        <w:jc w:val="both"/>
        <w:outlineLvl w:val="2"/>
      </w:pPr>
      <w:r>
        <w:rPr>
          <w:rFonts w:ascii="黑体" w:hAnsi="黑体" w:eastAsia="黑体"/>
          <w:sz w:val="32"/>
        </w:rPr>
        <w:t>十、其他重要事项的情况说明</w:t>
      </w:r>
    </w:p>
    <w:p w14:paraId="63AF4F08">
      <w:pPr>
        <w:spacing w:line="640" w:lineRule="exact"/>
        <w:ind w:firstLine="640"/>
        <w:jc w:val="both"/>
        <w:outlineLvl w:val="3"/>
      </w:pPr>
      <w:r>
        <w:rPr>
          <w:rFonts w:ascii="楷体_GB2312" w:hAnsi="楷体_GB2312" w:eastAsia="楷体_GB2312"/>
          <w:b/>
          <w:sz w:val="32"/>
        </w:rPr>
        <w:t>（一）机关运行经费及公用经费支出情况</w:t>
      </w:r>
    </w:p>
    <w:p w14:paraId="434BF259">
      <w:pPr>
        <w:spacing w:line="580" w:lineRule="exact"/>
        <w:ind w:firstLine="640"/>
        <w:jc w:val="both"/>
      </w:pPr>
      <w:r>
        <w:rPr>
          <w:rFonts w:ascii="仿宋_GB2312" w:hAnsi="仿宋_GB2312" w:eastAsia="仿宋_GB2312"/>
          <w:b w:val="0"/>
          <w:sz w:val="32"/>
        </w:rPr>
        <w:t>2024年度新疆巴音郭楞蒙古自治州福利彩票发行中心（事业单位）公用经费支出47.61万元，比上年增加13.56万元，增长39.82%，主要原因是：本年业务量增加，办公费、差旅费增加，公用经费增加。</w:t>
      </w:r>
    </w:p>
    <w:p w14:paraId="53D3F762">
      <w:pPr>
        <w:spacing w:line="640" w:lineRule="exact"/>
        <w:ind w:firstLine="640"/>
        <w:jc w:val="both"/>
        <w:outlineLvl w:val="3"/>
      </w:pPr>
      <w:r>
        <w:rPr>
          <w:rFonts w:ascii="楷体_GB2312" w:hAnsi="楷体_GB2312" w:eastAsia="楷体_GB2312"/>
          <w:b/>
          <w:sz w:val="32"/>
        </w:rPr>
        <w:t>（二）政府采购情况</w:t>
      </w:r>
    </w:p>
    <w:p w14:paraId="3655D703">
      <w:pPr>
        <w:spacing w:line="580" w:lineRule="exact"/>
        <w:ind w:firstLine="640"/>
        <w:jc w:val="both"/>
      </w:pPr>
      <w:r>
        <w:rPr>
          <w:rFonts w:ascii="仿宋_GB2312" w:hAnsi="仿宋_GB2312" w:eastAsia="仿宋_GB2312"/>
          <w:b w:val="0"/>
          <w:sz w:val="32"/>
        </w:rPr>
        <w:t>2024年度政府采购支出总额146.37万元，其中：政府采购货物支出0.23万元、政府采购工程支出0.00万元、政府采购服务支出146.14万元。</w:t>
      </w:r>
    </w:p>
    <w:p w14:paraId="0B787ADA">
      <w:pPr>
        <w:spacing w:line="580" w:lineRule="exact"/>
        <w:ind w:firstLine="640"/>
        <w:jc w:val="both"/>
      </w:pPr>
      <w:r>
        <w:rPr>
          <w:rFonts w:ascii="仿宋_GB2312" w:hAnsi="仿宋_GB2312" w:eastAsia="仿宋_GB2312"/>
          <w:b w:val="0"/>
          <w:sz w:val="32"/>
        </w:rPr>
        <w:t>授予中小企业合同金额146.37万元，占政府采购支出总额的100.00%，其中：授予小微企业合同金额110.83万元，占政府采购支出总额的75.72%。</w:t>
      </w:r>
    </w:p>
    <w:p w14:paraId="53A2BFFF">
      <w:pPr>
        <w:spacing w:line="640" w:lineRule="exact"/>
        <w:ind w:firstLine="640"/>
        <w:jc w:val="both"/>
        <w:outlineLvl w:val="3"/>
      </w:pPr>
      <w:r>
        <w:rPr>
          <w:rFonts w:ascii="楷体_GB2312" w:hAnsi="楷体_GB2312" w:eastAsia="楷体_GB2312"/>
          <w:b/>
          <w:sz w:val="32"/>
        </w:rPr>
        <w:t>（三）国有资产占用情况说明</w:t>
      </w:r>
    </w:p>
    <w:p w14:paraId="317FDE84">
      <w:pPr>
        <w:spacing w:line="580" w:lineRule="exact"/>
        <w:ind w:firstLine="640"/>
        <w:jc w:val="both"/>
      </w:pPr>
      <w:r>
        <w:rPr>
          <w:rFonts w:ascii="仿宋_GB2312" w:hAnsi="仿宋_GB2312" w:eastAsia="仿宋_GB2312"/>
          <w:b w:val="0"/>
          <w:sz w:val="32"/>
        </w:rPr>
        <w:t>截至2024年12月31日，房屋724.68平方米，价值479.65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2F4E83F">
      <w:pPr>
        <w:spacing w:line="640" w:lineRule="exact"/>
        <w:ind w:firstLine="640"/>
        <w:jc w:val="both"/>
        <w:outlineLvl w:val="2"/>
      </w:pPr>
      <w:r>
        <w:rPr>
          <w:rFonts w:ascii="黑体" w:hAnsi="黑体" w:eastAsia="黑体"/>
          <w:sz w:val="32"/>
        </w:rPr>
        <w:t>十一、预算绩效的情况说明</w:t>
      </w:r>
    </w:p>
    <w:p w14:paraId="79215A4C">
      <w:pPr>
        <w:spacing w:line="580" w:lineRule="exact"/>
        <w:ind w:firstLine="640"/>
        <w:jc w:val="both"/>
      </w:pPr>
      <w:r>
        <w:rPr>
          <w:rFonts w:ascii="仿宋_GB2312" w:hAnsi="仿宋_GB2312" w:eastAsia="仿宋_GB2312"/>
          <w:b w:val="0"/>
          <w:sz w:val="32"/>
        </w:rPr>
        <w:t>根据预算绩效管理要求，本单位预算绩效评价项目2个，全年预算数499.65万元，全年执行数478.71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一是完善相关制度，推进制度落实。依据相关法律、法规及管理办法，建立分级分类、使用高效、便于操作的实施细则及业务规范，制定绩效问责制度、公开制度等，加快形成“用钱必问效、无效必问责”的机制。二是强化运行监管，突出结果导向。预算项目和预算资金一经批复，相关单位应当迅速组织执行并加强管理，财政及有关监督部门应当动态掌握情况并监督实施。三是加强财政资金使用效益跟踪“回头看”，对资金绩效运行状况，及时预控、查找资金使用和管理过程中的薄弱环节，加快资金拨付进度，确保后续绩效目标的有效实现提供有力支撑。具体附项目支出绩效自评表。</w:t>
      </w:r>
    </w:p>
    <w:p w14:paraId="04E2D78E">
      <w:r>
        <w:br w:type="page"/>
      </w:r>
    </w:p>
    <w:tbl>
      <w:tblPr>
        <w:tblStyle w:val="9"/>
        <w:tblW w:w="0" w:type="auto"/>
        <w:tblInd w:w="0" w:type="dxa"/>
        <w:tblLayout w:type="autofit"/>
        <w:tblCellMar>
          <w:top w:w="0" w:type="dxa"/>
          <w:left w:w="108" w:type="dxa"/>
          <w:bottom w:w="0" w:type="dxa"/>
          <w:right w:w="108" w:type="dxa"/>
        </w:tblCellMar>
      </w:tblPr>
      <w:tblGrid>
        <w:gridCol w:w="613"/>
        <w:gridCol w:w="583"/>
        <w:gridCol w:w="584"/>
        <w:gridCol w:w="584"/>
        <w:gridCol w:w="856"/>
        <w:gridCol w:w="584"/>
        <w:gridCol w:w="614"/>
        <w:gridCol w:w="599"/>
        <w:gridCol w:w="584"/>
        <w:gridCol w:w="584"/>
        <w:gridCol w:w="856"/>
        <w:gridCol w:w="776"/>
        <w:gridCol w:w="629"/>
        <w:gridCol w:w="614"/>
      </w:tblGrid>
      <w:tr w14:paraId="7253645D">
        <w:tblPrEx>
          <w:tblCellMar>
            <w:top w:w="0" w:type="dxa"/>
            <w:left w:w="108" w:type="dxa"/>
            <w:bottom w:w="0" w:type="dxa"/>
            <w:right w:w="108" w:type="dxa"/>
          </w:tblCellMar>
        </w:tblPrEx>
        <w:tc>
          <w:tcPr>
            <w:tcW w:w="8848" w:type="dxa"/>
            <w:gridSpan w:val="14"/>
            <w:vAlign w:val="center"/>
          </w:tcPr>
          <w:p w14:paraId="3FD8D30B">
            <w:pPr>
              <w:jc w:val="center"/>
            </w:pPr>
            <w:r>
              <w:rPr>
                <w:rFonts w:ascii="宋体" w:hAnsi="宋体" w:eastAsia="宋体"/>
                <w:sz w:val="24"/>
              </w:rPr>
              <w:t>项目支出绩效自评表</w:t>
            </w:r>
          </w:p>
        </w:tc>
      </w:tr>
      <w:tr w14:paraId="0D57215E">
        <w:tblPrEx>
          <w:tblCellMar>
            <w:top w:w="0" w:type="dxa"/>
            <w:left w:w="108" w:type="dxa"/>
            <w:bottom w:w="0" w:type="dxa"/>
            <w:right w:w="108" w:type="dxa"/>
          </w:tblCellMar>
        </w:tblPrEx>
        <w:tc>
          <w:tcPr>
            <w:tcW w:w="8848" w:type="dxa"/>
            <w:gridSpan w:val="14"/>
            <w:vAlign w:val="center"/>
          </w:tcPr>
          <w:p w14:paraId="33B7D6B3">
            <w:pPr>
              <w:jc w:val="center"/>
            </w:pPr>
            <w:r>
              <w:rPr>
                <w:rFonts w:ascii="宋体" w:hAnsi="宋体" w:eastAsia="宋体"/>
                <w:sz w:val="24"/>
              </w:rPr>
              <w:t>(2024年度)</w:t>
            </w:r>
          </w:p>
        </w:tc>
      </w:tr>
      <w:tr w14:paraId="097ED8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4B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85A94E">
            <w:pPr>
              <w:jc w:val="center"/>
            </w:pPr>
            <w:r>
              <w:rPr>
                <w:rFonts w:ascii="宋体" w:hAnsi="宋体" w:eastAsia="宋体"/>
                <w:sz w:val="16"/>
              </w:rPr>
              <w:t>2024年福利彩票发行销售业务</w:t>
            </w:r>
          </w:p>
        </w:tc>
      </w:tr>
      <w:tr w14:paraId="27D1E5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48F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95F550">
            <w:pPr>
              <w:jc w:val="center"/>
            </w:pPr>
            <w:r>
              <w:rPr>
                <w:rFonts w:ascii="宋体" w:hAnsi="宋体" w:eastAsia="宋体"/>
                <w:sz w:val="16"/>
              </w:rPr>
              <w:t>新疆巴音郭楞蒙古自治州福利彩票发行中心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3B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959109">
            <w:pPr>
              <w:jc w:val="center"/>
            </w:pPr>
            <w:r>
              <w:rPr>
                <w:rFonts w:ascii="宋体" w:hAnsi="宋体" w:eastAsia="宋体"/>
                <w:sz w:val="16"/>
              </w:rPr>
              <w:t>新疆巴音郭楞蒙古自治州福利彩票发行中心</w:t>
            </w:r>
          </w:p>
        </w:tc>
      </w:tr>
      <w:tr w14:paraId="2AA2BD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C239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B71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E7E2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9AC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F6F3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ECDD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836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0570">
            <w:pPr>
              <w:jc w:val="center"/>
            </w:pPr>
            <w:r>
              <w:rPr>
                <w:rFonts w:ascii="宋体" w:hAnsi="宋体" w:eastAsia="宋体"/>
                <w:sz w:val="16"/>
              </w:rPr>
              <w:t>得分</w:t>
            </w:r>
          </w:p>
        </w:tc>
      </w:tr>
      <w:tr w14:paraId="174EF0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002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683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7D33A">
            <w:pPr>
              <w:jc w:val="center"/>
            </w:pPr>
            <w:r>
              <w:rPr>
                <w:rFonts w:ascii="宋体" w:hAnsi="宋体" w:eastAsia="宋体"/>
                <w:sz w:val="16"/>
              </w:rPr>
              <w:t>188.00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C05C7">
            <w:pPr>
              <w:jc w:val="center"/>
            </w:pPr>
            <w:r>
              <w:rPr>
                <w:rFonts w:ascii="宋体" w:hAnsi="宋体" w:eastAsia="宋体"/>
                <w:sz w:val="16"/>
              </w:rPr>
              <w:t>188.00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33F52">
            <w:pPr>
              <w:jc w:val="center"/>
            </w:pPr>
            <w:r>
              <w:rPr>
                <w:rFonts w:ascii="宋体" w:hAnsi="宋体" w:eastAsia="宋体"/>
                <w:sz w:val="16"/>
              </w:rPr>
              <w:t>167.06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1F6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E869B">
            <w:pPr>
              <w:jc w:val="center"/>
            </w:pPr>
            <w:r>
              <w:rPr>
                <w:rFonts w:ascii="宋体" w:hAnsi="宋体" w:eastAsia="宋体"/>
                <w:sz w:val="16"/>
              </w:rPr>
              <w:t>88.86%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46C3">
            <w:pPr>
              <w:jc w:val="center"/>
            </w:pPr>
            <w:r>
              <w:rPr>
                <w:rFonts w:ascii="宋体" w:hAnsi="宋体" w:eastAsia="宋体"/>
                <w:sz w:val="16"/>
              </w:rPr>
              <w:t>7.21</w:t>
            </w:r>
          </w:p>
        </w:tc>
      </w:tr>
      <w:tr w14:paraId="387B6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95B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D82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2D34E">
            <w:pPr>
              <w:jc w:val="center"/>
            </w:pPr>
            <w:r>
              <w:rPr>
                <w:rFonts w:ascii="宋体" w:hAnsi="宋体" w:eastAsia="宋体"/>
                <w:sz w:val="16"/>
              </w:rPr>
              <w:t>188.00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7B6F0">
            <w:pPr>
              <w:jc w:val="center"/>
            </w:pPr>
            <w:r>
              <w:rPr>
                <w:rFonts w:ascii="宋体" w:hAnsi="宋体" w:eastAsia="宋体"/>
                <w:sz w:val="16"/>
              </w:rPr>
              <w:t>188.00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3F024">
            <w:pPr>
              <w:jc w:val="center"/>
            </w:pPr>
            <w:r>
              <w:rPr>
                <w:rFonts w:ascii="宋体" w:hAnsi="宋体" w:eastAsia="宋体"/>
                <w:sz w:val="16"/>
              </w:rPr>
              <w:t>167.06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7B6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176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2380">
            <w:pPr>
              <w:jc w:val="center"/>
            </w:pPr>
            <w:r>
              <w:rPr>
                <w:rFonts w:ascii="宋体" w:hAnsi="宋体" w:eastAsia="宋体"/>
                <w:sz w:val="16"/>
              </w:rPr>
              <w:t>-</w:t>
            </w:r>
          </w:p>
        </w:tc>
      </w:tr>
      <w:tr w14:paraId="45F61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9C1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A034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E83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76F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DD9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C81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1C6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1772">
            <w:pPr>
              <w:jc w:val="center"/>
            </w:pPr>
            <w:r>
              <w:rPr>
                <w:rFonts w:ascii="宋体" w:hAnsi="宋体" w:eastAsia="宋体"/>
                <w:sz w:val="16"/>
              </w:rPr>
              <w:t>-</w:t>
            </w:r>
          </w:p>
        </w:tc>
      </w:tr>
      <w:tr w14:paraId="66C96C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7BC6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55944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870F43">
            <w:pPr>
              <w:jc w:val="center"/>
            </w:pPr>
            <w:r>
              <w:rPr>
                <w:rFonts w:ascii="宋体" w:hAnsi="宋体" w:eastAsia="宋体"/>
                <w:sz w:val="16"/>
              </w:rPr>
              <w:t>总体目标完成情况</w:t>
            </w:r>
          </w:p>
        </w:tc>
      </w:tr>
      <w:tr w14:paraId="76A86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3CE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8018E9">
            <w:pPr>
              <w:jc w:val="both"/>
            </w:pPr>
            <w:r>
              <w:rPr>
                <w:rFonts w:ascii="宋体" w:hAnsi="宋体" w:eastAsia="宋体"/>
                <w:sz w:val="16"/>
              </w:rPr>
              <w:t>建立健全风险预警、防范、控制和应对机制，坚决消除销售过程中的安全隐患，保持我州福利彩票事业平稳健康发展，实现彩票公益金1500万元以上，彩民满意度计划达到98%以上；设立福利彩票库房2个，维修面积为329.8平方米，加强监督维修质量，使得验收合格率达到100%，验收合格后支付全部维修资金达到95%以上，维修开工时间为2024年7月1日，预计6个月内完工，福利彩票销售库房维修费用25万元以下，保障正常运营时间达到95%以上；加大宣传力度，引导彩民理性消费，电脑票即开票促销次数6次以上，福利彩票广告宣传次数230次以上，福利彩票营销活动地区覆盖率达到100%，以期广告宣传、电脑票即开票促销活动按时完成率达到100%，福利彩票广告宣传共需45万元，电脑票即开票促销费用105万元，在彩票推广宣传过程中彩票发行销售运输物流完成量需要达到80次以上，配送准确率达到100%，为提高物流配送效率彩票发行销售运输物流支付及时率需要达到95%以上，由此产生彩票发行销售运输物流费13万元；完成每年自治区福利彩票发行中心下达的彩票销售任务，筹集福利彩票公益金，推动巴州福利事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DB628D">
            <w:pPr>
              <w:jc w:val="both"/>
            </w:pPr>
            <w:r>
              <w:rPr>
                <w:rFonts w:ascii="宋体" w:hAnsi="宋体" w:eastAsia="宋体"/>
                <w:sz w:val="16"/>
              </w:rPr>
              <w:t>完成了彩票发行销售运输81次，每次均严格遵循流程，确保无误。同时开展了福利彩票广告宣传231次，通过LED大屏、公众号、抖音等方式宣传扩大了影响力，实现了福利彩票营销活动地区全覆盖，电脑开票促销6次，吸引众多彩民参与。此外维修了1个面积为312.31平方米的库房，验收合格后及时支付资金，保障了工作的顺利进行和彩票业务相关设施的正常使用。</w:t>
            </w:r>
          </w:p>
        </w:tc>
      </w:tr>
      <w:tr w14:paraId="3CC61A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8A26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0F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5B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6F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734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36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D14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3F80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D13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C3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5AA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FDB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AED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731D">
            <w:pPr>
              <w:jc w:val="center"/>
            </w:pPr>
            <w:r>
              <w:rPr>
                <w:rFonts w:ascii="宋体" w:hAnsi="宋体" w:eastAsia="宋体"/>
                <w:sz w:val="16"/>
              </w:rPr>
              <w:t>偏差原因分析及改进措施</w:t>
            </w:r>
          </w:p>
        </w:tc>
      </w:tr>
      <w:tr w14:paraId="0A7EE2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FEC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E18F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4E6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F8FE">
            <w:pPr>
              <w:jc w:val="center"/>
            </w:pPr>
            <w:r>
              <w:rPr>
                <w:rFonts w:ascii="宋体" w:hAnsi="宋体" w:eastAsia="宋体"/>
                <w:sz w:val="16"/>
              </w:rPr>
              <w:t>彩票发行销售运输物流次数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C3D8">
            <w:pPr>
              <w:jc w:val="center"/>
            </w:pPr>
            <w:r>
              <w:rPr>
                <w:rFonts w:ascii="宋体" w:hAnsi="宋体" w:eastAsia="宋体"/>
                <w:sz w:val="16"/>
              </w:rPr>
              <w:t>&gt;=80次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2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8A44">
            <w:pPr>
              <w:jc w:val="center"/>
            </w:pPr>
            <w:r>
              <w:rPr>
                <w:rFonts w:ascii="宋体" w:hAnsi="宋体" w:eastAsia="宋体"/>
                <w:sz w:val="16"/>
              </w:rPr>
              <w:t>80次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08D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4F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EB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2588D">
            <w:pPr>
              <w:jc w:val="center"/>
            </w:pPr>
            <w:r>
              <w:rPr>
                <w:rFonts w:ascii="宋体" w:hAnsi="宋体" w:eastAsia="宋体"/>
                <w:sz w:val="16"/>
              </w:rPr>
              <w:t>=81次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691B">
            <w:pPr>
              <w:jc w:val="center"/>
            </w:pPr>
            <w:r>
              <w:rPr>
                <w:rFonts w:ascii="宋体" w:hAnsi="宋体" w:eastAsia="宋体"/>
                <w:sz w:val="16"/>
              </w:rPr>
              <w:t>101.25%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BC9A">
            <w:pPr>
              <w:jc w:val="center"/>
            </w:pPr>
            <w:r>
              <w:rPr>
                <w:rFonts w:ascii="宋体" w:hAnsi="宋体" w:eastAsia="宋体"/>
                <w:sz w:val="16"/>
              </w:rPr>
              <w:t>2.96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D66CC">
            <w:pPr>
              <w:jc w:val="center"/>
            </w:pPr>
            <w:r>
              <w:rPr>
                <w:rFonts w:ascii="宋体" w:hAnsi="宋体" w:eastAsia="宋体"/>
                <w:sz w:val="16"/>
              </w:rPr>
              <w:t>由于促销活动的影响，导致部分销售点供应不及时，需要临时安排额外运输来满足需求。改进措施：及时根据销售预测系统，科学合理分配销售站点彩票数量，保障彩票销售业务顺利进行。</w:t>
            </w:r>
          </w:p>
        </w:tc>
      </w:tr>
      <w:tr w14:paraId="1A7B1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7F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7B1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844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C67A">
            <w:pPr>
              <w:jc w:val="center"/>
            </w:pPr>
            <w:r>
              <w:rPr>
                <w:rFonts w:ascii="宋体" w:hAnsi="宋体" w:eastAsia="宋体"/>
                <w:sz w:val="16"/>
              </w:rPr>
              <w:t>电脑票即开票促销次数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D500">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B6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40D5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55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031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7A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EDC29">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0D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AB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FB50">
            <w:pPr>
              <w:jc w:val="center"/>
            </w:pPr>
          </w:p>
        </w:tc>
      </w:tr>
      <w:tr w14:paraId="794D7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69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B86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4E8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7C8D">
            <w:pPr>
              <w:jc w:val="center"/>
            </w:pPr>
            <w:r>
              <w:rPr>
                <w:rFonts w:ascii="宋体" w:hAnsi="宋体" w:eastAsia="宋体"/>
                <w:sz w:val="16"/>
              </w:rPr>
              <w:t>福利彩票广告宣传次数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D0C7">
            <w:pPr>
              <w:jc w:val="center"/>
            </w:pPr>
            <w:r>
              <w:rPr>
                <w:rFonts w:ascii="宋体" w:hAnsi="宋体" w:eastAsia="宋体"/>
                <w:sz w:val="16"/>
              </w:rPr>
              <w:t>&gt;=230次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24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F57AC">
            <w:pPr>
              <w:jc w:val="center"/>
            </w:pPr>
            <w:r>
              <w:rPr>
                <w:rFonts w:ascii="宋体" w:hAnsi="宋体" w:eastAsia="宋体"/>
                <w:sz w:val="16"/>
              </w:rPr>
              <w:t>230次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B96B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6B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A2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F76E">
            <w:pPr>
              <w:jc w:val="center"/>
            </w:pPr>
            <w:r>
              <w:rPr>
                <w:rFonts w:ascii="宋体" w:hAnsi="宋体" w:eastAsia="宋体"/>
                <w:sz w:val="16"/>
              </w:rPr>
              <w:t>=231次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2409">
            <w:pPr>
              <w:jc w:val="center"/>
            </w:pPr>
            <w:r>
              <w:rPr>
                <w:rFonts w:ascii="宋体" w:hAnsi="宋体" w:eastAsia="宋体"/>
                <w:sz w:val="16"/>
              </w:rPr>
              <w:t>100.43%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44351">
            <w:pPr>
              <w:jc w:val="center"/>
            </w:pPr>
            <w:r>
              <w:rPr>
                <w:rFonts w:ascii="宋体" w:hAnsi="宋体" w:eastAsia="宋体"/>
                <w:sz w:val="16"/>
              </w:rPr>
              <w:t>2.99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190E">
            <w:pPr>
              <w:jc w:val="center"/>
            </w:pPr>
          </w:p>
        </w:tc>
      </w:tr>
      <w:tr w14:paraId="16515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94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C65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113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D742">
            <w:pPr>
              <w:jc w:val="center"/>
            </w:pPr>
            <w:r>
              <w:rPr>
                <w:rFonts w:ascii="宋体" w:hAnsi="宋体" w:eastAsia="宋体"/>
                <w:sz w:val="16"/>
              </w:rPr>
              <w:t>福利彩票库房维修面积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9AC3">
            <w:pPr>
              <w:jc w:val="center"/>
            </w:pPr>
            <w:r>
              <w:rPr>
                <w:rFonts w:ascii="宋体" w:hAnsi="宋体" w:eastAsia="宋体"/>
                <w:sz w:val="16"/>
              </w:rPr>
              <w:t>&gt;=329.80平方米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7D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E6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5E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BC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55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C203">
            <w:pPr>
              <w:jc w:val="center"/>
            </w:pPr>
            <w:r>
              <w:rPr>
                <w:rFonts w:ascii="宋体" w:hAnsi="宋体" w:eastAsia="宋体"/>
                <w:sz w:val="16"/>
              </w:rPr>
              <w:t>=312.31平方米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8C78">
            <w:pPr>
              <w:jc w:val="center"/>
            </w:pPr>
            <w:r>
              <w:rPr>
                <w:rFonts w:ascii="宋体" w:hAnsi="宋体" w:eastAsia="宋体"/>
                <w:sz w:val="16"/>
              </w:rPr>
              <w:t>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0B36">
            <w:pPr>
              <w:jc w:val="center"/>
            </w:pPr>
            <w:r>
              <w:rPr>
                <w:rFonts w:ascii="宋体" w:hAnsi="宋体" w:eastAsia="宋体"/>
                <w:sz w:val="16"/>
              </w:rPr>
              <w:t>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E8B8">
            <w:pPr>
              <w:jc w:val="center"/>
            </w:pPr>
            <w:r>
              <w:rPr>
                <w:rFonts w:ascii="宋体" w:hAnsi="宋体" w:eastAsia="宋体"/>
                <w:sz w:val="16"/>
              </w:rPr>
              <w:t>由于对库房进行维修需求评估时，对潜在问题进行过度担忧。改进措施：根据实际评估需求，科学合理分析维修情况，及时调整指标。</w:t>
            </w:r>
          </w:p>
        </w:tc>
      </w:tr>
      <w:tr w14:paraId="4103E1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531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1C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BD2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B073">
            <w:pPr>
              <w:jc w:val="center"/>
            </w:pPr>
            <w:r>
              <w:rPr>
                <w:rFonts w:ascii="宋体" w:hAnsi="宋体" w:eastAsia="宋体"/>
                <w:sz w:val="16"/>
              </w:rPr>
              <w:t>福利彩票库房维修数量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1CDE">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89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12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06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43A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E9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94C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91AE">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35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7884">
            <w:pPr>
              <w:jc w:val="center"/>
            </w:pPr>
            <w:r>
              <w:rPr>
                <w:rFonts w:ascii="宋体" w:hAnsi="宋体" w:eastAsia="宋体"/>
                <w:sz w:val="16"/>
              </w:rPr>
              <w:t>由于对库房进行维修需求评估时，对潜在问题进行过度担忧，因此预估</w:t>
            </w:r>
            <w:r>
              <w:rPr>
                <w:rFonts w:hint="eastAsia" w:ascii="宋体" w:hAnsi="宋体"/>
                <w:sz w:val="16"/>
                <w:lang w:eastAsia="zh-CN"/>
              </w:rPr>
              <w:t>两间</w:t>
            </w:r>
            <w:r>
              <w:rPr>
                <w:rFonts w:ascii="宋体" w:hAnsi="宋体" w:eastAsia="宋体"/>
                <w:sz w:val="16"/>
              </w:rPr>
              <w:t>库房需要维修。改进措施：根据实际评估需求，科学合理分析维修情况，及时调整指标。</w:t>
            </w:r>
          </w:p>
        </w:tc>
      </w:tr>
      <w:tr w14:paraId="3BBFA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B8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B31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04D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E1A3">
            <w:pPr>
              <w:jc w:val="center"/>
            </w:pPr>
            <w:r>
              <w:rPr>
                <w:rFonts w:ascii="宋体" w:hAnsi="宋体" w:eastAsia="宋体"/>
                <w:sz w:val="16"/>
              </w:rPr>
              <w:t>福利彩票促销地区覆盖率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8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BC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EE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261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B5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71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19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92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88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CFDA">
            <w:pPr>
              <w:jc w:val="center"/>
            </w:pPr>
          </w:p>
        </w:tc>
      </w:tr>
      <w:tr w14:paraId="5AE9A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79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E2E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F57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5187">
            <w:pPr>
              <w:jc w:val="center"/>
            </w:pPr>
            <w:r>
              <w:rPr>
                <w:rFonts w:ascii="宋体" w:hAnsi="宋体" w:eastAsia="宋体"/>
                <w:sz w:val="16"/>
              </w:rPr>
              <w:t>福利彩票库房维修验收合格率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1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78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D5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348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6C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42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9D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D235">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018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6E6F">
            <w:pPr>
              <w:jc w:val="center"/>
            </w:pPr>
            <w:r>
              <w:rPr>
                <w:rFonts w:ascii="宋体" w:hAnsi="宋体" w:eastAsia="宋体"/>
                <w:sz w:val="16"/>
              </w:rPr>
              <w:t>由于对库房进行维修需求评估时，对潜在问题进行过度担忧。改进措施：根据实际评估需求，科学合理分析维修情况，及时调整指标。</w:t>
            </w:r>
          </w:p>
        </w:tc>
      </w:tr>
      <w:tr w14:paraId="39237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E35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C9D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863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98C4">
            <w:pPr>
              <w:jc w:val="center"/>
            </w:pPr>
            <w:r>
              <w:rPr>
                <w:rFonts w:ascii="宋体" w:hAnsi="宋体" w:eastAsia="宋体"/>
                <w:sz w:val="16"/>
              </w:rPr>
              <w:t>福利彩票广告宣传资金支付率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27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E2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13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60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30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7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8B68">
            <w:pPr>
              <w:jc w:val="center"/>
            </w:pPr>
            <w:r>
              <w:rPr>
                <w:rFonts w:ascii="宋体" w:hAnsi="宋体" w:eastAsia="宋体"/>
                <w:sz w:val="16"/>
              </w:rPr>
              <w:t>=80.64%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4A194">
            <w:pPr>
              <w:jc w:val="center"/>
            </w:pPr>
            <w:r>
              <w:rPr>
                <w:rFonts w:ascii="宋体" w:hAnsi="宋体" w:eastAsia="宋体"/>
                <w:sz w:val="16"/>
              </w:rPr>
              <w:t>84.88%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6632">
            <w:pPr>
              <w:jc w:val="center"/>
            </w:pPr>
            <w:r>
              <w:rPr>
                <w:rFonts w:ascii="宋体" w:hAnsi="宋体" w:eastAsia="宋体"/>
                <w:sz w:val="16"/>
              </w:rPr>
              <w:t>1.87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095E">
            <w:pPr>
              <w:jc w:val="center"/>
            </w:pPr>
            <w:r>
              <w:rPr>
                <w:rFonts w:ascii="宋体" w:hAnsi="宋体" w:eastAsia="宋体"/>
                <w:sz w:val="16"/>
              </w:rPr>
              <w:t>由于广告投放过程中，选择性价比高的宣传渠道，利用网络平台相对低成本但覆盖面广的渠道，因此广告宣传资金支付率有偏差。改进措施：优化渠道组合，根据目标受众的媒体使用习惯和市场变化，灵活调整，并及时调整指标。</w:t>
            </w:r>
          </w:p>
        </w:tc>
      </w:tr>
      <w:tr w14:paraId="005E71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E1C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8D2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BC2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8A22">
            <w:pPr>
              <w:jc w:val="center"/>
            </w:pPr>
            <w:r>
              <w:rPr>
                <w:rFonts w:ascii="宋体" w:hAnsi="宋体" w:eastAsia="宋体"/>
                <w:sz w:val="16"/>
              </w:rPr>
              <w:t>彩票发行销售运输物流配送准确率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B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D6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FE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B6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EB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7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1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C2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8F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5687">
            <w:pPr>
              <w:jc w:val="center"/>
            </w:pPr>
          </w:p>
        </w:tc>
      </w:tr>
      <w:tr w14:paraId="7DDDE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E1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A8D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D36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2626C">
            <w:pPr>
              <w:jc w:val="center"/>
            </w:pPr>
            <w:r>
              <w:rPr>
                <w:rFonts w:ascii="宋体" w:hAnsi="宋体" w:eastAsia="宋体"/>
                <w:sz w:val="16"/>
              </w:rPr>
              <w:t>电脑票即开票促销按时完成率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A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3A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2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219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02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A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71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65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966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482C">
            <w:pPr>
              <w:jc w:val="center"/>
            </w:pPr>
          </w:p>
        </w:tc>
      </w:tr>
      <w:tr w14:paraId="3FD57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2A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B63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1B0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10E5">
            <w:pPr>
              <w:jc w:val="center"/>
            </w:pPr>
            <w:r>
              <w:rPr>
                <w:rFonts w:ascii="宋体" w:hAnsi="宋体" w:eastAsia="宋体"/>
                <w:sz w:val="16"/>
              </w:rPr>
              <w:t>彩票发行销售运输费用支付及时率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52A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D4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1D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99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A3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3C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0EDD">
            <w:pPr>
              <w:jc w:val="center"/>
            </w:pPr>
            <w:r>
              <w:rPr>
                <w:rFonts w:ascii="宋体" w:hAnsi="宋体" w:eastAsia="宋体"/>
                <w:sz w:val="16"/>
              </w:rPr>
              <w:t>=57.15%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6041">
            <w:pPr>
              <w:jc w:val="center"/>
            </w:pPr>
            <w:r>
              <w:rPr>
                <w:rFonts w:ascii="宋体" w:hAnsi="宋体" w:eastAsia="宋体"/>
                <w:sz w:val="16"/>
              </w:rPr>
              <w:t>60.16%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81BE">
            <w:pPr>
              <w:jc w:val="center"/>
            </w:pPr>
            <w:r>
              <w:rPr>
                <w:rFonts w:ascii="宋体" w:hAnsi="宋体" w:eastAsia="宋体"/>
                <w:sz w:val="16"/>
              </w:rPr>
              <w:t>0.01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97B0">
            <w:pPr>
              <w:jc w:val="center"/>
            </w:pPr>
            <w:r>
              <w:rPr>
                <w:rFonts w:ascii="宋体" w:hAnsi="宋体" w:eastAsia="宋体"/>
                <w:sz w:val="16"/>
              </w:rPr>
              <w:t>对多个销售点的彩票需求进行整合，采用集中配送的方式，减少了运输成本。改进措施：定期评估和调整运输路线，科学合理制定配送计划并及时调整指标。</w:t>
            </w:r>
          </w:p>
        </w:tc>
      </w:tr>
      <w:tr w14:paraId="6B6480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16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6B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88F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E444">
            <w:pPr>
              <w:jc w:val="center"/>
            </w:pPr>
            <w:r>
              <w:rPr>
                <w:rFonts w:ascii="宋体" w:hAnsi="宋体" w:eastAsia="宋体"/>
                <w:sz w:val="16"/>
              </w:rPr>
              <w:t>福利彩票库房维修按计划开工时间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1822">
            <w:pPr>
              <w:jc w:val="center"/>
            </w:pPr>
            <w:r>
              <w:rPr>
                <w:rFonts w:ascii="宋体" w:hAnsi="宋体" w:eastAsia="宋体"/>
                <w:sz w:val="16"/>
              </w:rPr>
              <w:t>2024年7月1日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66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C7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44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C47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26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F393">
            <w:pPr>
              <w:jc w:val="center"/>
            </w:pPr>
            <w:r>
              <w:rPr>
                <w:rFonts w:ascii="宋体" w:hAnsi="宋体" w:eastAsia="宋体"/>
                <w:sz w:val="16"/>
              </w:rPr>
              <w:t>2024年10月12日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7A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260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4BDC">
            <w:pPr>
              <w:jc w:val="center"/>
            </w:pPr>
            <w:r>
              <w:rPr>
                <w:rFonts w:ascii="宋体" w:hAnsi="宋体" w:eastAsia="宋体"/>
                <w:sz w:val="16"/>
              </w:rPr>
              <w:t>由于招投标较晚，导致维修合同签订晚，因此延误了开工时间。改进措施：制定好维修计划后，及时招投标，若遇突发问题及时解决并调整指标。</w:t>
            </w:r>
          </w:p>
        </w:tc>
      </w:tr>
      <w:tr w14:paraId="62CF9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48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5AC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7B9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257A">
            <w:pPr>
              <w:jc w:val="center"/>
            </w:pPr>
            <w:r>
              <w:rPr>
                <w:rFonts w:ascii="宋体" w:hAnsi="宋体" w:eastAsia="宋体"/>
                <w:sz w:val="16"/>
              </w:rPr>
              <w:t>福利彩票库房维修按计划完工时间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9A4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82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37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52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8AE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9C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4D2A">
            <w:pPr>
              <w:jc w:val="center"/>
            </w:pPr>
            <w:r>
              <w:rPr>
                <w:rFonts w:ascii="宋体" w:hAnsi="宋体" w:eastAsia="宋体"/>
                <w:sz w:val="16"/>
              </w:rPr>
              <w:t>2024年12月3日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5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BB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522B">
            <w:pPr>
              <w:jc w:val="center"/>
            </w:pPr>
          </w:p>
        </w:tc>
      </w:tr>
      <w:tr w14:paraId="32D29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878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291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418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49B4">
            <w:pPr>
              <w:jc w:val="center"/>
            </w:pPr>
            <w:r>
              <w:rPr>
                <w:rFonts w:ascii="宋体" w:hAnsi="宋体" w:eastAsia="宋体"/>
                <w:sz w:val="16"/>
              </w:rPr>
              <w:t>福利彩票广告宣传成本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D2F4">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AF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0389">
            <w:pPr>
              <w:jc w:val="center"/>
            </w:pPr>
            <w:r>
              <w:rPr>
                <w:rFonts w:ascii="宋体" w:hAnsi="宋体" w:eastAsia="宋体"/>
                <w:sz w:val="16"/>
              </w:rPr>
              <w: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813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56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E5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0018">
            <w:pPr>
              <w:jc w:val="center"/>
            </w:pPr>
            <w:r>
              <w:rPr>
                <w:rFonts w:ascii="宋体" w:hAnsi="宋体" w:eastAsia="宋体"/>
                <w:sz w:val="16"/>
              </w:rPr>
              <w:t>=36.29万元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3317">
            <w:pPr>
              <w:jc w:val="center"/>
            </w:pPr>
            <w:r>
              <w:rPr>
                <w:rFonts w:ascii="宋体" w:hAnsi="宋体" w:eastAsia="宋体"/>
                <w:sz w:val="16"/>
              </w:rPr>
              <w:t>80.64%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5CE1">
            <w:pPr>
              <w:jc w:val="center"/>
            </w:pPr>
            <w:r>
              <w:rPr>
                <w:rFonts w:ascii="宋体" w:hAnsi="宋体" w:eastAsia="宋体"/>
                <w:sz w:val="16"/>
              </w:rPr>
              <w:t>2.58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9C3C">
            <w:pPr>
              <w:jc w:val="center"/>
            </w:pPr>
            <w:r>
              <w:rPr>
                <w:rFonts w:ascii="宋体" w:hAnsi="宋体" w:eastAsia="宋体"/>
                <w:sz w:val="16"/>
              </w:rPr>
              <w:t>由于广告投放过程中，选择性价比高的宣传渠道，利用网络平台相对低成本但覆盖面广的渠道。改进措施：优化渠道组合，根据目标受众的媒体使用习惯和市场变化，灵活调整，并及时调整指标。</w:t>
            </w:r>
          </w:p>
        </w:tc>
      </w:tr>
      <w:tr w14:paraId="6E93A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C7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C82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A45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FE50">
            <w:pPr>
              <w:jc w:val="center"/>
            </w:pPr>
            <w:r>
              <w:rPr>
                <w:rFonts w:ascii="宋体" w:hAnsi="宋体" w:eastAsia="宋体"/>
                <w:sz w:val="16"/>
              </w:rPr>
              <w:t>电脑票即开票促销费用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8A07">
            <w:pPr>
              <w:jc w:val="center"/>
            </w:pPr>
            <w:r>
              <w:rPr>
                <w:rFonts w:ascii="宋体" w:hAnsi="宋体" w:eastAsia="宋体"/>
                <w:sz w:val="16"/>
              </w:rPr>
              <w:t>&lt;=105万元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FA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4B38">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53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9B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D8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577D">
            <w:pPr>
              <w:jc w:val="center"/>
            </w:pPr>
            <w:r>
              <w:rPr>
                <w:rFonts w:ascii="宋体" w:hAnsi="宋体" w:eastAsia="宋体"/>
                <w:sz w:val="16"/>
              </w:rPr>
              <w:t>=100.33万元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D35F">
            <w:pPr>
              <w:jc w:val="center"/>
            </w:pPr>
            <w:r>
              <w:rPr>
                <w:rFonts w:ascii="宋体" w:hAnsi="宋体" w:eastAsia="宋体"/>
                <w:sz w:val="16"/>
              </w:rPr>
              <w:t>95.55%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D696">
            <w:pPr>
              <w:jc w:val="center"/>
            </w:pPr>
            <w:r>
              <w:rPr>
                <w:rFonts w:ascii="宋体" w:hAnsi="宋体" w:eastAsia="宋体"/>
                <w:sz w:val="16"/>
              </w:rPr>
              <w:t>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DE7D">
            <w:pPr>
              <w:jc w:val="center"/>
            </w:pPr>
            <w:r>
              <w:rPr>
                <w:rFonts w:ascii="宋体" w:hAnsi="宋体" w:eastAsia="宋体"/>
                <w:sz w:val="16"/>
              </w:rPr>
              <w:t>由于彩民购买意愿降低，导致活动促销费用降低。改进措施：根据市场需求和彩民反馈，适时</w:t>
            </w:r>
            <w:r>
              <w:rPr>
                <w:rFonts w:hint="eastAsia" w:ascii="宋体" w:hAnsi="宋体"/>
                <w:sz w:val="16"/>
                <w:lang w:eastAsia="zh-CN"/>
              </w:rPr>
              <w:t>调整</w:t>
            </w:r>
            <w:r>
              <w:rPr>
                <w:rFonts w:ascii="宋体" w:hAnsi="宋体" w:eastAsia="宋体"/>
                <w:sz w:val="16"/>
              </w:rPr>
              <w:t>电脑票的游戏规则，设计出更具吸引力的彩票玩法。</w:t>
            </w:r>
          </w:p>
        </w:tc>
      </w:tr>
      <w:tr w14:paraId="32A76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96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4D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61E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6940">
            <w:pPr>
              <w:jc w:val="center"/>
            </w:pPr>
            <w:r>
              <w:rPr>
                <w:rFonts w:ascii="宋体" w:hAnsi="宋体" w:eastAsia="宋体"/>
                <w:sz w:val="16"/>
              </w:rPr>
              <w:t>彩票发行销售运输物流费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50BE">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68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2264">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A5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31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6D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2502">
            <w:pPr>
              <w:jc w:val="center"/>
            </w:pPr>
            <w:r>
              <w:rPr>
                <w:rFonts w:ascii="宋体" w:hAnsi="宋体" w:eastAsia="宋体"/>
                <w:sz w:val="16"/>
              </w:rPr>
              <w:t>=7.43万元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D333">
            <w:pPr>
              <w:jc w:val="center"/>
            </w:pPr>
            <w:r>
              <w:rPr>
                <w:rFonts w:ascii="宋体" w:hAnsi="宋体" w:eastAsia="宋体"/>
                <w:sz w:val="16"/>
              </w:rPr>
              <w:t>57.15%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32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9431">
            <w:pPr>
              <w:jc w:val="center"/>
            </w:pPr>
            <w:r>
              <w:rPr>
                <w:rFonts w:ascii="宋体" w:hAnsi="宋体" w:eastAsia="宋体"/>
                <w:sz w:val="16"/>
              </w:rPr>
              <w:t>对多个销售点的彩票需求进行整合，采用集中配送的方式，减少了运输成本。改进措施：定期评估和调整运输路线，科学合理制定配送计划并及时调整指标。</w:t>
            </w:r>
          </w:p>
        </w:tc>
      </w:tr>
      <w:tr w14:paraId="0A475E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3D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7C0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004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2D61">
            <w:pPr>
              <w:jc w:val="center"/>
            </w:pPr>
            <w:r>
              <w:rPr>
                <w:rFonts w:ascii="宋体" w:hAnsi="宋体" w:eastAsia="宋体"/>
                <w:sz w:val="16"/>
              </w:rPr>
              <w:t>福利彩票库房维修费用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86FA">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6B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79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58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90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80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5E3A">
            <w:pPr>
              <w:jc w:val="center"/>
            </w:pPr>
            <w:r>
              <w:rPr>
                <w:rFonts w:ascii="宋体" w:hAnsi="宋体" w:eastAsia="宋体"/>
                <w:sz w:val="16"/>
              </w:rPr>
              <w:t>=23.01万元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4E41">
            <w:pPr>
              <w:jc w:val="center"/>
            </w:pPr>
            <w:r>
              <w:rPr>
                <w:rFonts w:ascii="宋体" w:hAnsi="宋体" w:eastAsia="宋体"/>
                <w:sz w:val="16"/>
              </w:rPr>
              <w:t>92.04%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03C5">
            <w:pPr>
              <w:jc w:val="center"/>
            </w:pPr>
            <w:r>
              <w:rPr>
                <w:rFonts w:ascii="宋体" w:hAnsi="宋体" w:eastAsia="宋体"/>
                <w:sz w:val="16"/>
              </w:rPr>
              <w:t>4.01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3FF4">
            <w:pPr>
              <w:jc w:val="center"/>
            </w:pPr>
            <w:r>
              <w:rPr>
                <w:rFonts w:ascii="宋体" w:hAnsi="宋体" w:eastAsia="宋体"/>
                <w:sz w:val="16"/>
              </w:rPr>
              <w:t>由于对库房进行维修需求评估时，对潜在问题进行过度担忧。改进措施：根据实际评估需求，科学合理分析维修情况及维修成本，及时调整指标。</w:t>
            </w:r>
          </w:p>
        </w:tc>
      </w:tr>
      <w:tr w14:paraId="0E91D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A9C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A94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D4A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C7BB">
            <w:pPr>
              <w:jc w:val="center"/>
            </w:pPr>
            <w:r>
              <w:rPr>
                <w:rFonts w:ascii="宋体" w:hAnsi="宋体" w:eastAsia="宋体"/>
                <w:sz w:val="16"/>
              </w:rPr>
              <w:t>筹集福利彩票公益金金额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035C">
            <w:pPr>
              <w:jc w:val="center"/>
            </w:pPr>
            <w:r>
              <w:rPr>
                <w:rFonts w:ascii="宋体" w:hAnsi="宋体" w:eastAsia="宋体"/>
                <w:sz w:val="16"/>
              </w:rPr>
              <w:t>&gt;=1500万元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04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FC21">
            <w:pPr>
              <w:jc w:val="center"/>
            </w:pPr>
            <w:r>
              <w:rPr>
                <w:rFonts w:ascii="宋体" w:hAnsi="宋体" w:eastAsia="宋体"/>
                <w:sz w:val="16"/>
              </w:rPr>
              <w:t>1500万元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4A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6E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F0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26CC">
            <w:pPr>
              <w:jc w:val="center"/>
            </w:pPr>
            <w:r>
              <w:rPr>
                <w:rFonts w:ascii="宋体" w:hAnsi="宋体" w:eastAsia="宋体"/>
                <w:sz w:val="16"/>
              </w:rPr>
              <w:t>=5339.57万元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8803">
            <w:pPr>
              <w:jc w:val="center"/>
            </w:pPr>
            <w:r>
              <w:rPr>
                <w:rFonts w:ascii="宋体" w:hAnsi="宋体" w:eastAsia="宋体"/>
                <w:sz w:val="16"/>
              </w:rPr>
              <w:t>355.97%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A2C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8D45">
            <w:pPr>
              <w:jc w:val="center"/>
            </w:pPr>
            <w:r>
              <w:rPr>
                <w:rFonts w:hint="eastAsia" w:ascii="宋体" w:hAnsi="宋体"/>
                <w:sz w:val="16"/>
                <w:lang w:eastAsia="zh-CN"/>
              </w:rPr>
              <w:t>由于</w:t>
            </w:r>
            <w:r>
              <w:rPr>
                <w:rFonts w:ascii="宋体" w:hAnsi="宋体" w:eastAsia="宋体"/>
                <w:sz w:val="16"/>
              </w:rPr>
              <w:t>整个社会对公益事业的关注度不断提高，使更多人愿意通过彩票购买，推动公益金的筹集量增加。改进措施：及时关注彩票公益金的情况，及时调整指标。</w:t>
            </w:r>
          </w:p>
        </w:tc>
      </w:tr>
      <w:tr w14:paraId="11B84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23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726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149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606C">
            <w:pPr>
              <w:jc w:val="center"/>
            </w:pPr>
            <w:r>
              <w:rPr>
                <w:rFonts w:ascii="宋体" w:hAnsi="宋体" w:eastAsia="宋体"/>
                <w:sz w:val="16"/>
              </w:rPr>
              <w:t>福利彩票库房正常运转率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E79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F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08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47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8C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91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0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FBB3">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5BA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F739">
            <w:pPr>
              <w:jc w:val="center"/>
            </w:pPr>
            <w:r>
              <w:rPr>
                <w:rFonts w:ascii="宋体" w:hAnsi="宋体" w:eastAsia="宋体"/>
                <w:sz w:val="16"/>
              </w:rPr>
              <w:t>由于对库房进行维修需求评估时，对潜在问题进行过度担忧，因此预估</w:t>
            </w:r>
            <w:r>
              <w:rPr>
                <w:rFonts w:hint="eastAsia" w:ascii="宋体" w:hAnsi="宋体"/>
                <w:sz w:val="16"/>
                <w:lang w:eastAsia="zh-CN"/>
              </w:rPr>
              <w:t>两间</w:t>
            </w:r>
            <w:r>
              <w:rPr>
                <w:rFonts w:ascii="宋体" w:hAnsi="宋体" w:eastAsia="宋体"/>
                <w:sz w:val="16"/>
              </w:rPr>
              <w:t>库房需要维修。改进措施：根据实际评估需求，科学合理分析维修情况，及时调整指标。</w:t>
            </w:r>
          </w:p>
        </w:tc>
      </w:tr>
      <w:tr w14:paraId="131A9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636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9AC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B81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1BDD">
            <w:pPr>
              <w:jc w:val="center"/>
            </w:pPr>
            <w:r>
              <w:rPr>
                <w:rFonts w:ascii="宋体" w:hAnsi="宋体" w:eastAsia="宋体"/>
                <w:sz w:val="16"/>
              </w:rPr>
              <w:t>福利彩票广告宣传知晓率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9A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2A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75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C8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30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B0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AC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79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439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AEE3">
            <w:pPr>
              <w:jc w:val="center"/>
            </w:pPr>
          </w:p>
        </w:tc>
      </w:tr>
      <w:tr w14:paraId="1574D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EE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C4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86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D359">
            <w:pPr>
              <w:jc w:val="center"/>
            </w:pPr>
            <w:r>
              <w:rPr>
                <w:rFonts w:ascii="宋体" w:hAnsi="宋体" w:eastAsia="宋体"/>
                <w:sz w:val="16"/>
              </w:rPr>
              <w:t>彩民满意度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E54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75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35B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2E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58F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27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35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EC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56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4B51">
            <w:pPr>
              <w:jc w:val="center"/>
            </w:pPr>
          </w:p>
        </w:tc>
      </w:tr>
      <w:tr w14:paraId="135DB96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95E0F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AC55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9FD6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9E0E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FE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4967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B3DF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44DF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BD9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120F">
            <w:pPr>
              <w:jc w:val="center"/>
            </w:pPr>
            <w:r>
              <w:rPr>
                <w:rFonts w:ascii="宋体" w:hAnsi="宋体" w:eastAsia="宋体"/>
                <w:sz w:val="16"/>
              </w:rPr>
              <w:t>59.67分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3D6359"/>
        </w:tc>
      </w:tr>
    </w:tbl>
    <w:p w14:paraId="7BDE2617">
      <w:r>
        <w:br w:type="page"/>
      </w:r>
    </w:p>
    <w:tbl>
      <w:tblPr>
        <w:tblStyle w:val="9"/>
        <w:tblW w:w="0" w:type="auto"/>
        <w:tblInd w:w="0" w:type="dxa"/>
        <w:tblLayout w:type="autofit"/>
        <w:tblCellMar>
          <w:top w:w="0" w:type="dxa"/>
          <w:left w:w="108" w:type="dxa"/>
          <w:bottom w:w="0" w:type="dxa"/>
          <w:right w:w="108" w:type="dxa"/>
        </w:tblCellMar>
      </w:tblPr>
      <w:tblGrid>
        <w:gridCol w:w="606"/>
        <w:gridCol w:w="563"/>
        <w:gridCol w:w="563"/>
        <w:gridCol w:w="563"/>
        <w:gridCol w:w="1016"/>
        <w:gridCol w:w="563"/>
        <w:gridCol w:w="606"/>
        <w:gridCol w:w="585"/>
        <w:gridCol w:w="563"/>
        <w:gridCol w:w="563"/>
        <w:gridCol w:w="936"/>
        <w:gridCol w:w="607"/>
        <w:gridCol w:w="697"/>
        <w:gridCol w:w="629"/>
      </w:tblGrid>
      <w:tr w14:paraId="15005B73">
        <w:tblPrEx>
          <w:tblCellMar>
            <w:top w:w="0" w:type="dxa"/>
            <w:left w:w="108" w:type="dxa"/>
            <w:bottom w:w="0" w:type="dxa"/>
            <w:right w:w="108" w:type="dxa"/>
          </w:tblCellMar>
        </w:tblPrEx>
        <w:tc>
          <w:tcPr>
            <w:tcW w:w="8848" w:type="dxa"/>
            <w:gridSpan w:val="14"/>
            <w:vAlign w:val="center"/>
          </w:tcPr>
          <w:p w14:paraId="056BBD8E">
            <w:pPr>
              <w:jc w:val="center"/>
            </w:pPr>
            <w:r>
              <w:rPr>
                <w:rFonts w:ascii="宋体" w:hAnsi="宋体" w:eastAsia="宋体"/>
                <w:sz w:val="24"/>
              </w:rPr>
              <w:t>项目支出绩效自评表</w:t>
            </w:r>
          </w:p>
        </w:tc>
      </w:tr>
      <w:tr w14:paraId="65D7C658">
        <w:tblPrEx>
          <w:tblCellMar>
            <w:top w:w="0" w:type="dxa"/>
            <w:left w:w="108" w:type="dxa"/>
            <w:bottom w:w="0" w:type="dxa"/>
            <w:right w:w="108" w:type="dxa"/>
          </w:tblCellMar>
        </w:tblPrEx>
        <w:tc>
          <w:tcPr>
            <w:tcW w:w="8848" w:type="dxa"/>
            <w:gridSpan w:val="14"/>
            <w:vAlign w:val="center"/>
          </w:tcPr>
          <w:p w14:paraId="45888076">
            <w:pPr>
              <w:jc w:val="center"/>
            </w:pPr>
            <w:r>
              <w:rPr>
                <w:rFonts w:ascii="宋体" w:hAnsi="宋体" w:eastAsia="宋体"/>
                <w:sz w:val="24"/>
              </w:rPr>
              <w:t>(2024年度)</w:t>
            </w:r>
          </w:p>
        </w:tc>
      </w:tr>
      <w:tr w14:paraId="6123C6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60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A5CDA9">
            <w:pPr>
              <w:jc w:val="center"/>
            </w:pPr>
            <w:r>
              <w:rPr>
                <w:rFonts w:ascii="宋体" w:hAnsi="宋体" w:eastAsia="宋体"/>
                <w:sz w:val="16"/>
              </w:rPr>
              <w:t>提前下达2024年自治区福利彩票市场调控资金项目</w:t>
            </w:r>
          </w:p>
        </w:tc>
      </w:tr>
      <w:tr w14:paraId="253B02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FF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60D31">
            <w:pPr>
              <w:jc w:val="center"/>
            </w:pPr>
            <w:r>
              <w:rPr>
                <w:rFonts w:ascii="宋体" w:hAnsi="宋体" w:eastAsia="宋体"/>
                <w:sz w:val="16"/>
              </w:rPr>
              <w:t>新疆巴音郭楞蒙古自治州福利彩票发行中心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35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AA38F6">
            <w:pPr>
              <w:jc w:val="center"/>
            </w:pPr>
            <w:r>
              <w:rPr>
                <w:rFonts w:ascii="宋体" w:hAnsi="宋体" w:eastAsia="宋体"/>
                <w:sz w:val="16"/>
              </w:rPr>
              <w:t>新疆巴音郭楞蒙古自治州福利彩票发行中心</w:t>
            </w:r>
          </w:p>
        </w:tc>
      </w:tr>
      <w:tr w14:paraId="6EE215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A394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7B3A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D87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4E3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CBD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9CC3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AF9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8A99">
            <w:pPr>
              <w:jc w:val="center"/>
            </w:pPr>
            <w:r>
              <w:rPr>
                <w:rFonts w:ascii="宋体" w:hAnsi="宋体" w:eastAsia="宋体"/>
                <w:sz w:val="16"/>
              </w:rPr>
              <w:t>得分</w:t>
            </w:r>
          </w:p>
        </w:tc>
      </w:tr>
      <w:tr w14:paraId="42AA16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239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0D8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21830">
            <w:pPr>
              <w:jc w:val="center"/>
            </w:pPr>
            <w:r>
              <w:rPr>
                <w:rFonts w:ascii="宋体" w:hAnsi="宋体" w:eastAsia="宋体"/>
                <w:sz w:val="16"/>
              </w:rPr>
              <w:t>374.00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C48B2">
            <w:pPr>
              <w:jc w:val="center"/>
            </w:pPr>
            <w:r>
              <w:rPr>
                <w:rFonts w:ascii="宋体" w:hAnsi="宋体" w:eastAsia="宋体"/>
                <w:sz w:val="16"/>
              </w:rPr>
              <w:t>311.65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083A6">
            <w:pPr>
              <w:jc w:val="center"/>
            </w:pPr>
            <w:r>
              <w:rPr>
                <w:rFonts w:ascii="宋体" w:hAnsi="宋体" w:eastAsia="宋体"/>
                <w:sz w:val="16"/>
              </w:rPr>
              <w:t>311.65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79C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633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03B6">
            <w:pPr>
              <w:jc w:val="center"/>
            </w:pPr>
            <w:r>
              <w:rPr>
                <w:rFonts w:ascii="宋体" w:hAnsi="宋体" w:eastAsia="宋体"/>
                <w:sz w:val="16"/>
              </w:rPr>
              <w:t>10.00</w:t>
            </w:r>
          </w:p>
        </w:tc>
      </w:tr>
      <w:tr w14:paraId="3CBDA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AE1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17B4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BE4C4">
            <w:pPr>
              <w:jc w:val="center"/>
            </w:pPr>
            <w:r>
              <w:rPr>
                <w:rFonts w:ascii="宋体" w:hAnsi="宋体" w:eastAsia="宋体"/>
                <w:sz w:val="16"/>
              </w:rPr>
              <w:t>374.00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104F4">
            <w:pPr>
              <w:jc w:val="center"/>
            </w:pPr>
            <w:r>
              <w:rPr>
                <w:rFonts w:ascii="宋体" w:hAnsi="宋体" w:eastAsia="宋体"/>
                <w:sz w:val="16"/>
              </w:rPr>
              <w:t>311.65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EBD62">
            <w:pPr>
              <w:jc w:val="center"/>
            </w:pPr>
            <w:r>
              <w:rPr>
                <w:rFonts w:ascii="宋体" w:hAnsi="宋体" w:eastAsia="宋体"/>
                <w:sz w:val="16"/>
              </w:rPr>
              <w:t>311.65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DBA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BD0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AE38">
            <w:pPr>
              <w:jc w:val="center"/>
            </w:pPr>
            <w:r>
              <w:rPr>
                <w:rFonts w:ascii="宋体" w:hAnsi="宋体" w:eastAsia="宋体"/>
                <w:sz w:val="16"/>
              </w:rPr>
              <w:t>-</w:t>
            </w:r>
          </w:p>
        </w:tc>
      </w:tr>
      <w:tr w14:paraId="23C9E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7D4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9F1B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357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9E2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86A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2AD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D26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A667">
            <w:pPr>
              <w:jc w:val="center"/>
            </w:pPr>
            <w:r>
              <w:rPr>
                <w:rFonts w:ascii="宋体" w:hAnsi="宋体" w:eastAsia="宋体"/>
                <w:sz w:val="16"/>
              </w:rPr>
              <w:t>-</w:t>
            </w:r>
          </w:p>
        </w:tc>
      </w:tr>
      <w:tr w14:paraId="47DC2F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8F97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CCF5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10A1D1">
            <w:pPr>
              <w:jc w:val="center"/>
            </w:pPr>
            <w:r>
              <w:rPr>
                <w:rFonts w:ascii="宋体" w:hAnsi="宋体" w:eastAsia="宋体"/>
                <w:sz w:val="16"/>
              </w:rPr>
              <w:t>总体目标完成情况</w:t>
            </w:r>
          </w:p>
        </w:tc>
      </w:tr>
      <w:tr w14:paraId="15AF6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47B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E530A2">
            <w:pPr>
              <w:jc w:val="both"/>
            </w:pPr>
            <w:r>
              <w:rPr>
                <w:rFonts w:ascii="宋体" w:hAnsi="宋体" w:eastAsia="宋体"/>
                <w:sz w:val="16"/>
              </w:rPr>
              <w:t>通过彩票市场调控资金项目支出，规范全州彩票市场销售秩序，支持全州福利彩票市场发展，支持彩票销售网点数量316个，夯实市场运维管理服务基础，使彩票销售网点运维服务覆盖率达到90%以上，销售网点网络通讯覆盖率90%，以提升福利彩票销售运维管理服务，保障福彩销售市场安全运行，完成2024年福利彩票销售目标任务77239.83万元和公益金筹集任务5339.57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7C12FB">
            <w:pPr>
              <w:jc w:val="both"/>
            </w:pPr>
            <w:r>
              <w:rPr>
                <w:rFonts w:ascii="宋体" w:hAnsi="宋体" w:eastAsia="宋体"/>
                <w:sz w:val="16"/>
              </w:rPr>
              <w:t>完成支持了316个彩票销售网点的运维服务及网络通讯全覆盖，保障了福利彩票销售市场的安全运行，并完成了福利彩票销售目标任务及公益金筹集任务。</w:t>
            </w:r>
          </w:p>
        </w:tc>
      </w:tr>
      <w:tr w14:paraId="27ED82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A3E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E5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503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9C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EB9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D9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1A4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CC2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408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B9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6BC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DBC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A448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7F34">
            <w:pPr>
              <w:jc w:val="center"/>
            </w:pPr>
            <w:r>
              <w:rPr>
                <w:rFonts w:ascii="宋体" w:hAnsi="宋体" w:eastAsia="宋体"/>
                <w:sz w:val="16"/>
              </w:rPr>
              <w:t>偏差原因分析及改进措施</w:t>
            </w:r>
          </w:p>
        </w:tc>
      </w:tr>
      <w:tr w14:paraId="5E12C9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374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D6EF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9C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EBD6">
            <w:pPr>
              <w:jc w:val="center"/>
            </w:pPr>
            <w:r>
              <w:rPr>
                <w:rFonts w:ascii="宋体" w:hAnsi="宋体" w:eastAsia="宋体"/>
                <w:sz w:val="16"/>
              </w:rPr>
              <w:t>支持彩票销售网点数量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C72B">
            <w:pPr>
              <w:jc w:val="center"/>
            </w:pPr>
            <w:r>
              <w:rPr>
                <w:rFonts w:ascii="宋体" w:hAnsi="宋体" w:eastAsia="宋体"/>
                <w:sz w:val="16"/>
              </w:rPr>
              <w:t>&gt;=316个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50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84E3">
            <w:pPr>
              <w:jc w:val="center"/>
            </w:pPr>
            <w:r>
              <w:rPr>
                <w:rFonts w:ascii="宋体" w:hAnsi="宋体" w:eastAsia="宋体"/>
                <w:sz w:val="16"/>
              </w:rPr>
              <w:t>297个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69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C8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2C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08B7">
            <w:pPr>
              <w:jc w:val="center"/>
            </w:pPr>
            <w:r>
              <w:rPr>
                <w:rFonts w:ascii="宋体" w:hAnsi="宋体" w:eastAsia="宋体"/>
                <w:sz w:val="16"/>
              </w:rPr>
              <w:t>=316个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5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17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0074">
            <w:pPr>
              <w:jc w:val="center"/>
            </w:pPr>
          </w:p>
        </w:tc>
      </w:tr>
      <w:tr w14:paraId="6B7C7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4A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4DD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6BA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24AB">
            <w:pPr>
              <w:jc w:val="center"/>
            </w:pPr>
            <w:r>
              <w:rPr>
                <w:rFonts w:ascii="宋体" w:hAnsi="宋体" w:eastAsia="宋体"/>
                <w:sz w:val="16"/>
              </w:rPr>
              <w:t>彩票销售网点运维服务覆盖率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23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36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FC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4B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49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C7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8A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5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C1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ABBE3">
            <w:pPr>
              <w:jc w:val="center"/>
            </w:pPr>
          </w:p>
        </w:tc>
      </w:tr>
      <w:tr w14:paraId="1EE6C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B74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AFE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BE8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113A">
            <w:pPr>
              <w:jc w:val="center"/>
            </w:pPr>
            <w:r>
              <w:rPr>
                <w:rFonts w:ascii="宋体" w:hAnsi="宋体" w:eastAsia="宋体"/>
                <w:sz w:val="16"/>
              </w:rPr>
              <w:t>销售网点网络通讯覆盖率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680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9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7C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40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C2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C8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BB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96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94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B523">
            <w:pPr>
              <w:jc w:val="center"/>
            </w:pPr>
          </w:p>
        </w:tc>
      </w:tr>
      <w:tr w14:paraId="4EB55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D04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1D0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46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9FB9">
            <w:pPr>
              <w:jc w:val="center"/>
            </w:pPr>
            <w:r>
              <w:rPr>
                <w:rFonts w:ascii="宋体" w:hAnsi="宋体" w:eastAsia="宋体"/>
                <w:sz w:val="16"/>
              </w:rPr>
              <w:t>彩票市场调控资金使用完成时间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5303">
            <w:pPr>
              <w:jc w:val="center"/>
            </w:pPr>
            <w:r>
              <w:rPr>
                <w:rFonts w:ascii="宋体" w:hAnsi="宋体" w:eastAsia="宋体"/>
                <w:sz w:val="16"/>
              </w:rPr>
              <w:t>2024年12月18日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FF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E584">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FF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30E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1F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2F00">
            <w:pPr>
              <w:jc w:val="center"/>
            </w:pPr>
            <w:r>
              <w:rPr>
                <w:rFonts w:ascii="宋体" w:hAnsi="宋体" w:eastAsia="宋体"/>
                <w:sz w:val="16"/>
              </w:rPr>
              <w:t>=2024年12月18日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3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D6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0B05">
            <w:pPr>
              <w:jc w:val="center"/>
            </w:pPr>
          </w:p>
        </w:tc>
      </w:tr>
      <w:tr w14:paraId="2FAD5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8A8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2DC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D3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9A78">
            <w:pPr>
              <w:jc w:val="center"/>
            </w:pPr>
            <w:r>
              <w:rPr>
                <w:rFonts w:ascii="宋体" w:hAnsi="宋体" w:eastAsia="宋体"/>
                <w:sz w:val="16"/>
              </w:rPr>
              <w:t>平均每个彩票销售网点金额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1A8E">
            <w:pPr>
              <w:jc w:val="center"/>
            </w:pPr>
            <w:r>
              <w:rPr>
                <w:rFonts w:ascii="宋体" w:hAnsi="宋体" w:eastAsia="宋体"/>
                <w:sz w:val="16"/>
              </w:rPr>
              <w:t>&lt;=9862.34元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EF1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FF1F">
            <w:pPr>
              <w:jc w:val="center"/>
            </w:pPr>
            <w:r>
              <w:rPr>
                <w:rFonts w:ascii="宋体" w:hAnsi="宋体" w:eastAsia="宋体"/>
                <w:sz w:val="16"/>
              </w:rPr>
              <w:t>370万元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91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17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D3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832E">
            <w:pPr>
              <w:jc w:val="center"/>
            </w:pPr>
            <w:r>
              <w:rPr>
                <w:rFonts w:ascii="宋体" w:hAnsi="宋体" w:eastAsia="宋体"/>
                <w:sz w:val="16"/>
              </w:rPr>
              <w:t>=9862.34元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21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E0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0D86">
            <w:pPr>
              <w:jc w:val="center"/>
            </w:pPr>
          </w:p>
        </w:tc>
      </w:tr>
      <w:tr w14:paraId="3C518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EA2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79A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0DE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CEEB">
            <w:pPr>
              <w:jc w:val="center"/>
            </w:pPr>
            <w:r>
              <w:rPr>
                <w:rFonts w:ascii="宋体" w:hAnsi="宋体" w:eastAsia="宋体"/>
                <w:sz w:val="16"/>
              </w:rPr>
              <w:t>全年福利彩票销售额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1516">
            <w:pPr>
              <w:jc w:val="center"/>
            </w:pPr>
            <w:r>
              <w:rPr>
                <w:rFonts w:ascii="宋体" w:hAnsi="宋体" w:eastAsia="宋体"/>
                <w:sz w:val="16"/>
              </w:rPr>
              <w:t>&gt;=77239.83万元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06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34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E1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8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D7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38DE">
            <w:pPr>
              <w:jc w:val="center"/>
            </w:pPr>
            <w:r>
              <w:rPr>
                <w:rFonts w:ascii="宋体" w:hAnsi="宋体" w:eastAsia="宋体"/>
                <w:sz w:val="16"/>
              </w:rPr>
              <w:t>=77239.83万元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F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33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61AC">
            <w:pPr>
              <w:jc w:val="center"/>
            </w:pPr>
          </w:p>
        </w:tc>
      </w:tr>
      <w:tr w14:paraId="74653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CE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102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4D7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E9CA">
            <w:pPr>
              <w:jc w:val="center"/>
            </w:pPr>
            <w:r>
              <w:rPr>
                <w:rFonts w:ascii="宋体" w:hAnsi="宋体" w:eastAsia="宋体"/>
                <w:sz w:val="16"/>
              </w:rPr>
              <w:t>全年筹集福利彩票公益金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4288">
            <w:pPr>
              <w:jc w:val="center"/>
            </w:pPr>
            <w:r>
              <w:rPr>
                <w:rFonts w:ascii="宋体" w:hAnsi="宋体" w:eastAsia="宋体"/>
                <w:sz w:val="16"/>
              </w:rPr>
              <w:t>&gt;=5339.57万元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BE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9E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E5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E4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CD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76D5">
            <w:pPr>
              <w:jc w:val="center"/>
            </w:pPr>
            <w:r>
              <w:rPr>
                <w:rFonts w:ascii="宋体" w:hAnsi="宋体" w:eastAsia="宋体"/>
                <w:sz w:val="16"/>
              </w:rPr>
              <w:t>=5339.57万元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6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48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C361">
            <w:pPr>
              <w:jc w:val="center"/>
            </w:pPr>
          </w:p>
        </w:tc>
      </w:tr>
      <w:tr w14:paraId="315E7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9DB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DE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D4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E7A1">
            <w:pPr>
              <w:jc w:val="center"/>
            </w:pPr>
            <w:r>
              <w:rPr>
                <w:rFonts w:ascii="宋体" w:hAnsi="宋体" w:eastAsia="宋体"/>
                <w:sz w:val="16"/>
              </w:rPr>
              <w:t>销售网点满意度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ABE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6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AF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8D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B3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EC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60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6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08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CB22">
            <w:pPr>
              <w:jc w:val="center"/>
            </w:pPr>
          </w:p>
        </w:tc>
      </w:tr>
      <w:tr w14:paraId="6196D75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9F3B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04E7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8159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CB5A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B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1984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29C9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0035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E4DE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6BD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737575"/>
        </w:tc>
      </w:tr>
    </w:tbl>
    <w:p w14:paraId="7ADA9669">
      <w:r>
        <w:br w:type="page"/>
      </w:r>
    </w:p>
    <w:p w14:paraId="73BACEE1">
      <w:pPr>
        <w:spacing w:line="640" w:lineRule="exact"/>
        <w:ind w:firstLine="640"/>
        <w:jc w:val="both"/>
        <w:outlineLvl w:val="2"/>
      </w:pPr>
      <w:r>
        <w:rPr>
          <w:rFonts w:ascii="黑体" w:hAnsi="黑体" w:eastAsia="黑体"/>
          <w:sz w:val="32"/>
        </w:rPr>
        <w:t>十二、其他需说明的事项</w:t>
      </w:r>
    </w:p>
    <w:p w14:paraId="27CB5343">
      <w:pPr>
        <w:spacing w:line="580" w:lineRule="exact"/>
        <w:ind w:firstLine="640"/>
        <w:jc w:val="both"/>
      </w:pPr>
      <w:r>
        <w:rPr>
          <w:rFonts w:hint="eastAsia" w:ascii="仿宋_GB2312" w:hAnsi="仿宋_GB2312" w:eastAsia="仿宋_GB2312"/>
          <w:b w:val="0"/>
          <w:sz w:val="32"/>
        </w:rPr>
        <w:t>本年度本单位整体绩效自评表由主管部门编报并公开</w:t>
      </w:r>
      <w:r>
        <w:rPr>
          <w:rFonts w:ascii="仿宋_GB2312" w:hAnsi="仿宋_GB2312" w:eastAsia="仿宋_GB2312"/>
          <w:b w:val="0"/>
          <w:sz w:val="32"/>
        </w:rPr>
        <w:t>。</w:t>
      </w:r>
    </w:p>
    <w:p w14:paraId="096B9277">
      <w:r>
        <w:br w:type="page"/>
      </w:r>
    </w:p>
    <w:p w14:paraId="508A5E76">
      <w:pPr>
        <w:spacing w:line="240" w:lineRule="auto"/>
        <w:jc w:val="center"/>
        <w:outlineLvl w:val="1"/>
      </w:pPr>
      <w:r>
        <w:rPr>
          <w:rFonts w:ascii="黑体" w:hAnsi="黑体" w:eastAsia="黑体"/>
          <w:sz w:val="32"/>
        </w:rPr>
        <w:t>第三部分 专业名词解释</w:t>
      </w:r>
    </w:p>
    <w:p w14:paraId="73E006E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AC5532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98B3C1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CA13EE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3306F1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78FD1E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E9B654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3F19D5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45B60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A8561E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F9427C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BE6685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AAAB68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97334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F275827">
      <w:r>
        <w:br w:type="page"/>
      </w:r>
    </w:p>
    <w:p w14:paraId="383A2B4F">
      <w:pPr>
        <w:spacing w:line="240" w:lineRule="auto"/>
        <w:jc w:val="center"/>
        <w:outlineLvl w:val="1"/>
      </w:pPr>
      <w:r>
        <w:rPr>
          <w:rFonts w:ascii="黑体" w:hAnsi="黑体" w:eastAsia="黑体"/>
          <w:sz w:val="32"/>
        </w:rPr>
        <w:t>第四部分 部门决算报表（见附表）</w:t>
      </w:r>
    </w:p>
    <w:p w14:paraId="661D257C">
      <w:pPr>
        <w:spacing w:line="240" w:lineRule="auto"/>
        <w:ind w:firstLine="640"/>
        <w:jc w:val="both"/>
      </w:pPr>
      <w:r>
        <w:rPr>
          <w:rFonts w:ascii="仿宋_GB2312" w:hAnsi="仿宋_GB2312" w:eastAsia="仿宋_GB2312"/>
          <w:b w:val="0"/>
          <w:sz w:val="32"/>
        </w:rPr>
        <w:t>一、《收入支出决算总表》</w:t>
      </w:r>
    </w:p>
    <w:p w14:paraId="4F6DA609">
      <w:pPr>
        <w:spacing w:line="240" w:lineRule="auto"/>
        <w:ind w:firstLine="640"/>
        <w:jc w:val="both"/>
      </w:pPr>
      <w:r>
        <w:rPr>
          <w:rFonts w:ascii="仿宋_GB2312" w:hAnsi="仿宋_GB2312" w:eastAsia="仿宋_GB2312"/>
          <w:b w:val="0"/>
          <w:sz w:val="32"/>
        </w:rPr>
        <w:t>二、《收入决算表》</w:t>
      </w:r>
    </w:p>
    <w:p w14:paraId="554EF054">
      <w:pPr>
        <w:spacing w:line="240" w:lineRule="auto"/>
        <w:ind w:firstLine="640"/>
        <w:jc w:val="both"/>
      </w:pPr>
      <w:r>
        <w:rPr>
          <w:rFonts w:ascii="仿宋_GB2312" w:hAnsi="仿宋_GB2312" w:eastAsia="仿宋_GB2312"/>
          <w:b w:val="0"/>
          <w:sz w:val="32"/>
        </w:rPr>
        <w:t>三、《支出决算表》</w:t>
      </w:r>
    </w:p>
    <w:p w14:paraId="43C45EEB">
      <w:pPr>
        <w:spacing w:line="240" w:lineRule="auto"/>
        <w:ind w:firstLine="640"/>
        <w:jc w:val="both"/>
      </w:pPr>
      <w:r>
        <w:rPr>
          <w:rFonts w:ascii="仿宋_GB2312" w:hAnsi="仿宋_GB2312" w:eastAsia="仿宋_GB2312"/>
          <w:b w:val="0"/>
          <w:sz w:val="32"/>
        </w:rPr>
        <w:t>四、《财政拨款收入支出决算总表》</w:t>
      </w:r>
    </w:p>
    <w:p w14:paraId="4BECACB7">
      <w:pPr>
        <w:spacing w:line="240" w:lineRule="auto"/>
        <w:ind w:firstLine="640"/>
        <w:jc w:val="both"/>
      </w:pPr>
      <w:r>
        <w:rPr>
          <w:rFonts w:ascii="仿宋_GB2312" w:hAnsi="仿宋_GB2312" w:eastAsia="仿宋_GB2312"/>
          <w:b w:val="0"/>
          <w:sz w:val="32"/>
        </w:rPr>
        <w:t>五、《一般公共预算财政拨款支出决算表》</w:t>
      </w:r>
    </w:p>
    <w:p w14:paraId="48F30FC8">
      <w:pPr>
        <w:spacing w:line="240" w:lineRule="auto"/>
        <w:ind w:firstLine="640"/>
        <w:jc w:val="both"/>
      </w:pPr>
      <w:r>
        <w:rPr>
          <w:rFonts w:ascii="仿宋_GB2312" w:hAnsi="仿宋_GB2312" w:eastAsia="仿宋_GB2312"/>
          <w:b w:val="0"/>
          <w:sz w:val="32"/>
        </w:rPr>
        <w:t>六、《一般公共预算财政拨款基本支出决算表》</w:t>
      </w:r>
    </w:p>
    <w:p w14:paraId="27CB25AB">
      <w:pPr>
        <w:spacing w:line="240" w:lineRule="auto"/>
        <w:ind w:firstLine="640"/>
        <w:jc w:val="both"/>
      </w:pPr>
      <w:r>
        <w:rPr>
          <w:rFonts w:ascii="仿宋_GB2312" w:hAnsi="仿宋_GB2312" w:eastAsia="仿宋_GB2312"/>
          <w:b w:val="0"/>
          <w:sz w:val="32"/>
        </w:rPr>
        <w:t>七、《政府性基金预算财政拨款收入支出决算表》</w:t>
      </w:r>
    </w:p>
    <w:p w14:paraId="1E714B8A">
      <w:pPr>
        <w:spacing w:line="240" w:lineRule="auto"/>
        <w:ind w:firstLine="640"/>
        <w:jc w:val="both"/>
      </w:pPr>
      <w:r>
        <w:rPr>
          <w:rFonts w:ascii="仿宋_GB2312" w:hAnsi="仿宋_GB2312" w:eastAsia="仿宋_GB2312"/>
          <w:b w:val="0"/>
          <w:sz w:val="32"/>
        </w:rPr>
        <w:t>八、《国有资本经营预算财政拨款收入支出决算表》</w:t>
      </w:r>
    </w:p>
    <w:p w14:paraId="61209C6A">
      <w:pPr>
        <w:spacing w:line="240" w:lineRule="auto"/>
        <w:ind w:firstLine="640"/>
        <w:jc w:val="both"/>
      </w:pPr>
      <w:r>
        <w:rPr>
          <w:rFonts w:ascii="仿宋_GB2312" w:hAnsi="仿宋_GB2312" w:eastAsia="仿宋_GB2312"/>
          <w:b w:val="0"/>
          <w:sz w:val="32"/>
        </w:rPr>
        <w:t>九、《财政拨款“三公”经费支出决算表》</w:t>
      </w:r>
    </w:p>
    <w:p w14:paraId="57F31B8E">
      <w:pPr>
        <w:spacing w:line="240" w:lineRule="auto"/>
        <w:ind w:firstLine="640"/>
        <w:jc w:val="both"/>
      </w:pPr>
    </w:p>
    <w:p w14:paraId="46EFD492">
      <w:pPr>
        <w:spacing w:line="240" w:lineRule="auto"/>
        <w:ind w:firstLine="640"/>
        <w:jc w:val="both"/>
      </w:pPr>
    </w:p>
    <w:p w14:paraId="71ECA207">
      <w:pPr>
        <w:spacing w:line="240" w:lineRule="auto"/>
        <w:ind w:firstLine="640"/>
        <w:jc w:val="both"/>
      </w:pPr>
    </w:p>
    <w:p w14:paraId="32B8C801">
      <w:pPr>
        <w:spacing w:line="240" w:lineRule="auto"/>
        <w:ind w:firstLine="640"/>
        <w:jc w:val="both"/>
      </w:pPr>
    </w:p>
    <w:p w14:paraId="37E6213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421E20B-0767-4090-AF02-E33AEB52CB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23CF4A3-890E-4390-966D-5B0317302943}"/>
  </w:font>
  <w:font w:name="仿宋_GB2312">
    <w:altName w:val="仿宋"/>
    <w:panose1 w:val="02010609030101010101"/>
    <w:charset w:val="86"/>
    <w:family w:val="modern"/>
    <w:pitch w:val="default"/>
    <w:sig w:usb0="00000000" w:usb1="00000000" w:usb2="00000000" w:usb3="00000000" w:csb0="00040000" w:csb1="00000000"/>
    <w:embedRegular r:id="rId3" w:fontKey="{052C3180-D933-499B-8A9C-8AC190E13215}"/>
  </w:font>
  <w:font w:name="楷体_GB2312">
    <w:altName w:val="楷体"/>
    <w:panose1 w:val="02010609030101010101"/>
    <w:charset w:val="86"/>
    <w:family w:val="auto"/>
    <w:pitch w:val="default"/>
    <w:sig w:usb0="00000000" w:usb1="00000000" w:usb2="00000000" w:usb3="00000000" w:csb0="00040000" w:csb1="00000000"/>
    <w:embedRegular r:id="rId4" w:fontKey="{F5D7F26C-62FB-4673-9B5F-368E83B55E16}"/>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F4616C"/>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0B0F0A"/>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5D2E1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3906</Words>
  <Characters>4471</Characters>
  <Lines>0</Lines>
  <Paragraphs>0</Paragraphs>
  <TotalTime>3</TotalTime>
  <ScaleCrop>false</ScaleCrop>
  <LinksUpToDate>false</LinksUpToDate>
  <CharactersWithSpaces>4481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2025-09-22T03:15:53Z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