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194A55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新疆巴音郭楞蒙古自治州司法局2024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0BBADB1">
      <w:r>
        <w:br w:type="page"/>
      </w:r>
    </w:p>
    <w:p w14:paraId="299FF91F">
      <w:pPr>
        <w:spacing w:line="640" w:lineRule="exact"/>
        <w:jc w:val="center"/>
        <w:outlineLvl w:val="1"/>
      </w:pPr>
      <w:r>
        <w:rPr>
          <w:rFonts w:ascii="黑体" w:hAnsi="黑体" w:eastAsia="黑体"/>
          <w:sz w:val="32"/>
        </w:rPr>
        <w:t>第一部分 部门概况</w:t>
      </w:r>
    </w:p>
    <w:p w14:paraId="1163EA5C">
      <w:pPr>
        <w:spacing w:line="640" w:lineRule="exact"/>
        <w:ind w:firstLine="640"/>
        <w:jc w:val="both"/>
        <w:outlineLvl w:val="2"/>
      </w:pPr>
      <w:r>
        <w:rPr>
          <w:rFonts w:ascii="黑体" w:hAnsi="黑体" w:eastAsia="黑体"/>
          <w:sz w:val="32"/>
        </w:rPr>
        <w:t>一、主要职能</w:t>
      </w:r>
    </w:p>
    <w:p w14:paraId="2408AFF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承担全面依法治州重大问题的政策研究，协调有关方面提出全面依法治州中长期规划建议，负责有关重大决策部署</w:t>
      </w:r>
      <w:r>
        <w:rPr>
          <w:rFonts w:hint="eastAsia" w:ascii="仿宋_GB2312" w:hAnsi="仿宋_GB2312" w:eastAsia="仿宋_GB2312"/>
          <w:sz w:val="32"/>
          <w:lang w:eastAsia="zh-CN"/>
        </w:rPr>
        <w:t>督查</w:t>
      </w:r>
      <w:r>
        <w:rPr>
          <w:rFonts w:ascii="仿宋_GB2312" w:hAnsi="仿宋_GB2312" w:eastAsia="仿宋_GB2312"/>
          <w:sz w:val="32"/>
        </w:rPr>
        <w:t>工作。</w:t>
      </w:r>
    </w:p>
    <w:p w14:paraId="56AD145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承担统筹规划立法工作的责任。协调有关方面提出立法规划和年度立法工作计划的建议，负责跟踪了解各部门对立法工作计划的落实情况，加强组织协调和督促指导，研究提出立法与改革决策相衔接的意见、措施。负责面向社会征集地方性法规、政府规章制定项目建议。</w:t>
      </w:r>
    </w:p>
    <w:p w14:paraId="2F44CC57">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负责起草或者组织起草有关地方性法规、政府规章草案。承办各部门报送自治州人民政府的地方性法规、政府规章草案审查工作。承办相关法规、规章草案征求意见工作。负责立法协调。</w:t>
      </w:r>
    </w:p>
    <w:p w14:paraId="5933B45D">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承办政府规章的解释、立法后评估工作。负责协调实施政府规章中的有关争议和问题。承办政府规章清理、编纂工作。承担自治州人民政府规章报备工作。负责行政规范性文件合法性审核、备案审查工作。组织开展政府规章和行政规范性文件清理工作。</w:t>
      </w:r>
    </w:p>
    <w:p w14:paraId="6F9E983E">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承担统筹推进法治政府建设的责任。指导、监督自治州人民政府各部门、县（市）人民政府依法行政工作。负责行政执法的监督管理、综合协调工作，承担推进行政执法体制改革有关工作，推进严格规范公正文明执法。指导、监督全州行政复议和行政应诉工作。负责行政复议和应诉案件办理工作。</w:t>
      </w:r>
    </w:p>
    <w:p w14:paraId="23715E11">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承担统筹规划法治社会建设的责任。负责拟订法治宣传教育规划，组织实施普法宣传工作，组织对外法治宣传。推动人民参与和促进法治建设。指导依法治理和法治创建工作。负责人民监督员选任管理工作。指导、监督人民调解、行政调解、人民陪审员选任工作，推进司法所建设。负责促进和预防犯罪宣传教育工作。</w:t>
      </w:r>
    </w:p>
    <w:p w14:paraId="60D839FC">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指导、管理社区矫正工作。</w:t>
      </w:r>
    </w:p>
    <w:p w14:paraId="7C65DDD3">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负责拟订公共法律服务体系建设规划并指导实施，统筹和布局城乡、区域法律服务资源。指导、监督律师、法律援助、司法鉴定、公证、仲裁和基层法律服务管理工作。</w:t>
      </w:r>
    </w:p>
    <w:p w14:paraId="5819A991">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负责国家统一法律职业资格考试的组织实施工作。负责国家统一法律职业资格审查、复核、报批、资格证书的管理、发放等工作。负责规划和指导法律职业人员入职前培训工作。</w:t>
      </w:r>
    </w:p>
    <w:p w14:paraId="66ECB382">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负责本系统服装和警车管理工作，指导监督本系统财务、装备、设施、场所等保障工作。</w:t>
      </w:r>
    </w:p>
    <w:p w14:paraId="6A385717">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规划、协调、指导法治人才队伍建设相关工作指导、监督本系统队伍建设。负责本系统警务管理工作。协助各县（市）管理司法局领导干部。</w:t>
      </w:r>
    </w:p>
    <w:p w14:paraId="56BF7A6E">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承办自治州党委、自治州人民政府和自治区司法厅交办的其他任务。</w:t>
      </w:r>
    </w:p>
    <w:p w14:paraId="73CC9C22">
      <w:pPr>
        <w:spacing w:line="640" w:lineRule="exact"/>
        <w:ind w:firstLine="640"/>
        <w:jc w:val="both"/>
        <w:outlineLvl w:val="2"/>
      </w:pPr>
      <w:r>
        <w:rPr>
          <w:rFonts w:ascii="黑体" w:hAnsi="黑体" w:eastAsia="黑体"/>
          <w:sz w:val="32"/>
        </w:rPr>
        <w:t>二、机构设置及人员情况</w:t>
      </w:r>
    </w:p>
    <w:p w14:paraId="40EEFF80">
      <w:pPr>
        <w:spacing w:line="580" w:lineRule="exact"/>
        <w:ind w:firstLine="640"/>
        <w:jc w:val="both"/>
      </w:pPr>
      <w:r>
        <w:rPr>
          <w:rFonts w:ascii="仿宋_GB2312" w:hAnsi="仿宋_GB2312" w:eastAsia="仿宋_GB2312"/>
          <w:sz w:val="32"/>
        </w:rPr>
        <w:t>新疆巴音郭楞蒙古自治州司法局2024年度，实有人数76人，其中：在职人员37人，增加0人；离休人员1人，增加0人；退休人员38人,增加1人。</w:t>
      </w:r>
    </w:p>
    <w:p w14:paraId="53B20340">
      <w:pPr>
        <w:spacing w:line="580" w:lineRule="exact"/>
        <w:ind w:firstLine="640"/>
        <w:jc w:val="both"/>
      </w:pPr>
      <w:r>
        <w:rPr>
          <w:rFonts w:ascii="仿宋_GB2312" w:hAnsi="仿宋_GB2312" w:eastAsia="仿宋_GB2312"/>
          <w:sz w:val="32"/>
        </w:rPr>
        <w:t>新疆巴音郭楞蒙古自治州司法局无下属预算单位，下设11个科室，分别是：办公室、法治科、立法管理科、矫正教育科、复议应诉科、执法监督科、法宣科、人民参与和促进法治科、公共法律服务管理科、律师管理科、政工科。</w:t>
      </w:r>
    </w:p>
    <w:p w14:paraId="37FE5BAE">
      <w:r>
        <w:br w:type="page"/>
      </w:r>
    </w:p>
    <w:p w14:paraId="72C5CB8F">
      <w:pPr>
        <w:spacing w:line="240" w:lineRule="auto"/>
        <w:jc w:val="center"/>
        <w:outlineLvl w:val="1"/>
      </w:pPr>
      <w:r>
        <w:rPr>
          <w:rFonts w:ascii="黑体" w:hAnsi="黑体" w:eastAsia="黑体"/>
          <w:sz w:val="32"/>
        </w:rPr>
        <w:t>第二部分 部门决算情况说明</w:t>
      </w:r>
    </w:p>
    <w:p w14:paraId="467C1FA1">
      <w:pPr>
        <w:spacing w:line="640" w:lineRule="exact"/>
        <w:ind w:firstLine="640"/>
        <w:jc w:val="both"/>
        <w:outlineLvl w:val="2"/>
      </w:pPr>
      <w:r>
        <w:rPr>
          <w:rFonts w:ascii="黑体" w:hAnsi="黑体" w:eastAsia="黑体"/>
          <w:sz w:val="32"/>
        </w:rPr>
        <w:t>一、收入支出决算总体情况说明</w:t>
      </w:r>
    </w:p>
    <w:p w14:paraId="09C1E85C">
      <w:pPr>
        <w:spacing w:line="580" w:lineRule="exact"/>
        <w:ind w:firstLine="640"/>
        <w:jc w:val="both"/>
      </w:pPr>
      <w:r>
        <w:rPr>
          <w:rFonts w:ascii="仿宋_GB2312" w:hAnsi="仿宋_GB2312" w:eastAsia="仿宋_GB2312"/>
          <w:b/>
          <w:sz w:val="32"/>
        </w:rPr>
        <w:t>2024年度收入总计2,615.13万元，</w:t>
      </w:r>
      <w:r>
        <w:rPr>
          <w:rFonts w:ascii="仿宋_GB2312" w:hAnsi="仿宋_GB2312" w:eastAsia="仿宋_GB2312"/>
          <w:b w:val="0"/>
          <w:sz w:val="32"/>
        </w:rPr>
        <w:t>其中：本年收入合计2,614.91万元，使用非财政拨款结余（含专用结余）0.00万元，年初结转和结余0.21万元。</w:t>
      </w:r>
    </w:p>
    <w:p w14:paraId="647CC2D7">
      <w:pPr>
        <w:spacing w:line="580" w:lineRule="exact"/>
        <w:ind w:firstLine="640"/>
        <w:jc w:val="both"/>
      </w:pPr>
      <w:r>
        <w:rPr>
          <w:rFonts w:ascii="仿宋_GB2312" w:hAnsi="仿宋_GB2312" w:eastAsia="仿宋_GB2312"/>
          <w:b/>
          <w:sz w:val="32"/>
        </w:rPr>
        <w:t>2024年度支出总计2,615.13万元，</w:t>
      </w:r>
      <w:r>
        <w:rPr>
          <w:rFonts w:ascii="仿宋_GB2312" w:hAnsi="仿宋_GB2312" w:eastAsia="仿宋_GB2312"/>
          <w:b w:val="0"/>
          <w:sz w:val="32"/>
        </w:rPr>
        <w:t>其中：本年支出合计2,614.87万元，结余分配0.00万元，年末结转和结余0.26万元。</w:t>
      </w:r>
    </w:p>
    <w:p w14:paraId="6C37D20D">
      <w:pPr>
        <w:spacing w:line="580" w:lineRule="exact"/>
        <w:ind w:firstLine="640"/>
        <w:jc w:val="both"/>
      </w:pPr>
      <w:r>
        <w:rPr>
          <w:rFonts w:ascii="仿宋_GB2312" w:hAnsi="仿宋_GB2312" w:eastAsia="仿宋_GB2312"/>
          <w:b w:val="0"/>
          <w:sz w:val="32"/>
        </w:rPr>
        <w:t>收入支出总体与上年相比，减少219.48万元，下降7.74%，主要原因是：本年安排的上级专项较上年减少，收入支出总体较上年减少。</w:t>
      </w:r>
    </w:p>
    <w:p w14:paraId="0AB404B5">
      <w:pPr>
        <w:spacing w:line="640" w:lineRule="exact"/>
        <w:ind w:firstLine="640"/>
        <w:jc w:val="both"/>
        <w:outlineLvl w:val="2"/>
      </w:pPr>
      <w:r>
        <w:rPr>
          <w:rFonts w:ascii="黑体" w:hAnsi="黑体" w:eastAsia="黑体"/>
          <w:sz w:val="32"/>
        </w:rPr>
        <w:t>二、收入决算情况说明</w:t>
      </w:r>
    </w:p>
    <w:p w14:paraId="7091FC03">
      <w:pPr>
        <w:spacing w:line="580" w:lineRule="exact"/>
        <w:ind w:firstLine="640"/>
        <w:jc w:val="both"/>
      </w:pPr>
      <w:r>
        <w:rPr>
          <w:rFonts w:ascii="仿宋_GB2312" w:hAnsi="仿宋_GB2312" w:eastAsia="仿宋_GB2312"/>
          <w:b/>
          <w:sz w:val="32"/>
        </w:rPr>
        <w:t>本年收入2,614.91万元，</w:t>
      </w:r>
      <w:r>
        <w:rPr>
          <w:rFonts w:ascii="仿宋_GB2312" w:hAnsi="仿宋_GB2312" w:eastAsia="仿宋_GB2312"/>
          <w:b w:val="0"/>
          <w:sz w:val="32"/>
        </w:rPr>
        <w:t>其中：财政拨款收入1,114.58万元，占42.62%；上级补助收入0.00万元，占0.00%；事业收入0.00万元，占0.00%；经营收入0.00万元，占0.00%；附属单位上缴收入0.00万元，占0.00%；其他收入1,500.34万元，占57.38%。</w:t>
      </w:r>
    </w:p>
    <w:p w14:paraId="748DDC0E">
      <w:pPr>
        <w:spacing w:line="640" w:lineRule="exact"/>
        <w:ind w:firstLine="640"/>
        <w:jc w:val="both"/>
        <w:outlineLvl w:val="2"/>
      </w:pPr>
      <w:r>
        <w:rPr>
          <w:rFonts w:ascii="黑体" w:hAnsi="黑体" w:eastAsia="黑体"/>
          <w:sz w:val="32"/>
        </w:rPr>
        <w:t>三、支出决算情况说明</w:t>
      </w:r>
    </w:p>
    <w:p w14:paraId="30387DB3">
      <w:pPr>
        <w:spacing w:line="580" w:lineRule="exact"/>
        <w:ind w:firstLine="640"/>
        <w:jc w:val="both"/>
      </w:pPr>
      <w:r>
        <w:rPr>
          <w:rFonts w:ascii="仿宋_GB2312" w:hAnsi="仿宋_GB2312" w:eastAsia="仿宋_GB2312"/>
          <w:b/>
          <w:sz w:val="32"/>
        </w:rPr>
        <w:t>本年支出2,614.87万元，</w:t>
      </w:r>
      <w:r>
        <w:rPr>
          <w:rFonts w:ascii="仿宋_GB2312" w:hAnsi="仿宋_GB2312" w:eastAsia="仿宋_GB2312"/>
          <w:b w:val="0"/>
          <w:sz w:val="32"/>
        </w:rPr>
        <w:t>其中：基本支出881.10万元，占33.70%；项目支出1,733.77万元，占66.30%；上缴上级支出0.00万元，占0.00%；经营支出0.00万元，占0.00%；对附属单位补助支出0.00万元，占0.00%。</w:t>
      </w:r>
    </w:p>
    <w:p w14:paraId="3FBFA926">
      <w:pPr>
        <w:spacing w:line="640" w:lineRule="exact"/>
        <w:ind w:firstLine="640"/>
        <w:jc w:val="both"/>
        <w:outlineLvl w:val="2"/>
      </w:pPr>
      <w:r>
        <w:rPr>
          <w:rFonts w:ascii="黑体" w:hAnsi="黑体" w:eastAsia="黑体"/>
          <w:sz w:val="32"/>
        </w:rPr>
        <w:t>四、财政拨款收入支出决算总体情况说明</w:t>
      </w:r>
    </w:p>
    <w:p w14:paraId="7B5B726A">
      <w:pPr>
        <w:spacing w:line="580" w:lineRule="exact"/>
        <w:ind w:firstLine="640"/>
        <w:jc w:val="both"/>
      </w:pPr>
      <w:r>
        <w:rPr>
          <w:rFonts w:ascii="仿宋_GB2312" w:hAnsi="仿宋_GB2312" w:eastAsia="仿宋_GB2312"/>
          <w:b/>
          <w:sz w:val="32"/>
        </w:rPr>
        <w:t>2024年度财政拨款收入总计1,114.58万元，</w:t>
      </w:r>
      <w:r>
        <w:rPr>
          <w:rFonts w:ascii="仿宋_GB2312" w:hAnsi="仿宋_GB2312" w:eastAsia="仿宋_GB2312"/>
          <w:b w:val="0"/>
          <w:sz w:val="32"/>
        </w:rPr>
        <w:t>其中：年初财政拨款结转和结余0.00万元，本年财政拨款收入1,114.58万元。</w:t>
      </w:r>
      <w:r>
        <w:rPr>
          <w:rFonts w:ascii="仿宋_GB2312" w:hAnsi="仿宋_GB2312" w:eastAsia="仿宋_GB2312"/>
          <w:b/>
          <w:sz w:val="32"/>
        </w:rPr>
        <w:t>财政拨款支出总计1,114.58万元，</w:t>
      </w:r>
      <w:r>
        <w:rPr>
          <w:rFonts w:ascii="仿宋_GB2312" w:hAnsi="仿宋_GB2312" w:eastAsia="仿宋_GB2312"/>
          <w:b w:val="0"/>
          <w:sz w:val="32"/>
        </w:rPr>
        <w:t>其中：年末财政拨款结转和结余0.00万元，本年财政拨款支出1,114.58万元。</w:t>
      </w:r>
    </w:p>
    <w:p w14:paraId="549AC6E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减少387.60万元，下降25.80%，主要原因是：本年安排的上级专项较上年减少，财政拨款收入支出总体较上年减少。</w:t>
      </w:r>
      <w:r>
        <w:rPr>
          <w:rFonts w:ascii="仿宋_GB2312" w:hAnsi="仿宋_GB2312" w:eastAsia="仿宋_GB2312"/>
          <w:b/>
          <w:sz w:val="32"/>
        </w:rPr>
        <w:t>与年初预算相比，</w:t>
      </w:r>
      <w:r>
        <w:rPr>
          <w:rFonts w:ascii="仿宋_GB2312" w:hAnsi="仿宋_GB2312" w:eastAsia="仿宋_GB2312"/>
          <w:b w:val="0"/>
          <w:sz w:val="32"/>
        </w:rPr>
        <w:t>年初预算数1,088.71万元，决算数1,114.58万元，预决算差异率2.38%，主要原因是：年中追加上级专项资金、自治州第二批优秀专家工作室建设支持经费、为民办实事经费，导致预决算差异。</w:t>
      </w:r>
    </w:p>
    <w:p w14:paraId="78546CB8">
      <w:pPr>
        <w:spacing w:line="640" w:lineRule="exact"/>
        <w:ind w:firstLine="640"/>
        <w:jc w:val="both"/>
        <w:outlineLvl w:val="2"/>
      </w:pPr>
      <w:r>
        <w:rPr>
          <w:rFonts w:ascii="黑体" w:hAnsi="黑体" w:eastAsia="黑体"/>
          <w:sz w:val="32"/>
        </w:rPr>
        <w:t>五、一般公共预算财政拨款支出决算情况说明</w:t>
      </w:r>
    </w:p>
    <w:p w14:paraId="1AE9BF2A">
      <w:pPr>
        <w:spacing w:line="640" w:lineRule="exact"/>
        <w:ind w:firstLine="640"/>
        <w:jc w:val="both"/>
        <w:outlineLvl w:val="3"/>
      </w:pPr>
      <w:r>
        <w:rPr>
          <w:rFonts w:ascii="楷体_GB2312" w:hAnsi="楷体_GB2312" w:eastAsia="楷体_GB2312"/>
          <w:b/>
          <w:sz w:val="32"/>
        </w:rPr>
        <w:t>（一）一般公共预算财政拨款支出决算总体情况</w:t>
      </w:r>
    </w:p>
    <w:p w14:paraId="4FDC9EC4">
      <w:pPr>
        <w:spacing w:line="580" w:lineRule="exact"/>
        <w:ind w:firstLine="640"/>
        <w:jc w:val="both"/>
      </w:pPr>
      <w:r>
        <w:rPr>
          <w:rFonts w:ascii="仿宋_GB2312" w:hAnsi="仿宋_GB2312" w:eastAsia="仿宋_GB2312"/>
          <w:b/>
          <w:sz w:val="32"/>
        </w:rPr>
        <w:t>2024年度一般公共预算财政拨款支出1,114.58万元，</w:t>
      </w:r>
      <w:r>
        <w:rPr>
          <w:rFonts w:ascii="仿宋_GB2312" w:hAnsi="仿宋_GB2312" w:eastAsia="仿宋_GB2312"/>
          <w:b w:val="0"/>
          <w:sz w:val="32"/>
        </w:rPr>
        <w:t>占本年支出合计的42.62%。</w:t>
      </w:r>
      <w:r>
        <w:rPr>
          <w:rFonts w:ascii="仿宋_GB2312" w:hAnsi="仿宋_GB2312" w:eastAsia="仿宋_GB2312"/>
          <w:b/>
          <w:sz w:val="32"/>
        </w:rPr>
        <w:t>与上年相比，</w:t>
      </w:r>
      <w:r>
        <w:rPr>
          <w:rFonts w:ascii="仿宋_GB2312" w:hAnsi="仿宋_GB2312" w:eastAsia="仿宋_GB2312"/>
          <w:b w:val="0"/>
          <w:sz w:val="32"/>
        </w:rPr>
        <w:t>减少387.60万元，下降25.80%，主要原因是：本年安排的上级专项较上年减少，导致一般公共预算财政拨款支出减少。</w:t>
      </w:r>
      <w:r>
        <w:rPr>
          <w:rFonts w:ascii="仿宋_GB2312" w:hAnsi="仿宋_GB2312" w:eastAsia="仿宋_GB2312"/>
          <w:b/>
          <w:sz w:val="32"/>
        </w:rPr>
        <w:t>与年初预算相比,</w:t>
      </w:r>
      <w:r>
        <w:rPr>
          <w:rFonts w:ascii="仿宋_GB2312" w:hAnsi="仿宋_GB2312" w:eastAsia="仿宋_GB2312"/>
          <w:b w:val="0"/>
          <w:sz w:val="32"/>
        </w:rPr>
        <w:t>年初预算数1,088.71万元，决算数1,114.58万元，预决算差异率2.38%，主要原因是：年中追加上级专项资金、自治州第二批优秀专家工作室建设支持经费、为民办实事经费，导致预决算差异。</w:t>
      </w:r>
    </w:p>
    <w:p w14:paraId="5D5F1B55">
      <w:pPr>
        <w:spacing w:line="640" w:lineRule="exact"/>
        <w:ind w:firstLine="640"/>
        <w:jc w:val="both"/>
        <w:outlineLvl w:val="3"/>
      </w:pPr>
      <w:r>
        <w:rPr>
          <w:rFonts w:ascii="楷体_GB2312" w:hAnsi="楷体_GB2312" w:eastAsia="楷体_GB2312"/>
          <w:b/>
          <w:sz w:val="32"/>
        </w:rPr>
        <w:t>（二）一般公共预算财政拨款支出决算结构情况</w:t>
      </w:r>
    </w:p>
    <w:p w14:paraId="31795CAE">
      <w:pPr>
        <w:spacing w:line="580" w:lineRule="exact"/>
        <w:ind w:firstLine="640"/>
        <w:jc w:val="both"/>
      </w:pPr>
      <w:r>
        <w:rPr>
          <w:rFonts w:ascii="仿宋_GB2312" w:hAnsi="仿宋_GB2312" w:eastAsia="仿宋_GB2312"/>
          <w:b w:val="0"/>
          <w:sz w:val="32"/>
        </w:rPr>
        <w:t>1.公共安全支出(类)831.55万元,占74.61%。</w:t>
      </w:r>
    </w:p>
    <w:p w14:paraId="5397E10A">
      <w:pPr>
        <w:spacing w:line="580" w:lineRule="exact"/>
        <w:ind w:firstLine="640"/>
        <w:jc w:val="both"/>
      </w:pPr>
      <w:r>
        <w:rPr>
          <w:rFonts w:ascii="仿宋_GB2312" w:hAnsi="仿宋_GB2312" w:eastAsia="仿宋_GB2312"/>
          <w:b w:val="0"/>
          <w:sz w:val="32"/>
        </w:rPr>
        <w:t>2.教育支出(类)0.5万元,占0.04%。</w:t>
      </w:r>
    </w:p>
    <w:p w14:paraId="6CC6264E">
      <w:pPr>
        <w:spacing w:line="580" w:lineRule="exact"/>
        <w:ind w:firstLine="640"/>
        <w:jc w:val="both"/>
      </w:pPr>
      <w:r>
        <w:rPr>
          <w:rFonts w:ascii="仿宋_GB2312" w:hAnsi="仿宋_GB2312" w:eastAsia="仿宋_GB2312"/>
          <w:b w:val="0"/>
          <w:sz w:val="32"/>
        </w:rPr>
        <w:t>3.社会保障和就业支出(类)177.07万元,占15.89%。</w:t>
      </w:r>
    </w:p>
    <w:p w14:paraId="44C279D2">
      <w:pPr>
        <w:spacing w:line="580" w:lineRule="exact"/>
        <w:ind w:firstLine="640"/>
        <w:jc w:val="both"/>
      </w:pPr>
      <w:r>
        <w:rPr>
          <w:rFonts w:ascii="仿宋_GB2312" w:hAnsi="仿宋_GB2312" w:eastAsia="仿宋_GB2312"/>
          <w:b w:val="0"/>
          <w:sz w:val="32"/>
        </w:rPr>
        <w:t>4.卫生健康支出(类)48.27万元,占4.33%。</w:t>
      </w:r>
    </w:p>
    <w:p w14:paraId="3E931B9C">
      <w:pPr>
        <w:spacing w:line="580" w:lineRule="exact"/>
        <w:ind w:firstLine="640"/>
        <w:jc w:val="both"/>
      </w:pPr>
      <w:r>
        <w:rPr>
          <w:rFonts w:ascii="仿宋_GB2312" w:hAnsi="仿宋_GB2312" w:eastAsia="仿宋_GB2312"/>
          <w:b w:val="0"/>
          <w:sz w:val="32"/>
        </w:rPr>
        <w:t>5.住房保障支出(类)57.19万元,占5.13%。</w:t>
      </w:r>
    </w:p>
    <w:p w14:paraId="3576DEE3">
      <w:pPr>
        <w:spacing w:line="640" w:lineRule="exact"/>
        <w:ind w:firstLine="640"/>
        <w:jc w:val="both"/>
        <w:outlineLvl w:val="3"/>
      </w:pPr>
      <w:r>
        <w:rPr>
          <w:rFonts w:ascii="楷体_GB2312" w:hAnsi="楷体_GB2312" w:eastAsia="楷体_GB2312"/>
          <w:b/>
          <w:sz w:val="32"/>
        </w:rPr>
        <w:t>（三）一般公共预算财政拨款支出决算具体情况</w:t>
      </w:r>
    </w:p>
    <w:p w14:paraId="1062DE70">
      <w:pPr>
        <w:spacing w:line="580" w:lineRule="exact"/>
        <w:ind w:firstLine="640"/>
        <w:jc w:val="both"/>
      </w:pPr>
      <w:r>
        <w:rPr>
          <w:rFonts w:ascii="仿宋_GB2312" w:hAnsi="仿宋_GB2312" w:eastAsia="仿宋_GB2312"/>
          <w:b w:val="0"/>
          <w:sz w:val="32"/>
        </w:rPr>
        <w:t>1.公共安全支出(类)司法(款)行政运行(项):支出决算数为585.01万元，比上年决算减少26.52万元，下降4.34%,主要原因是：本年在职人员调入调出，人员职级不同，工资基数不同，导致人员经费较上年减少。</w:t>
      </w:r>
    </w:p>
    <w:p w14:paraId="642CE1EB">
      <w:pPr>
        <w:spacing w:line="580" w:lineRule="exact"/>
        <w:ind w:firstLine="640"/>
        <w:jc w:val="both"/>
      </w:pPr>
      <w:r>
        <w:rPr>
          <w:rFonts w:ascii="仿宋_GB2312" w:hAnsi="仿宋_GB2312" w:eastAsia="仿宋_GB2312"/>
          <w:b w:val="0"/>
          <w:sz w:val="32"/>
        </w:rPr>
        <w:t>2.公共安全支出(类)司法(款)一般行政管理事务(项):支出决算数为17万元，比上年决算增加5.00万元，增长41.67%,主要原因是：本年增加自治州第二批优秀专家工作室建设支持经费。</w:t>
      </w:r>
    </w:p>
    <w:p w14:paraId="4ADCA079">
      <w:pPr>
        <w:spacing w:line="580" w:lineRule="exact"/>
        <w:ind w:firstLine="640"/>
        <w:jc w:val="both"/>
      </w:pPr>
      <w:r>
        <w:rPr>
          <w:rFonts w:ascii="仿宋_GB2312" w:hAnsi="仿宋_GB2312" w:eastAsia="仿宋_GB2312"/>
          <w:b w:val="0"/>
          <w:sz w:val="32"/>
        </w:rPr>
        <w:t>3.公共安全支出(类)司法(款)普法宣传(项):支出决算数为6万元，比上年决算增加0.00万元，增长0.00%,主要原因是：本年司法行政业务项目经费与上年一致无变化。</w:t>
      </w:r>
    </w:p>
    <w:p w14:paraId="547BDD43">
      <w:pPr>
        <w:spacing w:line="580" w:lineRule="exact"/>
        <w:ind w:firstLine="640"/>
        <w:jc w:val="both"/>
      </w:pPr>
      <w:r>
        <w:rPr>
          <w:rFonts w:ascii="仿宋_GB2312" w:hAnsi="仿宋_GB2312" w:eastAsia="仿宋_GB2312"/>
          <w:b w:val="0"/>
          <w:sz w:val="32"/>
        </w:rPr>
        <w:t>4.公共安全支出(类)司法(款)公共法律服务(项):支出决算数为4万元，比上年决算增加2.00万元，增长100.00%,主要原因是：本年增加司法行政业务项目中法律援助案件补助。</w:t>
      </w:r>
    </w:p>
    <w:p w14:paraId="7B25DCE4">
      <w:pPr>
        <w:spacing w:line="580" w:lineRule="exact"/>
        <w:ind w:firstLine="640"/>
        <w:jc w:val="both"/>
      </w:pPr>
      <w:r>
        <w:rPr>
          <w:rFonts w:ascii="仿宋_GB2312" w:hAnsi="仿宋_GB2312" w:eastAsia="仿宋_GB2312"/>
          <w:b w:val="0"/>
          <w:sz w:val="32"/>
        </w:rPr>
        <w:t>5.公共安全支出(类)司法(款)社区矫正(项):支出决算数为0.00万元，比上年决算减少2.00万元，下降100.00%,主要原因是：本年未安排社区矫正资金，导致经费较上年减少。</w:t>
      </w:r>
    </w:p>
    <w:p w14:paraId="0859BC7D">
      <w:pPr>
        <w:spacing w:line="580" w:lineRule="exact"/>
        <w:ind w:firstLine="640"/>
        <w:jc w:val="both"/>
      </w:pPr>
      <w:r>
        <w:rPr>
          <w:rFonts w:ascii="仿宋_GB2312" w:hAnsi="仿宋_GB2312" w:eastAsia="仿宋_GB2312"/>
          <w:b w:val="0"/>
          <w:sz w:val="32"/>
        </w:rPr>
        <w:t>6.公共安全支出(类)司法(款)法治建设(项):支出决算数为10万元，比上年决算减少10.00万元，下降50.00%,主要原因是：本年减少法治建设业务项目资金，导致经费较上年减少。</w:t>
      </w:r>
    </w:p>
    <w:p w14:paraId="7357C2AC">
      <w:pPr>
        <w:spacing w:line="580" w:lineRule="exact"/>
        <w:ind w:firstLine="640"/>
        <w:jc w:val="both"/>
      </w:pPr>
      <w:r>
        <w:rPr>
          <w:rFonts w:ascii="仿宋_GB2312" w:hAnsi="仿宋_GB2312" w:eastAsia="仿宋_GB2312"/>
          <w:b w:val="0"/>
          <w:sz w:val="32"/>
        </w:rPr>
        <w:t>7.公共安全支出(类)司法(款)事业运行(项):支出决算数为13.06万元，比上年决算减少3.86万元，下降22.81%,主要原因是：本年在职人员调入调出，人员职级不同，工资基数不同，导致人员经费较上年减少。</w:t>
      </w:r>
    </w:p>
    <w:p w14:paraId="1D09ED84">
      <w:pPr>
        <w:spacing w:line="580" w:lineRule="exact"/>
        <w:ind w:firstLine="640"/>
        <w:jc w:val="both"/>
      </w:pPr>
      <w:r>
        <w:rPr>
          <w:rFonts w:ascii="仿宋_GB2312" w:hAnsi="仿宋_GB2312" w:eastAsia="仿宋_GB2312"/>
          <w:b w:val="0"/>
          <w:sz w:val="32"/>
        </w:rPr>
        <w:t>8.公共安全支出(类)司法(款)其他司法支出(项):支出决算数为196.48万元，比上年决算减少329.69万元，下降62.66%,主要原因是：本年安排的上级专项较上年减少，导致经费减少。</w:t>
      </w:r>
    </w:p>
    <w:p w14:paraId="6100268B">
      <w:pPr>
        <w:spacing w:line="580" w:lineRule="exact"/>
        <w:ind w:firstLine="640"/>
        <w:jc w:val="both"/>
      </w:pPr>
      <w:r>
        <w:rPr>
          <w:rFonts w:ascii="仿宋_GB2312" w:hAnsi="仿宋_GB2312" w:eastAsia="仿宋_GB2312"/>
          <w:b w:val="0"/>
          <w:sz w:val="32"/>
        </w:rPr>
        <w:t>9.教育支出(类)进修及培训(款)培训支出(项):支出决算数为0.5万元，比上年决算减少1.41万元，下降73.82%,主要原因是：本年培训</w:t>
      </w:r>
      <w:r>
        <w:rPr>
          <w:rFonts w:hint="eastAsia" w:ascii="仿宋_GB2312" w:hAnsi="仿宋_GB2312" w:eastAsia="仿宋_GB2312"/>
          <w:b w:val="0"/>
          <w:sz w:val="32"/>
          <w:lang w:val="en-US" w:eastAsia="zh-CN"/>
        </w:rPr>
        <w:t>次数</w:t>
      </w:r>
      <w:r>
        <w:rPr>
          <w:rFonts w:ascii="仿宋_GB2312" w:hAnsi="仿宋_GB2312" w:eastAsia="仿宋_GB2312"/>
          <w:b w:val="0"/>
          <w:sz w:val="32"/>
        </w:rPr>
        <w:t>减少，导致培训经费较上年减少。</w:t>
      </w:r>
    </w:p>
    <w:p w14:paraId="0BF0F2C1">
      <w:pPr>
        <w:spacing w:line="580" w:lineRule="exact"/>
        <w:ind w:firstLine="640"/>
        <w:jc w:val="both"/>
      </w:pPr>
      <w:r>
        <w:rPr>
          <w:rFonts w:ascii="仿宋_GB2312" w:hAnsi="仿宋_GB2312" w:eastAsia="仿宋_GB2312"/>
          <w:b w:val="0"/>
          <w:sz w:val="32"/>
        </w:rPr>
        <w:t>10.社会保障和就业支出(类)行政事业单位养老支出(款)行政单位离退休(项):支出决算数为55.53万元，比上年决算增加10.88万元，增长24.37%,主要原因是：本年增加退休人员基础绩效奖，退休费支出增加。</w:t>
      </w:r>
    </w:p>
    <w:p w14:paraId="5F5838CB">
      <w:pPr>
        <w:spacing w:line="580" w:lineRule="exact"/>
        <w:ind w:firstLine="640"/>
        <w:jc w:val="both"/>
      </w:pPr>
      <w:r>
        <w:rPr>
          <w:rFonts w:ascii="仿宋_GB2312" w:hAnsi="仿宋_GB2312" w:eastAsia="仿宋_GB2312"/>
          <w:b w:val="0"/>
          <w:sz w:val="32"/>
        </w:rPr>
        <w:t>11.社会保障和就业支出(类)行政事业单位养老支出(款)机关事业单位基本养老保险缴费支出(项):支出决算数为76.18万元，比上年决算增加4.71万元，增长6.59%,主要原因是：本年在职人员工资基数调增，养老缴费基数上涨，相应支出增加。</w:t>
      </w:r>
    </w:p>
    <w:p w14:paraId="4AAF5693">
      <w:pPr>
        <w:spacing w:line="580" w:lineRule="exact"/>
        <w:ind w:firstLine="640"/>
        <w:jc w:val="both"/>
      </w:pPr>
      <w:r>
        <w:rPr>
          <w:rFonts w:ascii="仿宋_GB2312" w:hAnsi="仿宋_GB2312" w:eastAsia="仿宋_GB2312"/>
          <w:b w:val="0"/>
          <w:sz w:val="32"/>
        </w:rPr>
        <w:t>12.社会保障和就业支出(类)行政事业单位养老支出(款)机关事业单位职业年金缴费支出(项):支出决算数为17.85万元，比上年决算减少44.53万元，下降71.39%,主要原因是：本年度新增退休人员比上年减少，职业年金缴费支出减少。</w:t>
      </w:r>
    </w:p>
    <w:p w14:paraId="43E8A486">
      <w:pPr>
        <w:spacing w:line="580" w:lineRule="exact"/>
        <w:ind w:firstLine="640"/>
        <w:jc w:val="both"/>
      </w:pPr>
      <w:r>
        <w:rPr>
          <w:rFonts w:ascii="仿宋_GB2312" w:hAnsi="仿宋_GB2312" w:eastAsia="仿宋_GB2312"/>
          <w:b w:val="0"/>
          <w:sz w:val="32"/>
        </w:rPr>
        <w:t>13.社会保障和就业支出(类)抚恤(款)死亡抚恤(项):支出决算数为27.5万元，比上年决算增加0.29万元，增长1.07%,主要原因是：本年去世老干部的死亡抚恤金较上年调高标准，导致死亡抚恤增加。</w:t>
      </w:r>
    </w:p>
    <w:p w14:paraId="2392EC8A">
      <w:pPr>
        <w:spacing w:line="580" w:lineRule="exact"/>
        <w:ind w:firstLine="640"/>
        <w:jc w:val="both"/>
      </w:pPr>
      <w:r>
        <w:rPr>
          <w:rFonts w:ascii="仿宋_GB2312" w:hAnsi="仿宋_GB2312" w:eastAsia="仿宋_GB2312"/>
          <w:b w:val="0"/>
          <w:sz w:val="32"/>
        </w:rPr>
        <w:t>14.卫生健康支出(类)行政事业单位医疗(款)行政单位医疗(项):支出决算数为32.42万元，比上年决算增加2.47万元，增长8.25%,主要原因是：本年在职人员工资基数调增，医疗缴费基数上涨，相应支出增加。</w:t>
      </w:r>
    </w:p>
    <w:p w14:paraId="726FDE64">
      <w:pPr>
        <w:spacing w:line="580" w:lineRule="exact"/>
        <w:ind w:firstLine="640"/>
        <w:jc w:val="both"/>
      </w:pPr>
      <w:r>
        <w:rPr>
          <w:rFonts w:ascii="仿宋_GB2312" w:hAnsi="仿宋_GB2312" w:eastAsia="仿宋_GB2312"/>
          <w:b w:val="0"/>
          <w:sz w:val="32"/>
        </w:rPr>
        <w:t>15.卫生健康支出(类)行政事业单位医疗(款)事业单位医疗(项):支出决算数为0.91万元，比上年决算减少0.51万元，下降35.92%,主要原因是：本年在职人员调入调出，人员职级不同，缴费基数不同，导致事业单位医疗较上年减少。</w:t>
      </w:r>
    </w:p>
    <w:p w14:paraId="4DA1392F">
      <w:pPr>
        <w:spacing w:line="580" w:lineRule="exact"/>
        <w:ind w:firstLine="640"/>
        <w:jc w:val="both"/>
      </w:pPr>
      <w:r>
        <w:rPr>
          <w:rFonts w:ascii="仿宋_GB2312" w:hAnsi="仿宋_GB2312" w:eastAsia="仿宋_GB2312"/>
          <w:b w:val="0"/>
          <w:sz w:val="32"/>
        </w:rPr>
        <w:t>16.卫生健康支出(类)行政事业单位医疗(款)公务员医疗补助(项):支出决算数为13.89万元，比上年决算增加1.06万元，增长8.26%,主要原因是：本年在职人员工资基数调增，医疗缴费基数上涨，相应支出增加。</w:t>
      </w:r>
    </w:p>
    <w:p w14:paraId="177E5E01">
      <w:pPr>
        <w:spacing w:line="580" w:lineRule="exact"/>
        <w:ind w:firstLine="640"/>
        <w:jc w:val="both"/>
      </w:pPr>
      <w:r>
        <w:rPr>
          <w:rFonts w:ascii="仿宋_GB2312" w:hAnsi="仿宋_GB2312" w:eastAsia="仿宋_GB2312"/>
          <w:b w:val="0"/>
          <w:sz w:val="32"/>
        </w:rPr>
        <w:t>17.卫生健康支出(类)行政事业单位医疗(款)其他行政事业单位医疗支出(项):支出决算数为1.04万元，比上年决算减少0.72万元，下降40.91%,主要原因是：本年在职人员调入调出，人员职级不同，缴费基数不同，导致其他行政事业单位医疗较上年减少。</w:t>
      </w:r>
    </w:p>
    <w:p w14:paraId="71AA1B0B">
      <w:pPr>
        <w:spacing w:line="580" w:lineRule="exact"/>
        <w:ind w:firstLine="640"/>
        <w:jc w:val="both"/>
      </w:pPr>
      <w:r>
        <w:rPr>
          <w:rFonts w:ascii="仿宋_GB2312" w:hAnsi="仿宋_GB2312" w:eastAsia="仿宋_GB2312"/>
          <w:b w:val="0"/>
          <w:sz w:val="32"/>
        </w:rPr>
        <w:t>18.住房保障支出(类)住房改革支出(款)住房公积金(项):支出决算数为57.19万元，比上年决算增加5.20万元，增长10.00%,主要原因是：本年在职人员工资基数调增，公积金缴费基数上涨，相应支出增加。</w:t>
      </w:r>
    </w:p>
    <w:p w14:paraId="1A1DB9DF">
      <w:pPr>
        <w:spacing w:line="640" w:lineRule="exact"/>
        <w:ind w:firstLine="640"/>
        <w:jc w:val="both"/>
        <w:outlineLvl w:val="2"/>
      </w:pPr>
      <w:r>
        <w:rPr>
          <w:rFonts w:ascii="黑体" w:hAnsi="黑体" w:eastAsia="黑体"/>
          <w:sz w:val="32"/>
        </w:rPr>
        <w:t>六、一般公共预算财政拨款基本支出决算情况说明</w:t>
      </w:r>
    </w:p>
    <w:p w14:paraId="381B8E35">
      <w:pPr>
        <w:spacing w:line="580" w:lineRule="exact"/>
        <w:ind w:firstLine="640"/>
        <w:jc w:val="both"/>
      </w:pPr>
      <w:r>
        <w:rPr>
          <w:rFonts w:ascii="仿宋_GB2312" w:hAnsi="仿宋_GB2312" w:eastAsia="仿宋_GB2312"/>
          <w:b w:val="0"/>
          <w:sz w:val="32"/>
        </w:rPr>
        <w:t>2024年度一般公共预算财政拨款基本支出881.10万元，其中：</w:t>
      </w:r>
      <w:r>
        <w:rPr>
          <w:rFonts w:ascii="仿宋_GB2312" w:hAnsi="仿宋_GB2312" w:eastAsia="仿宋_GB2312"/>
          <w:b/>
          <w:sz w:val="32"/>
        </w:rPr>
        <w:t>人员经费816.12万元，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离休费、退休费、抚恤金、生活补助、奖励金。</w:t>
      </w:r>
    </w:p>
    <w:p w14:paraId="5276A8B6">
      <w:pPr>
        <w:spacing w:line="580" w:lineRule="exact"/>
        <w:ind w:firstLine="640"/>
        <w:jc w:val="both"/>
      </w:pPr>
      <w:r>
        <w:rPr>
          <w:rFonts w:ascii="仿宋_GB2312" w:hAnsi="仿宋_GB2312" w:eastAsia="仿宋_GB2312"/>
          <w:b/>
          <w:sz w:val="32"/>
        </w:rPr>
        <w:t>公用经费64.98万元，</w:t>
      </w:r>
      <w:r>
        <w:rPr>
          <w:rFonts w:ascii="仿宋_GB2312" w:hAnsi="仿宋_GB2312" w:eastAsia="仿宋_GB2312"/>
          <w:b w:val="0"/>
          <w:sz w:val="32"/>
        </w:rPr>
        <w:t>包括：办公费、手续费、水费、电费、邮电费、取暖费、物业管理费、租赁费、培训费、公务接待费、劳务费、工会经费、福利费、公务用车运行维护费、其他商品和服务支出。</w:t>
      </w:r>
    </w:p>
    <w:p w14:paraId="101A8743">
      <w:pPr>
        <w:spacing w:line="640" w:lineRule="exact"/>
        <w:ind w:firstLine="640"/>
        <w:jc w:val="both"/>
        <w:outlineLvl w:val="2"/>
      </w:pPr>
      <w:r>
        <w:rPr>
          <w:rFonts w:ascii="黑体" w:hAnsi="黑体" w:eastAsia="黑体"/>
          <w:sz w:val="32"/>
        </w:rPr>
        <w:t>七、政府性基金预算财政拨款收入支出决算情况说明</w:t>
      </w:r>
    </w:p>
    <w:p w14:paraId="3791B2F8">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4B93A3F4">
      <w:pPr>
        <w:spacing w:line="640" w:lineRule="exact"/>
        <w:ind w:firstLine="640"/>
        <w:jc w:val="both"/>
        <w:outlineLvl w:val="2"/>
      </w:pPr>
      <w:r>
        <w:rPr>
          <w:rFonts w:ascii="黑体" w:hAnsi="黑体" w:eastAsia="黑体"/>
          <w:sz w:val="32"/>
        </w:rPr>
        <w:t>八、国有资本经营预算财政拨款收入支出决算情况说明</w:t>
      </w:r>
    </w:p>
    <w:p w14:paraId="4D013188">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6CB0D12A">
      <w:pPr>
        <w:spacing w:line="640" w:lineRule="exact"/>
        <w:ind w:firstLine="640"/>
        <w:jc w:val="both"/>
        <w:outlineLvl w:val="2"/>
      </w:pPr>
      <w:r>
        <w:rPr>
          <w:rFonts w:ascii="黑体" w:hAnsi="黑体" w:eastAsia="黑体"/>
          <w:sz w:val="32"/>
        </w:rPr>
        <w:t>九、财政拨款“三公”经费支出决算情况说明</w:t>
      </w:r>
    </w:p>
    <w:p w14:paraId="4672BAA8">
      <w:pPr>
        <w:spacing w:line="580" w:lineRule="exact"/>
        <w:ind w:firstLine="640"/>
        <w:jc w:val="both"/>
      </w:pPr>
      <w:r>
        <w:rPr>
          <w:rFonts w:ascii="仿宋_GB2312" w:hAnsi="仿宋_GB2312" w:eastAsia="仿宋_GB2312"/>
          <w:b/>
          <w:sz w:val="32"/>
        </w:rPr>
        <w:t>2024年度财政拨款“三公”经费支出17.08万元，</w:t>
      </w:r>
      <w:r>
        <w:rPr>
          <w:rFonts w:ascii="仿宋_GB2312" w:hAnsi="仿宋_GB2312" w:eastAsia="仿宋_GB2312"/>
          <w:b w:val="0"/>
          <w:sz w:val="32"/>
        </w:rPr>
        <w:t>比上年增加3.48万元，增长25.59%，主要原因是：本部门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16.48万元，占96.49%，比上年增加3.48万元，增长26.77%，主要原因是：本部门公务用车日渐老化，维修维护成本增加，导致公务用车运行维护费较上年增加。公务接待费支出0.60万元，占3.51%，比上年增加0.00万元，增长0.00%，主要原因是：本年公务接待费与上年一致，无变化。</w:t>
      </w:r>
    </w:p>
    <w:p w14:paraId="1A619186">
      <w:pPr>
        <w:spacing w:line="580" w:lineRule="exact"/>
        <w:ind w:firstLine="640"/>
        <w:jc w:val="both"/>
      </w:pPr>
      <w:r>
        <w:rPr>
          <w:rFonts w:ascii="仿宋_GB2312" w:hAnsi="仿宋_GB2312" w:eastAsia="仿宋_GB2312"/>
          <w:b/>
          <w:sz w:val="32"/>
        </w:rPr>
        <w:t>具体情况如下：</w:t>
      </w:r>
    </w:p>
    <w:p w14:paraId="5B380088">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69F0F2AB">
      <w:pPr>
        <w:spacing w:line="580" w:lineRule="exact"/>
        <w:ind w:firstLine="640"/>
        <w:jc w:val="both"/>
      </w:pPr>
      <w:r>
        <w:rPr>
          <w:rFonts w:ascii="仿宋_GB2312" w:hAnsi="仿宋_GB2312" w:eastAsia="仿宋_GB2312"/>
          <w:b w:val="0"/>
          <w:sz w:val="32"/>
        </w:rPr>
        <w:t>公务用车购置及运行维护费16.48万元，其中：公务用车购置费0.00万元，公务用车运行维护费16.48万元。公务用车运行维护费开支内容包括车辆加油费、维修费、保险费、审车费、过路费等。公务用车购置数0辆，公务用车保有量12辆。国有资产占用情况中固定资产车辆12辆，与公务用车保有量差异原因是：本部门固定资产车辆与公务用车保有量一致无差异。</w:t>
      </w:r>
    </w:p>
    <w:p w14:paraId="63D061C8">
      <w:pPr>
        <w:spacing w:line="580" w:lineRule="exact"/>
        <w:ind w:firstLine="640"/>
        <w:jc w:val="both"/>
      </w:pPr>
      <w:r>
        <w:rPr>
          <w:rFonts w:ascii="仿宋_GB2312" w:hAnsi="仿宋_GB2312" w:eastAsia="仿宋_GB2312"/>
          <w:b w:val="0"/>
          <w:sz w:val="32"/>
        </w:rPr>
        <w:t>公务接待费0.60万元，开支内容包括因上级检查，接待上级领导检查产生的就餐费。部门全年安排的国内公务接待7批次，72人次。</w:t>
      </w:r>
    </w:p>
    <w:p w14:paraId="77CB3F2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17.08万元，决算数17.08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16.48万元，决算数16.48万元，预决算差异率0.00%，主要原因是：严格按照预算执行，预决算无差异。公务接待费全年预算数0.60万元，决算数0.60万元，预决算差异率0.00%，主要原因是：严格按照预算执行，预决算无差异。</w:t>
      </w:r>
    </w:p>
    <w:p w14:paraId="67AE0006">
      <w:pPr>
        <w:spacing w:line="640" w:lineRule="exact"/>
        <w:ind w:firstLine="640"/>
        <w:jc w:val="both"/>
        <w:outlineLvl w:val="2"/>
      </w:pPr>
      <w:r>
        <w:rPr>
          <w:rFonts w:ascii="黑体" w:hAnsi="黑体" w:eastAsia="黑体"/>
          <w:sz w:val="32"/>
        </w:rPr>
        <w:t>十、其他重要事项的情况说明</w:t>
      </w:r>
    </w:p>
    <w:p w14:paraId="2CF49A37">
      <w:pPr>
        <w:spacing w:line="640" w:lineRule="exact"/>
        <w:ind w:firstLine="640"/>
        <w:jc w:val="both"/>
        <w:outlineLvl w:val="3"/>
      </w:pPr>
      <w:r>
        <w:rPr>
          <w:rFonts w:ascii="楷体_GB2312" w:hAnsi="楷体_GB2312" w:eastAsia="楷体_GB2312"/>
          <w:b/>
          <w:sz w:val="32"/>
        </w:rPr>
        <w:t>（一）机关运行经费及公用经费支出情况</w:t>
      </w:r>
    </w:p>
    <w:p w14:paraId="73F2AE00">
      <w:pPr>
        <w:spacing w:line="580" w:lineRule="exact"/>
        <w:ind w:firstLine="640"/>
        <w:jc w:val="both"/>
      </w:pPr>
      <w:r>
        <w:rPr>
          <w:rFonts w:ascii="仿宋_GB2312" w:hAnsi="仿宋_GB2312" w:eastAsia="仿宋_GB2312"/>
          <w:b w:val="0"/>
          <w:sz w:val="32"/>
        </w:rPr>
        <w:t>2024年度新疆巴音郭楞蒙古自治州司法局（行政单位和参照公务员法管理事业单位）机关运行经费支出64.98万元，比上年减少1.22万元，下降1.84%，主要原因是：严格控制公用经费，合理节约办公用品，减少不必要开支。</w:t>
      </w:r>
    </w:p>
    <w:p w14:paraId="670AD34F">
      <w:pPr>
        <w:spacing w:line="640" w:lineRule="exact"/>
        <w:ind w:firstLine="640"/>
        <w:jc w:val="both"/>
        <w:outlineLvl w:val="3"/>
      </w:pPr>
      <w:r>
        <w:rPr>
          <w:rFonts w:ascii="楷体_GB2312" w:hAnsi="楷体_GB2312" w:eastAsia="楷体_GB2312"/>
          <w:b/>
          <w:sz w:val="32"/>
        </w:rPr>
        <w:t>（二）政府采购情况</w:t>
      </w:r>
    </w:p>
    <w:p w14:paraId="3B716DD7">
      <w:pPr>
        <w:spacing w:line="580" w:lineRule="exact"/>
        <w:ind w:firstLine="640"/>
        <w:jc w:val="both"/>
      </w:pPr>
      <w:r>
        <w:rPr>
          <w:rFonts w:ascii="仿宋_GB2312" w:hAnsi="仿宋_GB2312" w:eastAsia="仿宋_GB2312"/>
          <w:b w:val="0"/>
          <w:sz w:val="32"/>
        </w:rPr>
        <w:t>2024年度政府采购支出总额38.00万元，其中：政府采购货物支出31.02万元、政府采购工程支出0.00万元、政府采购服务支出6.98万元。</w:t>
      </w:r>
    </w:p>
    <w:p w14:paraId="52FC4449">
      <w:pPr>
        <w:spacing w:line="580" w:lineRule="exact"/>
        <w:ind w:firstLine="640"/>
        <w:jc w:val="both"/>
      </w:pPr>
      <w:r>
        <w:rPr>
          <w:rFonts w:ascii="仿宋_GB2312" w:hAnsi="仿宋_GB2312" w:eastAsia="仿宋_GB2312"/>
          <w:b w:val="0"/>
          <w:sz w:val="32"/>
        </w:rPr>
        <w:t>授予中小企业合同金额16.52万元，占政府采购支出总额的43.47%，其中：授予小微企业合同金额15.80万元，占政府采购支出总额的41.58%。</w:t>
      </w:r>
    </w:p>
    <w:p w14:paraId="6BFF9AAD">
      <w:pPr>
        <w:spacing w:line="640" w:lineRule="exact"/>
        <w:ind w:firstLine="640"/>
        <w:jc w:val="both"/>
        <w:outlineLvl w:val="3"/>
      </w:pPr>
      <w:r>
        <w:rPr>
          <w:rFonts w:ascii="楷体_GB2312" w:hAnsi="楷体_GB2312" w:eastAsia="楷体_GB2312"/>
          <w:b/>
          <w:sz w:val="32"/>
        </w:rPr>
        <w:t>（三）国有资产占用情况说明</w:t>
      </w:r>
    </w:p>
    <w:p w14:paraId="6AF7F663">
      <w:pPr>
        <w:spacing w:line="580" w:lineRule="exact"/>
        <w:ind w:firstLine="640"/>
        <w:jc w:val="both"/>
      </w:pPr>
      <w:r>
        <w:rPr>
          <w:rFonts w:ascii="仿宋_GB2312" w:hAnsi="仿宋_GB2312" w:eastAsia="仿宋_GB2312"/>
          <w:b w:val="0"/>
          <w:sz w:val="32"/>
        </w:rPr>
        <w:t>截至2024年12月31日，房屋2,012.00平方米，价值380.00万元。车辆12辆，价值279.82万元，其中：副部（省）级及以上领导用车0辆、主要负责人用车0辆、机要通信用车0辆、应急保障用车0辆、执法执勤用车12辆、特种专业技术用车0辆、离退休干部服务用车0辆、其他用车0辆，其他用车主要是：本部门无其他用车。单价100万元（含）以上设备（不含车辆）0台（套）。</w:t>
      </w:r>
    </w:p>
    <w:p w14:paraId="04A85AA6">
      <w:pPr>
        <w:spacing w:line="640" w:lineRule="exact"/>
        <w:ind w:firstLine="640"/>
        <w:jc w:val="both"/>
        <w:outlineLvl w:val="2"/>
      </w:pPr>
      <w:r>
        <w:rPr>
          <w:rFonts w:ascii="黑体" w:hAnsi="黑体" w:eastAsia="黑体"/>
          <w:sz w:val="32"/>
        </w:rPr>
        <w:t>十一、预算绩效的情况说明</w:t>
      </w:r>
    </w:p>
    <w:p w14:paraId="44B1C47F">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根据预算绩效管理要求，本部门2024年度预算绩效管理形成整体支出绩效自评表1个，全年预算总额2,615.13万元，实际执行总额2,614.87万元；预算绩效评价项目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279.81</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233.48</w:t>
      </w:r>
      <w:r>
        <w:rPr>
          <w:rFonts w:ascii="仿宋_GB2312" w:hAnsi="仿宋_GB2312" w:eastAsia="仿宋_GB2312"/>
          <w:b w:val="0"/>
          <w:sz w:val="32"/>
        </w:rPr>
        <w:t>万元。预算绩效管理取得的成效：2024年新疆</w:t>
      </w:r>
      <w:r>
        <w:rPr>
          <w:rFonts w:hint="eastAsia" w:ascii="仿宋_GB2312" w:hAnsi="仿宋_GB2312" w:eastAsia="仿宋_GB2312"/>
          <w:b w:val="0"/>
          <w:sz w:val="32"/>
          <w:lang w:eastAsia="zh-CN"/>
        </w:rPr>
        <w:t>巴音郭楞蒙古自治州</w:t>
      </w:r>
      <w:r>
        <w:rPr>
          <w:rFonts w:ascii="仿宋_GB2312" w:hAnsi="仿宋_GB2312" w:eastAsia="仿宋_GB2312"/>
          <w:b w:val="0"/>
          <w:sz w:val="32"/>
        </w:rPr>
        <w:t>司法局严格按照财政要求，落实预算绩效管理全过程，一是注重绩效目标编制，预算编制环节注重编细编实预算需求，科学选择绩效指标，合理设置绩效目标值，并严格按照财政统一要求，规范编制事前绩效报告，为财政资金发挥效益夯实基础；二是落实绩效“双监控”，预算执行过程中，以年度支出计划为基础，定期分析预算执行和绩效目标落实情况，并依托财政预算绩效管理平台分5月、8月对预算执行动态进行实时监控，发现问题及时纠偏，确保绩效目标落地落实三是扎实开展自评工作，年度终了，扎实开展预算绩效目标完成情况部门审核和自评工作。发现的问题及原因：一是法律援助宣传普及不够深入。基层群众遇到法律问题主动申请法律援助的意识不强，对免费服务的信任度不高，对法律援助知晓率有待进一步提高，特别是流动人口、务工人员流动性较大，宣传普及覆盖面不高；二是律师行业党建和律师维权和惩戒机制不够健全；三是普法宣传过于普泛，缺乏具体应用场景和针对性，大量文字、标语和海报不够贴近群众生活，难以引起民众兴趣和关注。下一步改进措施：一是加大法律援助宣传普及。抓好用好今年全国人大常委会制定《法律援助法》的有利时机，报司法部选编案例，深入组织开展法律援助宣传普及，提高群众知晓率，提升群众对法律援助的信任度；二是加强律师行业党建和执业监督。巩固律师行业党建全覆盖、全规范成果，充分发挥州律师行业党委核心作用，创新律师行业党组织活动的内容、形式和载体，有效推进律师行业党建工作；三是寻找符合时代需求的宣传方式，如通过短视频、微信公众号等平台加强普法知识传播，利用生动有趣的方式让大众更容易理解法律知识。具体附部门整体支出绩效自评表，项目支出绩效自评表和部门评价报告。</w:t>
      </w:r>
    </w:p>
    <w:p w14:paraId="518E92E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46F1C18">
        <w:tblPrEx>
          <w:tblCellMar>
            <w:top w:w="0" w:type="dxa"/>
            <w:left w:w="108" w:type="dxa"/>
            <w:bottom w:w="0" w:type="dxa"/>
            <w:right w:w="108" w:type="dxa"/>
          </w:tblCellMar>
        </w:tblPrEx>
        <w:tc>
          <w:tcPr>
            <w:tcW w:w="8840" w:type="dxa"/>
            <w:gridSpan w:val="8"/>
            <w:vAlign w:val="center"/>
          </w:tcPr>
          <w:p w14:paraId="245DADF6">
            <w:pPr>
              <w:jc w:val="center"/>
            </w:pPr>
            <w:r>
              <w:rPr>
                <w:rFonts w:ascii="宋体" w:hAnsi="宋体" w:eastAsia="宋体"/>
                <w:sz w:val="24"/>
              </w:rPr>
              <w:t>部门整体支出绩效自评表</w:t>
            </w:r>
          </w:p>
        </w:tc>
      </w:tr>
      <w:tr w14:paraId="5D6980E2">
        <w:tblPrEx>
          <w:tblCellMar>
            <w:top w:w="0" w:type="dxa"/>
            <w:left w:w="108" w:type="dxa"/>
            <w:bottom w:w="0" w:type="dxa"/>
            <w:right w:w="108" w:type="dxa"/>
          </w:tblCellMar>
        </w:tblPrEx>
        <w:tc>
          <w:tcPr>
            <w:tcW w:w="8840" w:type="dxa"/>
            <w:gridSpan w:val="8"/>
            <w:vAlign w:val="center"/>
          </w:tcPr>
          <w:p w14:paraId="27DF271E">
            <w:pPr>
              <w:jc w:val="center"/>
            </w:pPr>
            <w:r>
              <w:rPr>
                <w:rFonts w:ascii="宋体" w:hAnsi="宋体" w:eastAsia="宋体"/>
                <w:sz w:val="24"/>
              </w:rPr>
              <w:t>（2024年度）</w:t>
            </w:r>
          </w:p>
        </w:tc>
      </w:tr>
      <w:tr w14:paraId="159344E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5D6131">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F02D3">
            <w:pPr>
              <w:jc w:val="center"/>
            </w:pPr>
            <w:r>
              <w:rPr>
                <w:rFonts w:ascii="宋体" w:hAnsi="宋体" w:eastAsia="宋体"/>
                <w:sz w:val="16"/>
              </w:rPr>
              <w:t>新疆巴音郭楞蒙古自治州司法局</w:t>
            </w:r>
          </w:p>
        </w:tc>
      </w:tr>
      <w:tr w14:paraId="6E389CA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0D0E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DB3D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980E9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A4B77">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30CA2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62C7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B40E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6C740">
            <w:pPr>
              <w:jc w:val="center"/>
            </w:pPr>
            <w:r>
              <w:rPr>
                <w:rFonts w:ascii="宋体" w:hAnsi="宋体" w:eastAsia="宋体"/>
                <w:sz w:val="16"/>
              </w:rPr>
              <w:t>得分</w:t>
            </w:r>
          </w:p>
        </w:tc>
      </w:tr>
      <w:tr w14:paraId="593902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8789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E0E3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39992">
            <w:pPr>
              <w:jc w:val="center"/>
            </w:pPr>
            <w:r>
              <w:rPr>
                <w:rFonts w:ascii="宋体" w:hAnsi="宋体" w:eastAsia="宋体"/>
                <w:sz w:val="16"/>
              </w:rPr>
              <w:t>1,069.05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7A9CB">
            <w:pPr>
              <w:jc w:val="center"/>
            </w:pPr>
            <w:r>
              <w:rPr>
                <w:rFonts w:ascii="宋体" w:hAnsi="宋体" w:eastAsia="宋体"/>
                <w:sz w:val="16"/>
              </w:rPr>
              <w:t>2,615.13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4CC5D">
            <w:pPr>
              <w:jc w:val="center"/>
            </w:pPr>
            <w:r>
              <w:rPr>
                <w:rFonts w:ascii="宋体" w:hAnsi="宋体" w:eastAsia="宋体"/>
                <w:sz w:val="16"/>
              </w:rPr>
              <w:t>2,614.87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6FB19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D20A7">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806638">
            <w:pPr>
              <w:jc w:val="center"/>
            </w:pPr>
            <w:r>
              <w:rPr>
                <w:rFonts w:ascii="宋体" w:hAnsi="宋体" w:eastAsia="宋体"/>
                <w:sz w:val="16"/>
              </w:rPr>
              <w:t>9.99</w:t>
            </w:r>
          </w:p>
        </w:tc>
      </w:tr>
      <w:tr w14:paraId="0E66265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CD78F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82BE83">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435EB4">
            <w:pPr>
              <w:jc w:val="center"/>
            </w:pPr>
            <w:r>
              <w:rPr>
                <w:rFonts w:ascii="宋体" w:hAnsi="宋体" w:eastAsia="宋体"/>
                <w:sz w:val="16"/>
              </w:rPr>
              <w:t>161.81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7153C">
            <w:pPr>
              <w:jc w:val="center"/>
            </w:pPr>
            <w:r>
              <w:rPr>
                <w:rFonts w:ascii="宋体" w:hAnsi="宋体" w:eastAsia="宋体"/>
                <w:sz w:val="16"/>
              </w:rPr>
              <w:t>196.48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7AFB50">
            <w:pPr>
              <w:jc w:val="center"/>
            </w:pPr>
            <w:r>
              <w:rPr>
                <w:rFonts w:ascii="宋体" w:hAnsi="宋体" w:eastAsia="宋体"/>
                <w:sz w:val="16"/>
              </w:rPr>
              <w:t>196.48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67A3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D251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A28EF">
            <w:pPr>
              <w:jc w:val="center"/>
            </w:pPr>
            <w:r>
              <w:rPr>
                <w:rFonts w:ascii="宋体" w:hAnsi="宋体" w:eastAsia="宋体"/>
                <w:sz w:val="16"/>
              </w:rPr>
              <w:t>-</w:t>
            </w:r>
          </w:p>
        </w:tc>
      </w:tr>
      <w:tr w14:paraId="4F654E7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08590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D9CC5D">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A4FC6">
            <w:pPr>
              <w:jc w:val="center"/>
            </w:pPr>
            <w:r>
              <w:rPr>
                <w:rFonts w:ascii="宋体" w:hAnsi="宋体" w:eastAsia="宋体"/>
                <w:sz w:val="16"/>
              </w:rPr>
              <w:t>907.24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CA6208">
            <w:pPr>
              <w:jc w:val="center"/>
            </w:pPr>
            <w:r>
              <w:rPr>
                <w:rFonts w:ascii="宋体" w:hAnsi="宋体" w:eastAsia="宋体"/>
                <w:sz w:val="16"/>
              </w:rPr>
              <w:t>918.10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5B0A24">
            <w:pPr>
              <w:jc w:val="center"/>
            </w:pPr>
            <w:r>
              <w:rPr>
                <w:rFonts w:ascii="宋体" w:hAnsi="宋体" w:eastAsia="宋体"/>
                <w:sz w:val="16"/>
              </w:rPr>
              <w:t>918.10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0020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B6686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587A1E">
            <w:pPr>
              <w:jc w:val="center"/>
            </w:pPr>
            <w:r>
              <w:rPr>
                <w:rFonts w:ascii="宋体" w:hAnsi="宋体" w:eastAsia="宋体"/>
                <w:sz w:val="16"/>
              </w:rPr>
              <w:t>-</w:t>
            </w:r>
          </w:p>
        </w:tc>
      </w:tr>
      <w:tr w14:paraId="446C9DD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CA9FC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A02853">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1598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DA208">
            <w:pPr>
              <w:jc w:val="center"/>
            </w:pPr>
            <w:r>
              <w:rPr>
                <w:rFonts w:ascii="宋体" w:hAnsi="宋体" w:eastAsia="宋体"/>
                <w:sz w:val="16"/>
              </w:rPr>
              <w:t>1,500.55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DFBDA9">
            <w:pPr>
              <w:jc w:val="center"/>
            </w:pPr>
            <w:r>
              <w:rPr>
                <w:rFonts w:ascii="宋体" w:hAnsi="宋体" w:eastAsia="宋体"/>
                <w:sz w:val="16"/>
              </w:rPr>
              <w:t>1,500.29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B0C6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BF4A4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BF140">
            <w:pPr>
              <w:jc w:val="center"/>
            </w:pPr>
            <w:r>
              <w:rPr>
                <w:rFonts w:ascii="宋体" w:hAnsi="宋体" w:eastAsia="宋体"/>
                <w:sz w:val="16"/>
              </w:rPr>
              <w:t>-</w:t>
            </w:r>
          </w:p>
        </w:tc>
      </w:tr>
      <w:tr w14:paraId="7A87F03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FF1F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0B20E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CC9FD6">
            <w:pPr>
              <w:jc w:val="center"/>
            </w:pPr>
            <w:r>
              <w:rPr>
                <w:rFonts w:ascii="宋体" w:hAnsi="宋体" w:eastAsia="宋体"/>
                <w:sz w:val="16"/>
              </w:rPr>
              <w:t>实际完成情况</w:t>
            </w:r>
          </w:p>
        </w:tc>
      </w:tr>
      <w:tr w14:paraId="4BE3E0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D41A6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BFE8D0">
            <w:pPr>
              <w:jc w:val="both"/>
            </w:pPr>
            <w:r>
              <w:rPr>
                <w:rFonts w:ascii="宋体" w:hAnsi="宋体" w:eastAsia="宋体"/>
                <w:sz w:val="16"/>
              </w:rPr>
              <w:t>指导各县市、各行业法治宣传、依法治理工作和对外法治宣传，让法律知识深入人心，让各族人民学法知法，守法用法，提高全社会法制化水平，营造良好的</w:t>
            </w:r>
            <w:r>
              <w:rPr>
                <w:rFonts w:hint="eastAsia" w:ascii="宋体" w:hAnsi="宋体"/>
                <w:sz w:val="16"/>
                <w:lang w:eastAsia="zh-CN"/>
              </w:rPr>
              <w:t>法治环境</w:t>
            </w:r>
            <w:r>
              <w:rPr>
                <w:rFonts w:ascii="宋体" w:hAnsi="宋体" w:eastAsia="宋体"/>
                <w:sz w:val="16"/>
              </w:rPr>
              <w:t>，促进经济健康发展,提高法律援助工作人员业务水平，提高法律援助办案质量，提高法律援助工作人员业务水平，提高法律援助办案质量。</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BCF127">
            <w:pPr>
              <w:jc w:val="both"/>
            </w:pPr>
            <w:r>
              <w:rPr>
                <w:rFonts w:ascii="宋体" w:hAnsi="宋体" w:eastAsia="宋体"/>
                <w:sz w:val="16"/>
              </w:rPr>
              <w:t>本年完成组织开展1次全州行政执法能力建设专题培训，提升行政执法和执法监督能力；依法保障律师执业权利和规范执业行为，全力配合组织好2024年国家统一法律职业资格考试工作2场，创建“自治州级民主法治示范村”30个，深入推进</w:t>
            </w:r>
            <w:r>
              <w:rPr>
                <w:rFonts w:hint="eastAsia" w:ascii="宋体" w:hAnsi="宋体"/>
                <w:sz w:val="16"/>
                <w:lang w:eastAsia="zh-CN"/>
              </w:rPr>
              <w:t>“八五”普法规划</w:t>
            </w:r>
            <w:r>
              <w:rPr>
                <w:rFonts w:ascii="宋体" w:hAnsi="宋体" w:eastAsia="宋体"/>
                <w:sz w:val="16"/>
              </w:rPr>
              <w:t>实施，突出抓好重点对象、内容普法，深入推进宪法法律宣传，推进全民终身法治教育；坚持以法治为民为宗旨，为高质量发展提供高水平法律服务，办理法律援助案件939件，提高法律援助工作人员业务水平，提高法律援助办案质量。</w:t>
            </w:r>
          </w:p>
        </w:tc>
      </w:tr>
      <w:tr w14:paraId="7743412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892E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74A2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A77C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432A2">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6CA6E">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301F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4AA09A">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746D4">
            <w:pPr>
              <w:jc w:val="center"/>
            </w:pPr>
            <w:r>
              <w:rPr>
                <w:rFonts w:ascii="宋体" w:hAnsi="宋体" w:eastAsia="宋体"/>
                <w:sz w:val="16"/>
              </w:rPr>
              <w:t>得分</w:t>
            </w:r>
          </w:p>
        </w:tc>
      </w:tr>
      <w:tr w14:paraId="09B996C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0FB5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F946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7BE1F">
            <w:pPr>
              <w:jc w:val="center"/>
            </w:pPr>
            <w:r>
              <w:rPr>
                <w:rFonts w:ascii="宋体" w:hAnsi="宋体" w:eastAsia="宋体"/>
                <w:sz w:val="16"/>
              </w:rPr>
              <w:t>组织法律职业资格考试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23B85">
            <w:pPr>
              <w:jc w:val="center"/>
            </w:pPr>
            <w:r>
              <w:rPr>
                <w:rFonts w:ascii="宋体" w:hAnsi="宋体" w:eastAsia="宋体"/>
                <w:sz w:val="16"/>
              </w:rPr>
              <w:t>&gt;=2场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14447">
            <w:pPr>
              <w:jc w:val="center"/>
            </w:pPr>
            <w:r>
              <w:rPr>
                <w:rFonts w:ascii="宋体" w:hAnsi="宋体" w:eastAsia="宋体"/>
                <w:sz w:val="16"/>
              </w:rPr>
              <w:t>巴州司法局2024年司法行政重点工作方案和任务清单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31DA1">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0A39A8">
            <w:pPr>
              <w:jc w:val="center"/>
            </w:pPr>
            <w:r>
              <w:rPr>
                <w:rFonts w:ascii="宋体" w:hAnsi="宋体" w:eastAsia="宋体"/>
                <w:sz w:val="16"/>
              </w:rPr>
              <w:t>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458673">
            <w:pPr>
              <w:jc w:val="center"/>
            </w:pPr>
            <w:r>
              <w:rPr>
                <w:rFonts w:ascii="宋体" w:hAnsi="宋体" w:eastAsia="宋体"/>
                <w:sz w:val="16"/>
              </w:rPr>
              <w:t>25</w:t>
            </w:r>
          </w:p>
        </w:tc>
      </w:tr>
      <w:tr w14:paraId="52843B6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33E8A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337E6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CAB46">
            <w:pPr>
              <w:jc w:val="center"/>
            </w:pPr>
            <w:r>
              <w:rPr>
                <w:rFonts w:ascii="宋体" w:hAnsi="宋体" w:eastAsia="宋体"/>
                <w:sz w:val="16"/>
              </w:rPr>
              <w:t>举办全州执法人员培训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00C8C">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0B023">
            <w:pPr>
              <w:jc w:val="center"/>
            </w:pPr>
            <w:r>
              <w:rPr>
                <w:rFonts w:ascii="宋体" w:hAnsi="宋体" w:eastAsia="宋体"/>
                <w:sz w:val="16"/>
              </w:rPr>
              <w:t>巴州司法局2024年司法行政重点工作方案和任务清单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F1B3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C7B47">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0A305D">
            <w:pPr>
              <w:jc w:val="center"/>
            </w:pPr>
            <w:r>
              <w:rPr>
                <w:rFonts w:ascii="宋体" w:hAnsi="宋体" w:eastAsia="宋体"/>
                <w:sz w:val="16"/>
              </w:rPr>
              <w:t>20</w:t>
            </w:r>
          </w:p>
        </w:tc>
      </w:tr>
      <w:tr w14:paraId="2100D3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20488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3E36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57C9BC">
            <w:pPr>
              <w:jc w:val="center"/>
            </w:pPr>
            <w:r>
              <w:rPr>
                <w:rFonts w:ascii="宋体" w:hAnsi="宋体" w:eastAsia="宋体"/>
                <w:sz w:val="16"/>
              </w:rPr>
              <w:t>创建“自治州级民主法治示范村”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D25F4">
            <w:pPr>
              <w:jc w:val="center"/>
            </w:pPr>
            <w:r>
              <w:rPr>
                <w:rFonts w:ascii="宋体" w:hAnsi="宋体" w:eastAsia="宋体"/>
                <w:sz w:val="16"/>
              </w:rPr>
              <w:t>&gt;=30个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27D10">
            <w:pPr>
              <w:jc w:val="center"/>
            </w:pPr>
            <w:r>
              <w:rPr>
                <w:rFonts w:ascii="宋体" w:hAnsi="宋体" w:eastAsia="宋体"/>
                <w:sz w:val="16"/>
              </w:rPr>
              <w:t>巴州司法局2024年司法行政重点工作方案和任务清单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8036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6CCFF">
            <w:pPr>
              <w:jc w:val="center"/>
            </w:pPr>
            <w:r>
              <w:rPr>
                <w:rFonts w:ascii="宋体" w:hAnsi="宋体" w:eastAsia="宋体"/>
                <w:sz w:val="16"/>
              </w:rPr>
              <w:t>30个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BB6B19">
            <w:pPr>
              <w:jc w:val="center"/>
            </w:pPr>
            <w:r>
              <w:rPr>
                <w:rFonts w:ascii="宋体" w:hAnsi="宋体" w:eastAsia="宋体"/>
                <w:sz w:val="16"/>
              </w:rPr>
              <w:t>20</w:t>
            </w:r>
          </w:p>
        </w:tc>
      </w:tr>
      <w:tr w14:paraId="46C04F0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038B1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0A970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E69E8">
            <w:pPr>
              <w:jc w:val="center"/>
            </w:pPr>
            <w:r>
              <w:rPr>
                <w:rFonts w:ascii="宋体" w:hAnsi="宋体" w:eastAsia="宋体"/>
                <w:sz w:val="16"/>
              </w:rPr>
              <w:t>办理法律援助案件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9F3A5">
            <w:pPr>
              <w:jc w:val="center"/>
            </w:pPr>
            <w:r>
              <w:rPr>
                <w:rFonts w:ascii="宋体" w:hAnsi="宋体" w:eastAsia="宋体"/>
                <w:sz w:val="16"/>
              </w:rPr>
              <w:t>&gt;=1000件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3C1AB">
            <w:pPr>
              <w:jc w:val="center"/>
            </w:pPr>
            <w:r>
              <w:rPr>
                <w:rFonts w:ascii="宋体" w:hAnsi="宋体" w:eastAsia="宋体"/>
                <w:sz w:val="16"/>
              </w:rPr>
              <w:t>巴州司法局2024年司法行政重点工作方案和任务清单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B1AA38">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606D0">
            <w:pPr>
              <w:jc w:val="center"/>
            </w:pPr>
            <w:r>
              <w:rPr>
                <w:rFonts w:ascii="宋体" w:hAnsi="宋体" w:eastAsia="宋体"/>
                <w:sz w:val="16"/>
              </w:rPr>
              <w:t>939件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9DADF">
            <w:pPr>
              <w:jc w:val="center"/>
            </w:pPr>
            <w:r>
              <w:rPr>
                <w:rFonts w:ascii="宋体" w:hAnsi="宋体" w:eastAsia="宋体"/>
                <w:sz w:val="16"/>
              </w:rPr>
              <w:t>23.48</w:t>
            </w:r>
          </w:p>
        </w:tc>
      </w:tr>
    </w:tbl>
    <w:p w14:paraId="1AE48D28">
      <w:r>
        <w:br w:type="page"/>
      </w:r>
    </w:p>
    <w:tbl>
      <w:tblPr>
        <w:tblStyle w:val="9"/>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6"/>
        <w:gridCol w:w="688"/>
        <w:gridCol w:w="619"/>
        <w:gridCol w:w="1171"/>
        <w:gridCol w:w="816"/>
        <w:gridCol w:w="416"/>
        <w:gridCol w:w="516"/>
        <w:gridCol w:w="396"/>
        <w:gridCol w:w="416"/>
        <w:gridCol w:w="416"/>
        <w:gridCol w:w="846"/>
        <w:gridCol w:w="916"/>
        <w:gridCol w:w="666"/>
        <w:gridCol w:w="666"/>
      </w:tblGrid>
      <w:tr w14:paraId="316EF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8964" w:type="dxa"/>
            <w:gridSpan w:val="14"/>
            <w:tcBorders>
              <w:top w:val="nil"/>
              <w:left w:val="nil"/>
              <w:bottom w:val="nil"/>
              <w:right w:val="nil"/>
            </w:tcBorders>
            <w:shd w:val="clear" w:color="auto" w:fill="auto"/>
            <w:vAlign w:val="center"/>
          </w:tcPr>
          <w:p w14:paraId="1A4DAC36">
            <w:pPr>
              <w:jc w:val="center"/>
              <w:rPr>
                <w:rFonts w:ascii="宋体" w:hAnsi="宋体" w:eastAsia="宋体"/>
                <w:sz w:val="24"/>
              </w:rPr>
            </w:pPr>
            <w:r>
              <w:rPr>
                <w:rFonts w:ascii="宋体" w:hAnsi="宋体" w:eastAsia="宋体"/>
                <w:sz w:val="24"/>
              </w:rPr>
              <w:t>项目支出绩效自评表</w:t>
            </w:r>
          </w:p>
        </w:tc>
      </w:tr>
      <w:tr w14:paraId="15297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8964" w:type="dxa"/>
            <w:gridSpan w:val="14"/>
            <w:tcBorders>
              <w:top w:val="nil"/>
              <w:left w:val="nil"/>
              <w:bottom w:val="single" w:color="auto" w:sz="4" w:space="0"/>
              <w:right w:val="nil"/>
            </w:tcBorders>
            <w:shd w:val="clear" w:color="auto" w:fill="auto"/>
            <w:vAlign w:val="center"/>
          </w:tcPr>
          <w:p w14:paraId="59B75471">
            <w:pPr>
              <w:jc w:val="center"/>
              <w:rPr>
                <w:rFonts w:hint="eastAsia" w:ascii="宋体" w:hAnsi="宋体" w:eastAsia="宋体"/>
                <w:sz w:val="24"/>
              </w:rPr>
            </w:pPr>
            <w:r>
              <w:rPr>
                <w:rFonts w:ascii="宋体" w:hAnsi="宋体" w:eastAsia="宋体"/>
                <w:sz w:val="24"/>
              </w:rPr>
              <w:t>(2024年度)</w:t>
            </w:r>
          </w:p>
        </w:tc>
      </w:tr>
      <w:tr w14:paraId="21059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81"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01F95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7983" w:type="dxa"/>
            <w:gridSpan w:val="12"/>
            <w:tcBorders>
              <w:top w:val="single" w:color="auto" w:sz="4" w:space="0"/>
              <w:left w:val="single" w:color="000000" w:sz="4" w:space="0"/>
              <w:bottom w:val="single" w:color="000000" w:sz="4" w:space="0"/>
              <w:right w:val="single" w:color="000000" w:sz="4" w:space="0"/>
            </w:tcBorders>
            <w:shd w:val="clear" w:color="auto" w:fill="auto"/>
            <w:vAlign w:val="center"/>
          </w:tcPr>
          <w:p w14:paraId="5056A9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司法行政业务项目</w:t>
            </w:r>
          </w:p>
        </w:tc>
      </w:tr>
      <w:tr w14:paraId="3F3B2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B9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29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DFEA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新疆巴州司法局</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587D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EBB8A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新疆巴州司法局</w:t>
            </w:r>
          </w:p>
        </w:tc>
      </w:tr>
      <w:tr w14:paraId="0CB80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F9B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9216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3F6E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A15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009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83D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分值权重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6DF2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30B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39C2F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8D31B">
            <w:pPr>
              <w:jc w:val="center"/>
              <w:rPr>
                <w:rFonts w:hint="eastAsia" w:ascii="宋体" w:hAnsi="宋体" w:eastAsia="宋体" w:cs="宋体"/>
                <w:i w:val="0"/>
                <w:iCs w:val="0"/>
                <w:color w:val="000000"/>
                <w:sz w:val="18"/>
                <w:szCs w:val="18"/>
                <w:u w:val="none"/>
              </w:rPr>
            </w:pPr>
          </w:p>
        </w:tc>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230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882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5AD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591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A5A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F5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90D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14:paraId="442D6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5C0E3">
            <w:pPr>
              <w:jc w:val="center"/>
              <w:rPr>
                <w:rFonts w:hint="eastAsia" w:ascii="宋体" w:hAnsi="宋体" w:eastAsia="宋体" w:cs="宋体"/>
                <w:i w:val="0"/>
                <w:iCs w:val="0"/>
                <w:color w:val="000000"/>
                <w:sz w:val="18"/>
                <w:szCs w:val="18"/>
                <w:u w:val="none"/>
              </w:rPr>
            </w:pPr>
          </w:p>
        </w:tc>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B4C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D03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5362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F05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C28C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715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E71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97B8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C0DFA">
            <w:pPr>
              <w:jc w:val="center"/>
              <w:rPr>
                <w:rFonts w:hint="eastAsia" w:ascii="宋体" w:hAnsi="宋体" w:eastAsia="宋体" w:cs="宋体"/>
                <w:i w:val="0"/>
                <w:iCs w:val="0"/>
                <w:color w:val="000000"/>
                <w:sz w:val="18"/>
                <w:szCs w:val="18"/>
                <w:u w:val="none"/>
              </w:rPr>
            </w:pPr>
          </w:p>
        </w:tc>
        <w:tc>
          <w:tcPr>
            <w:tcW w:w="10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E43E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8A5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79B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0569B">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285E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D6B8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8854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313F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B2C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CEDF1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BF72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总体目标完成情况</w:t>
            </w:r>
          </w:p>
        </w:tc>
      </w:tr>
      <w:tr w14:paraId="246DC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1F492">
            <w:pPr>
              <w:jc w:val="center"/>
              <w:rPr>
                <w:rFonts w:hint="eastAsia" w:ascii="宋体" w:hAnsi="宋体" w:eastAsia="宋体" w:cs="宋体"/>
                <w:i w:val="0"/>
                <w:iCs w:val="0"/>
                <w:color w:val="000000"/>
                <w:sz w:val="18"/>
                <w:szCs w:val="18"/>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F1C6D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目标一：通过发放80件法律援助案件补贴，提高法律援助工作人员业务水平，提高法律援助办案质量，提高法律援助工作人员业务水平，提高法律援助办案质量。目标二：通过举办9期2024年全州执法人员培训经费，完成自治州依法行政的各项任务，加强法治建设。并监督和维护行政主体依法行使行政职权，保护相对人的合法权益。目标三：通过购买普法图书80套，制作普法宣传资料3批，让法律知识深入人心，让各族人民学法知法，守法用法，提高全社会法制化水平，营造良好的法治环境，促进经济健康发展。</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ACFD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2024年12月31日，发放94件法律援助案件补贴，增加律师办理法律援助案件积极性，提高法律援助工作人员业务水平，提高法律援助办案质量；举办了10期2024年全州执法人员培训，提高全社会法制化水平，营造良好的法治环境，并监督和维护行政主体依法行使行政职能；购买普法图书80套，制作普法宣传资料3批，推广法律宣传，优化营商环境，推进党纪学习，深入廉政教育，提升公民法治素养，加强法治文化建设。</w:t>
            </w:r>
          </w:p>
        </w:tc>
      </w:tr>
      <w:tr w14:paraId="0511E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793E27">
            <w:pPr>
              <w:jc w:val="center"/>
              <w:rPr>
                <w:rFonts w:hint="eastAsia" w:ascii="宋体" w:hAnsi="宋体" w:eastAsia="宋体" w:cs="宋体"/>
                <w:i w:val="0"/>
                <w:iCs w:val="0"/>
                <w:color w:val="000000"/>
                <w:sz w:val="18"/>
                <w:szCs w:val="18"/>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76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8DE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62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893D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140F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指标值设置依据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554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F1C7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指标分值权重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260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指标赋分规则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5C7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佐证资料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6285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2D9A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7A25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FA45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557A2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F761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9674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FD4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1CE3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法律援助案件数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279D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F8F3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26F9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E32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4151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B581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42E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EF4C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B06C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8A1D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偏差原因：年初设置的指标值较为保守，实际法律援助案件数较多，造成偏差；改进措施：下年更为精准地设置绩效目标值。</w:t>
            </w:r>
          </w:p>
        </w:tc>
      </w:tr>
      <w:tr w14:paraId="584A5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93508">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86DD2">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97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04E0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购买普法图书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2D45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268B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E035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245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9D04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BDF4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BE9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D659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0DD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21FA50">
            <w:pPr>
              <w:jc w:val="center"/>
              <w:rPr>
                <w:rFonts w:hint="eastAsia" w:ascii="宋体" w:hAnsi="宋体" w:eastAsia="宋体" w:cs="宋体"/>
                <w:i w:val="0"/>
                <w:iCs w:val="0"/>
                <w:color w:val="000000"/>
                <w:sz w:val="18"/>
                <w:szCs w:val="18"/>
                <w:u w:val="none"/>
              </w:rPr>
            </w:pPr>
          </w:p>
        </w:tc>
      </w:tr>
      <w:tr w14:paraId="73399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71E7C">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B4894">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43C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F6A33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制作普法宣传品批数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520B6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A2E0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658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5C04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939E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0807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A2B6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969D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2E62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37776B">
            <w:pPr>
              <w:jc w:val="center"/>
              <w:rPr>
                <w:rFonts w:hint="eastAsia" w:ascii="宋体" w:hAnsi="宋体" w:eastAsia="宋体" w:cs="宋体"/>
                <w:i w:val="0"/>
                <w:iCs w:val="0"/>
                <w:color w:val="000000"/>
                <w:sz w:val="18"/>
                <w:szCs w:val="18"/>
                <w:u w:val="none"/>
              </w:rPr>
            </w:pPr>
          </w:p>
        </w:tc>
      </w:tr>
      <w:tr w14:paraId="0DBCA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E3FEDF">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754A2">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CA8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4A4D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行政执法人员培训期数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2BD7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1D5B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C8F8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65D9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D105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7BEA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26D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5EA7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DEFB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0FD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偏差原因：年初计划开展9期培训，每期3天，但在实施时将库尔勒市的培训与州直单位的分开进行，造成偏差；改进措施：下年计划时应考虑更为全面，更为精准的设置绩效目标值。</w:t>
            </w:r>
          </w:p>
        </w:tc>
      </w:tr>
      <w:tr w14:paraId="482DF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F63B9">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F8184C">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5D8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6CF3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行政执法人员培训人数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48A3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DC6F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6733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B8C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8BDD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D80A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5C4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=526人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EFA5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7AE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44A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偏差原因：年初询价时培训费为200元/人，后跟培训学校多次协商将价格降为190元/人，可培训的人数增加，造成偏差；改进措施：下年计划时应考虑更为全面，更为精准的设置绩效目标值。</w:t>
            </w:r>
          </w:p>
        </w:tc>
      </w:tr>
      <w:tr w14:paraId="596D0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6E1364">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21029">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084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B6F5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行政执法人员培训天数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D621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&gt;=27天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2174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3C37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18BB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A3AF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C51A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2B5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D7AAE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111.11%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B84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75AE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偏差原因：年初计划开展9期培训，每期3天，但在实施时将库尔勒市的培训与州直单位的分开进行，造成偏差；改进措施：下年计划时应考虑更为全面，更为精准的设置绩效目标值。</w:t>
            </w:r>
          </w:p>
        </w:tc>
      </w:tr>
      <w:tr w14:paraId="35004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F6006">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5779E">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F3E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9C7D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受理案件办结率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C5F6C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55FD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64AB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2831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008D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5675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F49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2AE97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126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B07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偏差原因：年初设置的指标值较为保守，实际受理案件办结率较高，造成偏差；改进措施：下年更为精准地设置绩效目标值。</w:t>
            </w:r>
          </w:p>
        </w:tc>
      </w:tr>
      <w:tr w14:paraId="672DE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524E9">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DD03D">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078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56D7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购买普法图书政府采购率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3076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37A4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07B5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2BD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4194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CA93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5A36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3DA8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F77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CE5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偏差原因：年初设置的指标值较为保守，实际购买普法图书政府采购率较高，造成偏差；改进措施：下年更为精准地设置绩效目标值。</w:t>
            </w:r>
          </w:p>
        </w:tc>
      </w:tr>
      <w:tr w14:paraId="3ED38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09B0E">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3B06E5">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7EA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C76E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制作宣传品的验收合格率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81E9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7B4F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CC3B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A4F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72CF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D7D7B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1AD0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C4E5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E83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E78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偏差原因：年初设置的指标值较为保守，实际制作宣传品的验收合格率较高，造成偏差；改进措施：下年更为精准地设置绩效目标值。</w:t>
            </w:r>
          </w:p>
        </w:tc>
      </w:tr>
      <w:tr w14:paraId="423C8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A5D4D">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C0FF3">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5DC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D5BB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行政执法人员培训出勤率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DA35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222B7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44C5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CC2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F471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97BBD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F89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9E65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93DC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9BC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偏差原因：年初设置的指标值较为保守，实际行政执法人员培训出勤率较高，造成偏差；改进措施：下年更为精准地设置绩效目标值</w:t>
            </w:r>
          </w:p>
        </w:tc>
      </w:tr>
      <w:tr w14:paraId="1AA2D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96D91">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B7AFD">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DDE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C3669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制作普法宣传品及时率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99F4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ACF60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50E10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8431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956A0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5E3ED1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D6B5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39F23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E89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AEC3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偏差原因：年初设置的指标值较为保守，实际制作普法宣传品及时率较高，造成偏差；改进措施：下年更为精准地设置绩效目标值</w:t>
            </w:r>
          </w:p>
        </w:tc>
      </w:tr>
      <w:tr w14:paraId="11ED5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F4E4AF">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C6098">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6C2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972A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行政执法人员培训按期完成率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6752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4F13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0651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F5B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B4B2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1390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54B9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2ED2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C97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D30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偏差原因：年初设置的指标值较为保守，实际行政执法人员培训按期完成率较高，造成偏差；改进措施：下年更为精准地设置绩效目标值</w:t>
            </w:r>
          </w:p>
        </w:tc>
      </w:tr>
      <w:tr w14:paraId="2CA98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DF434">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DDC2D">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BFA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684D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法律援助案件补助资金支付及时率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5DBE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9B59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C5B2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C89F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96764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667F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77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6954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281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0E0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偏差原因：年初设置的指标值较为保守，实际法律援助案件补助资金支付及时率较高，造成偏差；改进措施：下年更为精准地设置绩效目标值</w:t>
            </w:r>
          </w:p>
        </w:tc>
      </w:tr>
      <w:tr w14:paraId="74F9E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F7B2E5">
            <w:pPr>
              <w:jc w:val="center"/>
              <w:rPr>
                <w:rFonts w:hint="eastAsia" w:ascii="宋体" w:hAnsi="宋体" w:eastAsia="宋体" w:cs="宋体"/>
                <w:i w:val="0"/>
                <w:iCs w:val="0"/>
                <w:color w:val="000000"/>
                <w:sz w:val="20"/>
                <w:szCs w:val="20"/>
                <w:u w:val="none"/>
              </w:rPr>
            </w:pPr>
          </w:p>
        </w:tc>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5E65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51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5362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发放法律援助案件补贴标准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FC69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&lt;=500元/件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F0D1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4086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500元/件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BD5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8E4D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2F97E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EB0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=425.53元/件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5195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860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9C49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偏差原因：年初设置的指标值未考虑特殊情况，实际发生时有些案件发放标准较低，造成偏差；改进措施：下年更为精准地设置绩效目标值。</w:t>
            </w:r>
          </w:p>
        </w:tc>
      </w:tr>
      <w:tr w14:paraId="0066C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704177">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44AF8">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67D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8C34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制作普法宣传品成本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FDC3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&lt;=4.64万元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14F3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33D1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F37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AACD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9287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43B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=4.41万元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5CF2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A8A5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1C2A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偏差原因：年初计划购买图书成本较低，而实际金额为1.59万元，高于计划金额，制作普法宣传品成本降低，造成偏差；改进措施：下年计划时应考虑更为全面，更为精准的设置绩效目标值。</w:t>
            </w:r>
          </w:p>
        </w:tc>
      </w:tr>
      <w:tr w14:paraId="65987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F8F52">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469CD">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486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AAC0E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培训人均支出标准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1C5A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&lt;=200元/人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45C14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4170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200元/人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A3E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CF15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60D0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A7F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=190元/人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B4B89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DFC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080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偏差原因：年初询价时培训费为200元/人，后跟培训学校多次协商将价格降为190元/人，可培训的人数增加，造成偏差；改进措施：下年计划时应考虑更为全面，更为精准的设置绩效目标值。</w:t>
            </w:r>
          </w:p>
        </w:tc>
      </w:tr>
      <w:tr w14:paraId="6E854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9ACE37">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A76279">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88B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8595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购买普法图书成本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4F96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&lt;=1.36万元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DABD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C706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B14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5DF15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0C0C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D809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1F4D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37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3FF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偏差原因：年初计划购买图书成本较低，而实际金额为1.59万元，高于计划金额，造成偏差；改进措施：下年计划时应考虑更为全面，更为精准地设置绩效目标值。</w:t>
            </w:r>
          </w:p>
        </w:tc>
      </w:tr>
      <w:tr w14:paraId="3192C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F8DEA7">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202CCB">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F4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3659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普法宣传活动知晓率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C19D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E2378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CE82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01B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EC48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390B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2459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ECE0E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43F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0613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偏差原因：年初设置的指标值较为保守，实际普法宣传活动知晓率较高，造成偏差；改进措施：下年更为精准地设置绩效目标值</w:t>
            </w:r>
          </w:p>
        </w:tc>
      </w:tr>
      <w:tr w14:paraId="01F59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DF0C8">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746EE">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BBD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222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提高公众法治意识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B7AB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9E94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1E28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8D72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D11D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70BE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7589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达成目标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E38F5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F03B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F4F807">
            <w:pPr>
              <w:jc w:val="center"/>
              <w:rPr>
                <w:rFonts w:hint="eastAsia" w:ascii="宋体" w:hAnsi="宋体" w:eastAsia="宋体" w:cs="宋体"/>
                <w:i w:val="0"/>
                <w:iCs w:val="0"/>
                <w:color w:val="000000"/>
                <w:sz w:val="18"/>
                <w:szCs w:val="18"/>
                <w:u w:val="none"/>
              </w:rPr>
            </w:pPr>
          </w:p>
        </w:tc>
      </w:tr>
      <w:tr w14:paraId="71447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3EBFF">
            <w:pPr>
              <w:jc w:val="center"/>
              <w:rPr>
                <w:rFonts w:hint="eastAsia" w:ascii="宋体" w:hAnsi="宋体" w:eastAsia="宋体" w:cs="宋体"/>
                <w:i w:val="0"/>
                <w:iCs w:val="0"/>
                <w:color w:val="000000"/>
                <w:sz w:val="20"/>
                <w:szCs w:val="20"/>
                <w:u w:val="none"/>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825FA">
            <w:pPr>
              <w:jc w:val="center"/>
              <w:rPr>
                <w:rFonts w:hint="eastAsia" w:ascii="宋体" w:hAnsi="宋体" w:eastAsia="宋体" w:cs="宋体"/>
                <w:i w:val="0"/>
                <w:iCs w:val="0"/>
                <w:color w:val="000000"/>
                <w:sz w:val="20"/>
                <w:szCs w:val="20"/>
                <w:u w:val="none"/>
              </w:rPr>
            </w:pP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5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A8B88C">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13B9D8">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6FAF77">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D5E442">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8FFA7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A355F8">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70EFCC">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9B2FF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4B9110">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ADC30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DFB632">
            <w:pPr>
              <w:jc w:val="center"/>
              <w:rPr>
                <w:rFonts w:hint="eastAsia" w:ascii="宋体" w:hAnsi="宋体" w:eastAsia="宋体" w:cs="宋体"/>
                <w:i w:val="0"/>
                <w:iCs w:val="0"/>
                <w:color w:val="000000"/>
                <w:sz w:val="18"/>
                <w:szCs w:val="18"/>
                <w:u w:val="none"/>
              </w:rPr>
            </w:pPr>
          </w:p>
        </w:tc>
      </w:tr>
      <w:tr w14:paraId="4E373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34179">
            <w:pPr>
              <w:jc w:val="center"/>
              <w:rPr>
                <w:rFonts w:hint="eastAsia" w:ascii="宋体" w:hAnsi="宋体" w:eastAsia="宋体" w:cs="宋体"/>
                <w:i w:val="0"/>
                <w:iCs w:val="0"/>
                <w:color w:val="000000"/>
                <w:sz w:val="20"/>
                <w:szCs w:val="20"/>
                <w:u w:val="none"/>
              </w:rPr>
            </w:pPr>
          </w:p>
        </w:tc>
        <w:tc>
          <w:tcPr>
            <w:tcW w:w="5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98F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CE0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BF25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参训人员满意度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675D1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FD2D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19B5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CB7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12666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682A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619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56D3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93C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BA3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偏差原因：年初设置的指标值较为保守，实际参训人员满意度较高，造成偏差；改进措施：下年更为精准地设置绩效目标值。</w:t>
            </w:r>
          </w:p>
        </w:tc>
      </w:tr>
      <w:tr w14:paraId="3B913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F95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C1020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AE99C2">
            <w:pP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22BE7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257A6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EA5BA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93B0F0">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D5E53">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A81175">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4BD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90.55分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66993">
            <w:pPr>
              <w:rPr>
                <w:rFonts w:hint="eastAsia" w:ascii="宋体" w:hAnsi="宋体" w:eastAsia="宋体" w:cs="宋体"/>
                <w:i w:val="0"/>
                <w:iCs w:val="0"/>
                <w:color w:val="000000"/>
                <w:sz w:val="18"/>
                <w:szCs w:val="18"/>
                <w:u w:val="none"/>
              </w:rPr>
            </w:pPr>
          </w:p>
        </w:tc>
      </w:tr>
    </w:tbl>
    <w:p w14:paraId="17E3A71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36F3F20E">
        <w:tblPrEx>
          <w:tblCellMar>
            <w:top w:w="0" w:type="dxa"/>
            <w:left w:w="108" w:type="dxa"/>
            <w:bottom w:w="0" w:type="dxa"/>
            <w:right w:w="108" w:type="dxa"/>
          </w:tblCellMar>
        </w:tblPrEx>
        <w:tc>
          <w:tcPr>
            <w:tcW w:w="8848" w:type="dxa"/>
            <w:gridSpan w:val="14"/>
            <w:vAlign w:val="center"/>
          </w:tcPr>
          <w:p w14:paraId="76600D84">
            <w:pPr>
              <w:jc w:val="center"/>
            </w:pPr>
            <w:r>
              <w:rPr>
                <w:rFonts w:ascii="宋体" w:hAnsi="宋体" w:eastAsia="宋体"/>
                <w:sz w:val="24"/>
              </w:rPr>
              <w:t>项目支出绩效自评表</w:t>
            </w:r>
          </w:p>
        </w:tc>
      </w:tr>
      <w:tr w14:paraId="7A9FC05D">
        <w:tblPrEx>
          <w:tblCellMar>
            <w:top w:w="0" w:type="dxa"/>
            <w:left w:w="108" w:type="dxa"/>
            <w:bottom w:w="0" w:type="dxa"/>
            <w:right w:w="108" w:type="dxa"/>
          </w:tblCellMar>
        </w:tblPrEx>
        <w:tc>
          <w:tcPr>
            <w:tcW w:w="8848" w:type="dxa"/>
            <w:gridSpan w:val="14"/>
            <w:vAlign w:val="center"/>
          </w:tcPr>
          <w:p w14:paraId="0C26694E">
            <w:pPr>
              <w:jc w:val="center"/>
            </w:pPr>
            <w:r>
              <w:rPr>
                <w:rFonts w:ascii="宋体" w:hAnsi="宋体" w:eastAsia="宋体"/>
                <w:sz w:val="24"/>
              </w:rPr>
              <w:t>(2024年度)</w:t>
            </w:r>
          </w:p>
        </w:tc>
      </w:tr>
      <w:tr w14:paraId="264C04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3A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D12ED8">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22BDCA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49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AC43AE">
            <w:pPr>
              <w:jc w:val="center"/>
            </w:pPr>
            <w:r>
              <w:rPr>
                <w:rFonts w:ascii="宋体" w:hAnsi="宋体" w:eastAsia="宋体"/>
                <w:sz w:val="16"/>
              </w:rPr>
              <w:t>新疆</w:t>
            </w:r>
            <w:r>
              <w:rPr>
                <w:rFonts w:hint="eastAsia" w:ascii="宋体" w:hAnsi="宋体"/>
                <w:sz w:val="16"/>
                <w:lang w:eastAsia="zh-CN"/>
              </w:rPr>
              <w:t>巴音郭楞</w:t>
            </w:r>
            <w:r>
              <w:rPr>
                <w:rFonts w:ascii="宋体" w:hAnsi="宋体" w:eastAsia="宋体"/>
                <w:sz w:val="16"/>
              </w:rPr>
              <w:t>蒙古自治州司法局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CB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B280D3">
            <w:pPr>
              <w:jc w:val="center"/>
            </w:pPr>
            <w:r>
              <w:rPr>
                <w:rFonts w:ascii="宋体" w:hAnsi="宋体" w:eastAsia="宋体"/>
                <w:sz w:val="16"/>
              </w:rPr>
              <w:t>新疆巴音郭楞蒙古自治州司法局</w:t>
            </w:r>
          </w:p>
        </w:tc>
      </w:tr>
      <w:tr w14:paraId="323FC6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162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685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DB4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384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0C8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869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ED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8B5C">
            <w:pPr>
              <w:jc w:val="center"/>
            </w:pPr>
            <w:r>
              <w:rPr>
                <w:rFonts w:ascii="宋体" w:hAnsi="宋体" w:eastAsia="宋体"/>
                <w:sz w:val="16"/>
              </w:rPr>
              <w:t>得分</w:t>
            </w:r>
          </w:p>
        </w:tc>
      </w:tr>
      <w:tr w14:paraId="3A32C6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58D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5EA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84CC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BE77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D340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769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5CE9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CA70">
            <w:pPr>
              <w:jc w:val="center"/>
            </w:pPr>
            <w:r>
              <w:rPr>
                <w:rFonts w:ascii="宋体" w:hAnsi="宋体" w:eastAsia="宋体"/>
                <w:sz w:val="16"/>
              </w:rPr>
              <w:t>10.00</w:t>
            </w:r>
          </w:p>
        </w:tc>
      </w:tr>
      <w:tr w14:paraId="34206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F89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B32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0C65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98D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F125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64E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A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6E85">
            <w:pPr>
              <w:jc w:val="center"/>
            </w:pPr>
            <w:r>
              <w:rPr>
                <w:rFonts w:ascii="宋体" w:hAnsi="宋体" w:eastAsia="宋体"/>
                <w:sz w:val="16"/>
              </w:rPr>
              <w:t>-</w:t>
            </w:r>
          </w:p>
        </w:tc>
      </w:tr>
      <w:tr w14:paraId="702F3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75B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6772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918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F17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023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A3B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F7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31F7">
            <w:pPr>
              <w:jc w:val="center"/>
            </w:pPr>
            <w:r>
              <w:rPr>
                <w:rFonts w:ascii="宋体" w:hAnsi="宋体" w:eastAsia="宋体"/>
                <w:sz w:val="16"/>
              </w:rPr>
              <w:t>-</w:t>
            </w:r>
          </w:p>
        </w:tc>
      </w:tr>
      <w:tr w14:paraId="250311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2B8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2129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FECA19">
            <w:pPr>
              <w:jc w:val="center"/>
            </w:pPr>
            <w:r>
              <w:rPr>
                <w:rFonts w:ascii="宋体" w:hAnsi="宋体" w:eastAsia="宋体"/>
                <w:sz w:val="16"/>
              </w:rPr>
              <w:t>总体目标完成情况</w:t>
            </w:r>
          </w:p>
        </w:tc>
      </w:tr>
      <w:tr w14:paraId="65FD0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6BC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8EB4A">
            <w:pPr>
              <w:jc w:val="both"/>
            </w:pPr>
            <w:r>
              <w:rPr>
                <w:rFonts w:ascii="宋体" w:hAnsi="宋体" w:eastAsia="宋体"/>
                <w:sz w:val="16"/>
              </w:rPr>
              <w:t>依据州</w:t>
            </w:r>
            <w:r>
              <w:rPr>
                <w:rFonts w:hint="eastAsia" w:ascii="宋体" w:hAnsi="宋体"/>
                <w:sz w:val="16"/>
                <w:lang w:eastAsia="zh-CN"/>
              </w:rPr>
              <w:t>为民办实事</w:t>
            </w:r>
            <w:r>
              <w:rPr>
                <w:rFonts w:ascii="宋体" w:hAnsi="宋体" w:eastAsia="宋体"/>
                <w:sz w:val="16"/>
              </w:rPr>
              <w:t>办下发关于转发《关于印发</w:t>
            </w:r>
            <w:r>
              <w:rPr>
                <w:rFonts w:hint="eastAsia" w:ascii="宋体" w:hAnsi="宋体"/>
                <w:sz w:val="16"/>
                <w:lang w:eastAsia="zh-CN"/>
              </w:rPr>
              <w:t>〈</w:t>
            </w:r>
            <w:r>
              <w:rPr>
                <w:rFonts w:ascii="宋体" w:hAnsi="宋体" w:eastAsia="宋体"/>
                <w:sz w:val="16"/>
              </w:rPr>
              <w:t>自治区“访民情惠民生聚民心”</w:t>
            </w:r>
            <w:r>
              <w:rPr>
                <w:rFonts w:hint="eastAsia" w:ascii="宋体" w:hAnsi="宋体"/>
                <w:sz w:val="16"/>
                <w:lang w:eastAsia="zh-CN"/>
              </w:rPr>
              <w:t>为民办实事</w:t>
            </w:r>
            <w:r>
              <w:rPr>
                <w:rFonts w:ascii="宋体" w:hAnsi="宋体" w:eastAsia="宋体"/>
                <w:sz w:val="16"/>
              </w:rPr>
              <w:t>工作为民办实事工作经费使用管理办法（</w:t>
            </w:r>
            <w:r>
              <w:rPr>
                <w:rFonts w:hint="eastAsia" w:ascii="宋体" w:hAnsi="宋体"/>
                <w:sz w:val="16"/>
                <w:lang w:eastAsia="zh-CN"/>
              </w:rPr>
              <w:t>试行</w:t>
            </w:r>
            <w:r>
              <w:rPr>
                <w:rFonts w:ascii="宋体" w:hAnsi="宋体" w:eastAsia="宋体"/>
                <w:sz w:val="16"/>
              </w:rPr>
              <w:t>）的通知》的通知，通过</w:t>
            </w:r>
            <w:r>
              <w:rPr>
                <w:rFonts w:hint="eastAsia" w:ascii="宋体" w:hAnsi="宋体"/>
                <w:sz w:val="16"/>
                <w:lang w:eastAsia="zh-CN"/>
              </w:rPr>
              <w:t>走访</w:t>
            </w:r>
            <w:r>
              <w:rPr>
                <w:rFonts w:ascii="宋体" w:hAnsi="宋体" w:eastAsia="宋体"/>
                <w:sz w:val="16"/>
              </w:rPr>
              <w:t>贫困户并开展慰问6次，扶贫帮困4次，温暖群众，提高村民对民族一家亲意识，通过开展各类文化体育活动3次，提高村民文化素养，通过购买太阳能路30盏灯改造基础设施，帮助群众解决困难。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01DA6F">
            <w:pPr>
              <w:jc w:val="both"/>
            </w:pPr>
            <w:r>
              <w:rPr>
                <w:rFonts w:ascii="宋体" w:hAnsi="宋体" w:eastAsia="宋体"/>
                <w:sz w:val="16"/>
              </w:rPr>
              <w:t>2024年走访了贫困户并开展慰问6次，扶贫帮困5次，切实满足了群众的生活需求，提升了村民的生活质量与幸福感；开展各类文化体育活动3次，增强了群众凝聚力和村民归属感，购买</w:t>
            </w:r>
            <w:r>
              <w:rPr>
                <w:rFonts w:hint="eastAsia" w:ascii="宋体" w:hAnsi="宋体"/>
                <w:sz w:val="16"/>
                <w:lang w:eastAsia="zh-CN"/>
              </w:rPr>
              <w:t>太阳能</w:t>
            </w:r>
            <w:r>
              <w:rPr>
                <w:rFonts w:ascii="宋体" w:hAnsi="宋体" w:eastAsia="宋体"/>
                <w:sz w:val="16"/>
              </w:rPr>
              <w:t>30盏灯改造基础设施，进一步增强了人民群众的获得感、幸福感和安全感。</w:t>
            </w:r>
          </w:p>
        </w:tc>
      </w:tr>
      <w:tr w14:paraId="461D09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33F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0C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7F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BA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4F3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A5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183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270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97C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87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03F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FDB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64E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CA87">
            <w:pPr>
              <w:jc w:val="center"/>
            </w:pPr>
            <w:r>
              <w:rPr>
                <w:rFonts w:ascii="宋体" w:hAnsi="宋体" w:eastAsia="宋体"/>
                <w:sz w:val="16"/>
              </w:rPr>
              <w:t>偏差原因分析及改进措施</w:t>
            </w:r>
          </w:p>
        </w:tc>
      </w:tr>
      <w:tr w14:paraId="254F86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043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EEFF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5AF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01F55">
            <w:pPr>
              <w:jc w:val="center"/>
            </w:pPr>
            <w:r>
              <w:rPr>
                <w:rFonts w:ascii="宋体" w:hAnsi="宋体" w:eastAsia="宋体"/>
                <w:sz w:val="16"/>
              </w:rPr>
              <w:t>走访慰问次数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28DA">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8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EB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53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4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E9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F768">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2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03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86E3">
            <w:pPr>
              <w:jc w:val="center"/>
            </w:pPr>
          </w:p>
        </w:tc>
      </w:tr>
      <w:tr w14:paraId="4BA9B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48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B29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71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5928">
            <w:pPr>
              <w:jc w:val="center"/>
            </w:pPr>
            <w:r>
              <w:rPr>
                <w:rFonts w:ascii="宋体" w:hAnsi="宋体" w:eastAsia="宋体"/>
                <w:sz w:val="16"/>
              </w:rPr>
              <w:t>扶贫帮困次数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DBD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8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73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D41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81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1E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F5A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07C6">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E5D6">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BADD">
            <w:pPr>
              <w:jc w:val="center"/>
            </w:pPr>
            <w:r>
              <w:rPr>
                <w:rFonts w:ascii="宋体" w:hAnsi="宋体" w:eastAsia="宋体"/>
                <w:sz w:val="16"/>
              </w:rPr>
              <w:t>偏差原因：年初设置绩效目标值较为保守，实际帮扶次数较多，造成偏差。改进措施：下年精准设置绩效目标值。</w:t>
            </w:r>
          </w:p>
        </w:tc>
      </w:tr>
      <w:tr w14:paraId="4DC30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295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38A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F5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6FAB">
            <w:pPr>
              <w:jc w:val="center"/>
            </w:pPr>
            <w:r>
              <w:rPr>
                <w:rFonts w:ascii="宋体" w:hAnsi="宋体" w:eastAsia="宋体"/>
                <w:sz w:val="16"/>
              </w:rPr>
              <w:t>开展文化体育活动天数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A3A7">
            <w:pPr>
              <w:jc w:val="center"/>
            </w:pPr>
            <w:r>
              <w:rPr>
                <w:rFonts w:ascii="宋体" w:hAnsi="宋体" w:eastAsia="宋体"/>
                <w:sz w:val="16"/>
              </w:rPr>
              <w:t>&gt;=3天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D8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2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35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4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C5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AAE6">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E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C6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4C20">
            <w:pPr>
              <w:jc w:val="center"/>
            </w:pPr>
          </w:p>
        </w:tc>
      </w:tr>
      <w:tr w14:paraId="335DC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99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94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D5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725A">
            <w:pPr>
              <w:jc w:val="center"/>
            </w:pPr>
            <w:r>
              <w:rPr>
                <w:rFonts w:ascii="宋体" w:hAnsi="宋体" w:eastAsia="宋体"/>
                <w:sz w:val="16"/>
              </w:rPr>
              <w:t>参与文化体育活动人数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22C1">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D1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61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F0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7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6F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F22F">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944E">
            <w:pPr>
              <w:jc w:val="center"/>
            </w:pPr>
            <w:r>
              <w:rPr>
                <w:rFonts w:ascii="宋体" w:hAnsi="宋体" w:eastAsia="宋体"/>
                <w:sz w:val="16"/>
              </w:rPr>
              <w:t>166.67%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8D56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DB76">
            <w:pPr>
              <w:jc w:val="center"/>
            </w:pPr>
            <w:r>
              <w:rPr>
                <w:rFonts w:ascii="宋体" w:hAnsi="宋体" w:eastAsia="宋体"/>
                <w:sz w:val="16"/>
              </w:rPr>
              <w:t>偏差原因：年初设置绩效目标值较为保守，实际参与人数较多，造成偏差。改进措施：下年精准设置绩效目标值。</w:t>
            </w:r>
          </w:p>
        </w:tc>
      </w:tr>
      <w:tr w14:paraId="76416D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86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67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2B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FEEE">
            <w:pPr>
              <w:jc w:val="center"/>
            </w:pPr>
            <w:r>
              <w:rPr>
                <w:rFonts w:ascii="宋体" w:hAnsi="宋体" w:eastAsia="宋体"/>
                <w:sz w:val="16"/>
              </w:rPr>
              <w:t>开展文化体育活动次数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69D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E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6E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3D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4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3F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D3C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08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BC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D445">
            <w:pPr>
              <w:jc w:val="center"/>
            </w:pPr>
          </w:p>
        </w:tc>
      </w:tr>
      <w:tr w14:paraId="648EA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18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FC5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F1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DF14">
            <w:pPr>
              <w:jc w:val="center"/>
            </w:pPr>
            <w:r>
              <w:rPr>
                <w:rFonts w:ascii="宋体" w:hAnsi="宋体" w:eastAsia="宋体"/>
                <w:sz w:val="16"/>
              </w:rPr>
              <w:t>采购太阳能灯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D4F1">
            <w:pPr>
              <w:jc w:val="center"/>
            </w:pPr>
            <w:r>
              <w:rPr>
                <w:rFonts w:ascii="宋体" w:hAnsi="宋体" w:eastAsia="宋体"/>
                <w:sz w:val="16"/>
              </w:rPr>
              <w:t>&gt;=30盏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4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F9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EC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F7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2D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2607">
            <w:pPr>
              <w:jc w:val="center"/>
            </w:pPr>
            <w:r>
              <w:rPr>
                <w:rFonts w:ascii="宋体" w:hAnsi="宋体" w:eastAsia="宋体"/>
                <w:sz w:val="16"/>
              </w:rPr>
              <w:t>=30盏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A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D9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AD17">
            <w:pPr>
              <w:jc w:val="center"/>
            </w:pPr>
          </w:p>
        </w:tc>
      </w:tr>
      <w:tr w14:paraId="0EA35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B4F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BB5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3D5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224D">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8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A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6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2B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C8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B9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3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2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F77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2963">
            <w:pPr>
              <w:jc w:val="center"/>
            </w:pPr>
          </w:p>
        </w:tc>
      </w:tr>
      <w:tr w14:paraId="724C1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BE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68D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8A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5FBA">
            <w:pPr>
              <w:jc w:val="center"/>
            </w:pPr>
            <w:r>
              <w:rPr>
                <w:rFonts w:ascii="宋体" w:hAnsi="宋体" w:eastAsia="宋体"/>
                <w:sz w:val="16"/>
              </w:rPr>
              <w:t>太阳能路灯质量合格率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D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5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03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98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DC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B5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4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8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30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909E">
            <w:pPr>
              <w:jc w:val="center"/>
            </w:pPr>
          </w:p>
        </w:tc>
      </w:tr>
      <w:tr w14:paraId="70BD5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B5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61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F2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1440">
            <w:pPr>
              <w:jc w:val="center"/>
            </w:pPr>
            <w:r>
              <w:rPr>
                <w:rFonts w:ascii="宋体" w:hAnsi="宋体" w:eastAsia="宋体"/>
                <w:sz w:val="16"/>
              </w:rPr>
              <w:t>走访慰问覆盖率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4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9D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11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A6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C8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5D2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6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0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BC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8F19">
            <w:pPr>
              <w:jc w:val="center"/>
            </w:pPr>
          </w:p>
        </w:tc>
      </w:tr>
      <w:tr w14:paraId="655CB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9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87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3A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0803">
            <w:pPr>
              <w:jc w:val="center"/>
            </w:pPr>
            <w:r>
              <w:rPr>
                <w:rFonts w:ascii="宋体" w:hAnsi="宋体" w:eastAsia="宋体"/>
                <w:sz w:val="16"/>
              </w:rPr>
              <w:t>文化体育活动参与率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F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1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44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DF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40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87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B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4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764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AF6A">
            <w:pPr>
              <w:jc w:val="center"/>
            </w:pPr>
          </w:p>
        </w:tc>
      </w:tr>
      <w:tr w14:paraId="22E2A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78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9BE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D7B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3433">
            <w:pPr>
              <w:jc w:val="center"/>
            </w:pPr>
            <w:r>
              <w:rPr>
                <w:rFonts w:ascii="宋体" w:hAnsi="宋体" w:eastAsia="宋体"/>
                <w:sz w:val="16"/>
              </w:rPr>
              <w:t>开展文化体育活动完成时间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DC05">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E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C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69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4C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A1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8E3C">
            <w:pPr>
              <w:jc w:val="center"/>
            </w:pPr>
            <w:r>
              <w:rPr>
                <w:rFonts w:ascii="宋体" w:hAnsi="宋体" w:eastAsia="宋体"/>
                <w:sz w:val="16"/>
              </w:rPr>
              <w:t>2024年11月22日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6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F6B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8EAA">
            <w:pPr>
              <w:jc w:val="center"/>
            </w:pPr>
          </w:p>
        </w:tc>
      </w:tr>
      <w:tr w14:paraId="4BC69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1A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B6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F1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8453">
            <w:pPr>
              <w:jc w:val="center"/>
            </w:pPr>
            <w:r>
              <w:rPr>
                <w:rFonts w:ascii="宋体" w:hAnsi="宋体" w:eastAsia="宋体"/>
                <w:sz w:val="16"/>
              </w:rPr>
              <w:t>购买太阳能路灯完成时间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5243">
            <w:pPr>
              <w:jc w:val="center"/>
            </w:pPr>
            <w:r>
              <w:rPr>
                <w:rFonts w:ascii="宋体" w:hAnsi="宋体" w:eastAsia="宋体"/>
                <w:sz w:val="16"/>
              </w:rPr>
              <w:t>2024年11月10日前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C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9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28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1E0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BA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61CD">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E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5A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C2E2">
            <w:pPr>
              <w:jc w:val="center"/>
            </w:pPr>
          </w:p>
        </w:tc>
      </w:tr>
      <w:tr w14:paraId="76C37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44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85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9A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E062">
            <w:pPr>
              <w:jc w:val="center"/>
            </w:pPr>
            <w:r>
              <w:rPr>
                <w:rFonts w:ascii="宋体" w:hAnsi="宋体" w:eastAsia="宋体"/>
                <w:sz w:val="16"/>
              </w:rPr>
              <w:t>扶贫帮困完成时间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56C10">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12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D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B9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C0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EC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7F2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0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8D7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E4F3">
            <w:pPr>
              <w:jc w:val="center"/>
            </w:pPr>
          </w:p>
        </w:tc>
      </w:tr>
      <w:tr w14:paraId="12A83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8D7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1F6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C7F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7AA7">
            <w:pPr>
              <w:jc w:val="center"/>
            </w:pPr>
            <w:r>
              <w:rPr>
                <w:rFonts w:ascii="宋体" w:hAnsi="宋体" w:eastAsia="宋体"/>
                <w:sz w:val="16"/>
              </w:rPr>
              <w:t>走访慰问成本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85DF">
            <w:pPr>
              <w:jc w:val="center"/>
            </w:pPr>
            <w:r>
              <w:rPr>
                <w:rFonts w:ascii="宋体" w:hAnsi="宋体" w:eastAsia="宋体"/>
                <w:sz w:val="16"/>
              </w:rPr>
              <w:t>&lt;=2.67万元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8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6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13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D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BB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5FB2">
            <w:pPr>
              <w:jc w:val="center"/>
            </w:pPr>
            <w:r>
              <w:rPr>
                <w:rFonts w:ascii="宋体" w:hAnsi="宋体" w:eastAsia="宋体"/>
                <w:sz w:val="16"/>
              </w:rPr>
              <w:t>=2.61万元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9FCC">
            <w:pPr>
              <w:jc w:val="center"/>
            </w:pPr>
            <w:r>
              <w:rPr>
                <w:rFonts w:ascii="宋体" w:hAnsi="宋体" w:eastAsia="宋体"/>
                <w:sz w:val="16"/>
              </w:rPr>
              <w:t>97.75%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484A">
            <w:pPr>
              <w:jc w:val="center"/>
            </w:pPr>
            <w:r>
              <w:rPr>
                <w:rFonts w:ascii="宋体" w:hAnsi="宋体" w:eastAsia="宋体"/>
                <w:sz w:val="16"/>
              </w:rPr>
              <w:t>4.72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EDA5">
            <w:pPr>
              <w:jc w:val="center"/>
            </w:pPr>
            <w:r>
              <w:rPr>
                <w:rFonts w:ascii="宋体" w:hAnsi="宋体" w:eastAsia="宋体"/>
                <w:sz w:val="16"/>
              </w:rPr>
              <w:t>偏差原因：走访慰问节约成本，造成偏差。改进措施：下年精准设置绩效目标值。</w:t>
            </w:r>
          </w:p>
        </w:tc>
      </w:tr>
      <w:tr w14:paraId="6437E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A5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C0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0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E6B9">
            <w:pPr>
              <w:jc w:val="center"/>
            </w:pPr>
            <w:r>
              <w:rPr>
                <w:rFonts w:ascii="宋体" w:hAnsi="宋体" w:eastAsia="宋体"/>
                <w:sz w:val="16"/>
              </w:rPr>
              <w:t>扶贫帮困成本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7CF8">
            <w:pPr>
              <w:jc w:val="center"/>
            </w:pPr>
            <w:r>
              <w:rPr>
                <w:rFonts w:ascii="宋体" w:hAnsi="宋体" w:eastAsia="宋体"/>
                <w:sz w:val="16"/>
              </w:rPr>
              <w:t>&lt;=7.18万元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2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46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9E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6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73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9ED7">
            <w:pPr>
              <w:jc w:val="center"/>
            </w:pPr>
            <w:r>
              <w:rPr>
                <w:rFonts w:ascii="宋体" w:hAnsi="宋体" w:eastAsia="宋体"/>
                <w:sz w:val="16"/>
              </w:rPr>
              <w:t>=7.15万元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CD81">
            <w:pPr>
              <w:jc w:val="center"/>
            </w:pPr>
            <w:r>
              <w:rPr>
                <w:rFonts w:ascii="宋体" w:hAnsi="宋体" w:eastAsia="宋体"/>
                <w:sz w:val="16"/>
              </w:rPr>
              <w:t>99.58%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BBB6">
            <w:pPr>
              <w:jc w:val="center"/>
            </w:pPr>
            <w:r>
              <w:rPr>
                <w:rFonts w:ascii="宋体" w:hAnsi="宋体" w:eastAsia="宋体"/>
                <w:sz w:val="16"/>
              </w:rPr>
              <w:t>4.95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93C2">
            <w:pPr>
              <w:jc w:val="center"/>
            </w:pPr>
            <w:r>
              <w:rPr>
                <w:rFonts w:ascii="宋体" w:hAnsi="宋体" w:eastAsia="宋体"/>
                <w:sz w:val="16"/>
              </w:rPr>
              <w:t>偏差原因：扶贫帮困节约成本，造成偏差。改进措施：下年精准设置绩效目标值。</w:t>
            </w:r>
          </w:p>
        </w:tc>
      </w:tr>
      <w:tr w14:paraId="2B23D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DD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22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F9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E1EB">
            <w:pPr>
              <w:jc w:val="center"/>
            </w:pPr>
            <w:r>
              <w:rPr>
                <w:rFonts w:ascii="宋体" w:hAnsi="宋体" w:eastAsia="宋体"/>
                <w:sz w:val="16"/>
              </w:rPr>
              <w:t>开展文化体育活动成本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75D4">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7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D0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EA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7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C0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1781">
            <w:pPr>
              <w:jc w:val="center"/>
            </w:pPr>
            <w:r>
              <w:rPr>
                <w:rFonts w:ascii="宋体" w:hAnsi="宋体" w:eastAsia="宋体"/>
                <w:sz w:val="16"/>
              </w:rPr>
              <w:t>=0.29万元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46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B80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8BB2">
            <w:pPr>
              <w:jc w:val="center"/>
            </w:pPr>
            <w:r>
              <w:rPr>
                <w:rFonts w:ascii="宋体" w:hAnsi="宋体" w:eastAsia="宋体"/>
                <w:sz w:val="16"/>
              </w:rPr>
              <w:t>偏差原因：年初计划开展文化体育活动成本较低，由于参与人数增加，导致活动成本增加，造成偏差。改进措施：下年合理安排计划，精准设置绩效目标值。</w:t>
            </w:r>
          </w:p>
        </w:tc>
      </w:tr>
      <w:tr w14:paraId="4FEB2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AA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61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0A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871E">
            <w:pPr>
              <w:jc w:val="center"/>
            </w:pPr>
            <w:r>
              <w:rPr>
                <w:rFonts w:ascii="宋体" w:hAnsi="宋体" w:eastAsia="宋体"/>
                <w:sz w:val="16"/>
              </w:rPr>
              <w:t>购买太阳能路灯成本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6281">
            <w:pPr>
              <w:jc w:val="center"/>
            </w:pPr>
            <w:r>
              <w:rPr>
                <w:rFonts w:ascii="宋体" w:hAnsi="宋体" w:eastAsia="宋体"/>
                <w:sz w:val="16"/>
              </w:rPr>
              <w:t>&lt;=1.95万元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E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D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D6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F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3F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4D1D">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4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76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7859">
            <w:pPr>
              <w:jc w:val="center"/>
            </w:pPr>
          </w:p>
        </w:tc>
      </w:tr>
      <w:tr w14:paraId="09676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917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D2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D09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F737">
            <w:pPr>
              <w:jc w:val="center"/>
            </w:pPr>
            <w:r>
              <w:rPr>
                <w:rFonts w:ascii="宋体" w:hAnsi="宋体" w:eastAsia="宋体"/>
                <w:sz w:val="16"/>
              </w:rPr>
              <w:t>太阳能路灯利用率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6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D0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83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97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4E8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C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E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26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6F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1F8E">
            <w:pPr>
              <w:jc w:val="center"/>
            </w:pPr>
          </w:p>
        </w:tc>
      </w:tr>
      <w:tr w14:paraId="5BB997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24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94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25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F776">
            <w:pPr>
              <w:jc w:val="center"/>
            </w:pPr>
            <w:r>
              <w:rPr>
                <w:rFonts w:ascii="宋体" w:hAnsi="宋体" w:eastAsia="宋体"/>
                <w:sz w:val="16"/>
              </w:rPr>
              <w:t>贫困群众满意度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A5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1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D6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7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72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5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1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E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7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C9D4">
            <w:pPr>
              <w:jc w:val="center"/>
            </w:pPr>
            <w:r>
              <w:rPr>
                <w:rFonts w:ascii="宋体" w:hAnsi="宋体" w:eastAsia="宋体"/>
                <w:sz w:val="16"/>
              </w:rPr>
              <w:t>偏差原因：年初设置绩效目标值较为保守，实际贫困群众满意度较高，造成偏差。改进措施：下年精准设置绩效目标值。</w:t>
            </w:r>
          </w:p>
        </w:tc>
      </w:tr>
      <w:tr w14:paraId="450A62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E53B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DA8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CD3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2B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C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CB5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1904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ECF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55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5BB7">
            <w:pPr>
              <w:jc w:val="center"/>
            </w:pPr>
            <w:r>
              <w:rPr>
                <w:rFonts w:ascii="宋体" w:hAnsi="宋体" w:eastAsia="宋体"/>
                <w:sz w:val="16"/>
              </w:rPr>
              <w:t>91.92分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B51587"/>
        </w:tc>
      </w:tr>
    </w:tbl>
    <w:p w14:paraId="1C4767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5A1B9C0">
        <w:tblPrEx>
          <w:tblCellMar>
            <w:top w:w="0" w:type="dxa"/>
            <w:left w:w="108" w:type="dxa"/>
            <w:bottom w:w="0" w:type="dxa"/>
            <w:right w:w="108" w:type="dxa"/>
          </w:tblCellMar>
        </w:tblPrEx>
        <w:tc>
          <w:tcPr>
            <w:tcW w:w="8848" w:type="dxa"/>
            <w:gridSpan w:val="14"/>
            <w:vAlign w:val="center"/>
          </w:tcPr>
          <w:p w14:paraId="7669E170">
            <w:pPr>
              <w:jc w:val="center"/>
            </w:pPr>
            <w:r>
              <w:rPr>
                <w:rFonts w:ascii="宋体" w:hAnsi="宋体" w:eastAsia="宋体"/>
                <w:sz w:val="24"/>
              </w:rPr>
              <w:t>项目支出绩效自评表</w:t>
            </w:r>
          </w:p>
        </w:tc>
      </w:tr>
      <w:tr w14:paraId="6BD9D2FC">
        <w:tblPrEx>
          <w:tblCellMar>
            <w:top w:w="0" w:type="dxa"/>
            <w:left w:w="108" w:type="dxa"/>
            <w:bottom w:w="0" w:type="dxa"/>
            <w:right w:w="108" w:type="dxa"/>
          </w:tblCellMar>
        </w:tblPrEx>
        <w:tc>
          <w:tcPr>
            <w:tcW w:w="8848" w:type="dxa"/>
            <w:gridSpan w:val="14"/>
            <w:vAlign w:val="center"/>
          </w:tcPr>
          <w:p w14:paraId="1D899091">
            <w:pPr>
              <w:jc w:val="center"/>
            </w:pPr>
            <w:r>
              <w:rPr>
                <w:rFonts w:ascii="宋体" w:hAnsi="宋体" w:eastAsia="宋体"/>
                <w:sz w:val="24"/>
              </w:rPr>
              <w:t>(2024年度)</w:t>
            </w:r>
          </w:p>
        </w:tc>
      </w:tr>
      <w:tr w14:paraId="61D7E5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83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060856">
            <w:pPr>
              <w:jc w:val="center"/>
            </w:pPr>
            <w:r>
              <w:rPr>
                <w:rFonts w:ascii="宋体" w:hAnsi="宋体" w:eastAsia="宋体"/>
                <w:sz w:val="16"/>
              </w:rPr>
              <w:t>自治州第二批优秀专家工作室建设支持经费</w:t>
            </w:r>
          </w:p>
        </w:tc>
      </w:tr>
      <w:tr w14:paraId="15328A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F8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921B6C">
            <w:pPr>
              <w:jc w:val="center"/>
            </w:pPr>
            <w:r>
              <w:rPr>
                <w:rFonts w:ascii="宋体" w:hAnsi="宋体" w:eastAsia="宋体"/>
                <w:sz w:val="16"/>
              </w:rPr>
              <w:t>新疆巴音郭楞蒙古自治州司法局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5B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D159B4">
            <w:pPr>
              <w:jc w:val="center"/>
            </w:pPr>
            <w:r>
              <w:rPr>
                <w:rFonts w:ascii="宋体" w:hAnsi="宋体" w:eastAsia="宋体"/>
                <w:sz w:val="16"/>
              </w:rPr>
              <w:t>新疆巴音郭楞蒙古自治州司法局</w:t>
            </w:r>
          </w:p>
        </w:tc>
      </w:tr>
      <w:tr w14:paraId="09401D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5D9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778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7F1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F49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FCF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7A5C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6A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8093">
            <w:pPr>
              <w:jc w:val="center"/>
            </w:pPr>
            <w:r>
              <w:rPr>
                <w:rFonts w:ascii="宋体" w:hAnsi="宋体" w:eastAsia="宋体"/>
                <w:sz w:val="16"/>
              </w:rPr>
              <w:t>得分</w:t>
            </w:r>
          </w:p>
        </w:tc>
      </w:tr>
      <w:tr w14:paraId="3C331C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A84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5D9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507A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C81C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DC33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EDA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A66B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4AA2">
            <w:pPr>
              <w:jc w:val="center"/>
            </w:pPr>
            <w:r>
              <w:rPr>
                <w:rFonts w:ascii="宋体" w:hAnsi="宋体" w:eastAsia="宋体"/>
                <w:sz w:val="16"/>
              </w:rPr>
              <w:t>10.00</w:t>
            </w:r>
          </w:p>
        </w:tc>
      </w:tr>
      <w:tr w14:paraId="25B0C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EFC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C2C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1FA5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1BED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50E6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9E6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A31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7FF6">
            <w:pPr>
              <w:jc w:val="center"/>
            </w:pPr>
            <w:r>
              <w:rPr>
                <w:rFonts w:ascii="宋体" w:hAnsi="宋体" w:eastAsia="宋体"/>
                <w:sz w:val="16"/>
              </w:rPr>
              <w:t>-</w:t>
            </w:r>
          </w:p>
        </w:tc>
      </w:tr>
      <w:tr w14:paraId="79E91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49F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2212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4D3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1AE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5F7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4B3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E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AD48">
            <w:pPr>
              <w:jc w:val="center"/>
            </w:pPr>
            <w:r>
              <w:rPr>
                <w:rFonts w:ascii="宋体" w:hAnsi="宋体" w:eastAsia="宋体"/>
                <w:sz w:val="16"/>
              </w:rPr>
              <w:t>-</w:t>
            </w:r>
          </w:p>
        </w:tc>
      </w:tr>
      <w:tr w14:paraId="19465F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F18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8121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068C2B">
            <w:pPr>
              <w:jc w:val="center"/>
            </w:pPr>
            <w:r>
              <w:rPr>
                <w:rFonts w:ascii="宋体" w:hAnsi="宋体" w:eastAsia="宋体"/>
                <w:sz w:val="16"/>
              </w:rPr>
              <w:t>总体目标完成情况</w:t>
            </w:r>
          </w:p>
        </w:tc>
      </w:tr>
      <w:tr w14:paraId="74AAC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638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9F145">
            <w:pPr>
              <w:jc w:val="both"/>
            </w:pPr>
            <w:r>
              <w:rPr>
                <w:rFonts w:ascii="宋体" w:hAnsi="宋体" w:eastAsia="宋体"/>
                <w:sz w:val="16"/>
              </w:rPr>
              <w:t>根据巴党建办</w:t>
            </w:r>
            <w:r>
              <w:rPr>
                <w:rFonts w:hint="eastAsia" w:ascii="宋体" w:hAnsi="宋体"/>
                <w:sz w:val="16"/>
                <w:lang w:eastAsia="zh-CN"/>
              </w:rPr>
              <w:t>〔2024〕3号</w:t>
            </w:r>
            <w:r>
              <w:rPr>
                <w:rFonts w:ascii="宋体" w:hAnsi="宋体" w:eastAsia="宋体"/>
                <w:sz w:val="16"/>
              </w:rPr>
              <w:t xml:space="preserve"> 关于命名自治州第二批优秀专家工作室的决定，</w:t>
            </w:r>
            <w:bookmarkStart w:id="0" w:name="_GoBack"/>
            <w:bookmarkEnd w:id="0"/>
            <w:r>
              <w:rPr>
                <w:rFonts w:ascii="宋体" w:hAnsi="宋体" w:eastAsia="宋体"/>
                <w:sz w:val="16"/>
              </w:rPr>
              <w:t>自治州第二批优秀专家工作室1个，发放自治州第二批优秀专家工作室建设支持经费5万元，建设了科学后备人才的培训基地，有力推进人才工作迈向新高度、实现新发展。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11C9FF">
            <w:pPr>
              <w:jc w:val="both"/>
            </w:pPr>
            <w:r>
              <w:rPr>
                <w:rFonts w:ascii="宋体" w:hAnsi="宋体" w:eastAsia="宋体"/>
                <w:sz w:val="16"/>
              </w:rPr>
              <w:t>本年完成发放自治州第二批优秀专家工作室建设支持经费5万元，全力推进本地人才项目的实施，充分发挥各行业领域优秀专家的示范引领作用，搭建学科创新性研究的平台，建设学科后备人才的培训基地，有力推动人才工作迈向新高度、实现 新发展。</w:t>
            </w:r>
          </w:p>
        </w:tc>
      </w:tr>
      <w:tr w14:paraId="36574A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866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F4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1D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70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BC7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F4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A1D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53D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3C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7D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07C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60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920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5238">
            <w:pPr>
              <w:jc w:val="center"/>
            </w:pPr>
            <w:r>
              <w:rPr>
                <w:rFonts w:ascii="宋体" w:hAnsi="宋体" w:eastAsia="宋体"/>
                <w:sz w:val="16"/>
              </w:rPr>
              <w:t>偏差原因分析及改进措施</w:t>
            </w:r>
          </w:p>
        </w:tc>
      </w:tr>
      <w:tr w14:paraId="267629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E01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AD2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B40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D4E8">
            <w:pPr>
              <w:jc w:val="center"/>
            </w:pPr>
            <w:r>
              <w:rPr>
                <w:rFonts w:ascii="宋体" w:hAnsi="宋体" w:eastAsia="宋体"/>
                <w:sz w:val="16"/>
              </w:rPr>
              <w:t>第二批优秀专家工作室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60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A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11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62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CF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B4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9E1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B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68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8FDA">
            <w:pPr>
              <w:jc w:val="center"/>
            </w:pPr>
          </w:p>
        </w:tc>
      </w:tr>
      <w:tr w14:paraId="06848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55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80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27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5586">
            <w:pPr>
              <w:jc w:val="center"/>
            </w:pPr>
            <w:r>
              <w:rPr>
                <w:rFonts w:ascii="宋体" w:hAnsi="宋体" w:eastAsia="宋体"/>
                <w:sz w:val="16"/>
              </w:rPr>
              <w:t>优秀专家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B9F7">
            <w:pPr>
              <w:jc w:val="center"/>
            </w:pPr>
            <w:r>
              <w:rPr>
                <w:rFonts w:ascii="宋体" w:hAnsi="宋体" w:eastAsia="宋体"/>
                <w:sz w:val="16"/>
              </w:rPr>
              <w:t>=1名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5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5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01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7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B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2864">
            <w:pPr>
              <w:jc w:val="center"/>
            </w:pPr>
            <w:r>
              <w:rPr>
                <w:rFonts w:ascii="宋体" w:hAnsi="宋体" w:eastAsia="宋体"/>
                <w:sz w:val="16"/>
              </w:rPr>
              <w:t>=1名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2D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5C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4462">
            <w:pPr>
              <w:jc w:val="center"/>
            </w:pPr>
          </w:p>
        </w:tc>
      </w:tr>
      <w:tr w14:paraId="641E7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D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44E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99E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5EB1">
            <w:pPr>
              <w:jc w:val="center"/>
            </w:pPr>
            <w:r>
              <w:rPr>
                <w:rFonts w:ascii="宋体" w:hAnsi="宋体" w:eastAsia="宋体"/>
                <w:sz w:val="16"/>
              </w:rPr>
              <w:t>优秀专家工作室经费保障率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D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5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98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82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1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CD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1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6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29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B542">
            <w:pPr>
              <w:jc w:val="center"/>
            </w:pPr>
          </w:p>
        </w:tc>
      </w:tr>
      <w:tr w14:paraId="79573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68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03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FC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7ECB">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B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1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E5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AB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57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E1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0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8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AF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A21C">
            <w:pPr>
              <w:jc w:val="center"/>
            </w:pPr>
          </w:p>
        </w:tc>
      </w:tr>
      <w:tr w14:paraId="585B5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B6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31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B0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620A">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76DA">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C8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03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45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38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F7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0A2F">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2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36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5B93">
            <w:pPr>
              <w:jc w:val="center"/>
            </w:pPr>
          </w:p>
        </w:tc>
      </w:tr>
      <w:tr w14:paraId="4A0CD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49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D3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47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FAC9">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B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F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AF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29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C8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82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3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E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FF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46B4">
            <w:pPr>
              <w:jc w:val="center"/>
            </w:pPr>
          </w:p>
        </w:tc>
      </w:tr>
      <w:tr w14:paraId="10DD8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252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8C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09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C652">
            <w:pPr>
              <w:jc w:val="center"/>
            </w:pPr>
            <w:r>
              <w:rPr>
                <w:rFonts w:ascii="宋体" w:hAnsi="宋体" w:eastAsia="宋体"/>
                <w:sz w:val="16"/>
              </w:rPr>
              <w:t>推进人才工作迈向新高度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D4FE">
            <w:pPr>
              <w:jc w:val="center"/>
            </w:pPr>
            <w:r>
              <w:rPr>
                <w:rFonts w:ascii="宋体" w:hAnsi="宋体" w:eastAsia="宋体"/>
                <w:sz w:val="16"/>
              </w:rPr>
              <w:t>有力推进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A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F8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732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AF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F5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47A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7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4C8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3CA1">
            <w:pPr>
              <w:jc w:val="center"/>
            </w:pPr>
          </w:p>
        </w:tc>
      </w:tr>
      <w:tr w14:paraId="0B8D4F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862F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456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9729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488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B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6A9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E10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D38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54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B64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39BBBE"/>
        </w:tc>
      </w:tr>
    </w:tbl>
    <w:p w14:paraId="1EC40193">
      <w:r>
        <w:br w:type="page"/>
      </w:r>
    </w:p>
    <w:p w14:paraId="51231186">
      <w:pPr>
        <w:spacing w:line="640" w:lineRule="exact"/>
        <w:ind w:firstLine="640"/>
        <w:jc w:val="both"/>
        <w:outlineLvl w:val="2"/>
      </w:pPr>
      <w:r>
        <w:rPr>
          <w:rFonts w:ascii="黑体" w:hAnsi="黑体" w:eastAsia="黑体"/>
          <w:sz w:val="32"/>
        </w:rPr>
        <w:t>十二、其他需说明的事项</w:t>
      </w:r>
    </w:p>
    <w:p w14:paraId="38386909">
      <w:pPr>
        <w:spacing w:line="580" w:lineRule="exact"/>
        <w:ind w:firstLine="640"/>
        <w:jc w:val="both"/>
      </w:pPr>
      <w:r>
        <w:rPr>
          <w:rFonts w:ascii="仿宋_GB2312" w:hAnsi="仿宋_GB2312" w:eastAsia="仿宋_GB2312"/>
          <w:b w:val="0"/>
          <w:sz w:val="32"/>
        </w:rPr>
        <w:t>本年本部门SM项目1个，全年预算数242.81万元，全年执行数196.48万元。</w:t>
      </w:r>
    </w:p>
    <w:p w14:paraId="641F1B91">
      <w:r>
        <w:br w:type="page"/>
      </w:r>
    </w:p>
    <w:p w14:paraId="4FD2699E">
      <w:pPr>
        <w:spacing w:line="240" w:lineRule="auto"/>
        <w:jc w:val="center"/>
        <w:outlineLvl w:val="1"/>
      </w:pPr>
      <w:r>
        <w:rPr>
          <w:rFonts w:ascii="黑体" w:hAnsi="黑体" w:eastAsia="黑体"/>
          <w:sz w:val="32"/>
        </w:rPr>
        <w:t>第三部分 专业名词解释</w:t>
      </w:r>
    </w:p>
    <w:p w14:paraId="2C84E98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10146C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45D369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C580C9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88C962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3686B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21F24F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766E2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847A9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9B83F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5B323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E721AA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970C53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43E1D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FC75309">
      <w:r>
        <w:br w:type="page"/>
      </w:r>
    </w:p>
    <w:p w14:paraId="50FFB79E">
      <w:pPr>
        <w:spacing w:line="240" w:lineRule="auto"/>
        <w:jc w:val="center"/>
        <w:outlineLvl w:val="1"/>
      </w:pPr>
      <w:r>
        <w:rPr>
          <w:rFonts w:ascii="黑体" w:hAnsi="黑体" w:eastAsia="黑体"/>
          <w:sz w:val="32"/>
        </w:rPr>
        <w:t>第四部分 部门决算报表（见附表）</w:t>
      </w:r>
    </w:p>
    <w:p w14:paraId="02753C79">
      <w:pPr>
        <w:spacing w:line="240" w:lineRule="auto"/>
        <w:ind w:firstLine="640"/>
        <w:jc w:val="both"/>
      </w:pPr>
      <w:r>
        <w:rPr>
          <w:rFonts w:ascii="仿宋_GB2312" w:hAnsi="仿宋_GB2312" w:eastAsia="仿宋_GB2312"/>
          <w:b w:val="0"/>
          <w:sz w:val="32"/>
        </w:rPr>
        <w:t>一、《收入支出决算总表》</w:t>
      </w:r>
    </w:p>
    <w:p w14:paraId="6091388C">
      <w:pPr>
        <w:spacing w:line="240" w:lineRule="auto"/>
        <w:ind w:firstLine="640"/>
        <w:jc w:val="both"/>
      </w:pPr>
      <w:r>
        <w:rPr>
          <w:rFonts w:ascii="仿宋_GB2312" w:hAnsi="仿宋_GB2312" w:eastAsia="仿宋_GB2312"/>
          <w:b w:val="0"/>
          <w:sz w:val="32"/>
        </w:rPr>
        <w:t>二、《收入决算表》</w:t>
      </w:r>
    </w:p>
    <w:p w14:paraId="0E94857D">
      <w:pPr>
        <w:spacing w:line="240" w:lineRule="auto"/>
        <w:ind w:firstLine="640"/>
        <w:jc w:val="both"/>
      </w:pPr>
      <w:r>
        <w:rPr>
          <w:rFonts w:ascii="仿宋_GB2312" w:hAnsi="仿宋_GB2312" w:eastAsia="仿宋_GB2312"/>
          <w:b w:val="0"/>
          <w:sz w:val="32"/>
        </w:rPr>
        <w:t>三、《支出决算表》</w:t>
      </w:r>
    </w:p>
    <w:p w14:paraId="6110AD05">
      <w:pPr>
        <w:spacing w:line="240" w:lineRule="auto"/>
        <w:ind w:firstLine="640"/>
        <w:jc w:val="both"/>
      </w:pPr>
      <w:r>
        <w:rPr>
          <w:rFonts w:ascii="仿宋_GB2312" w:hAnsi="仿宋_GB2312" w:eastAsia="仿宋_GB2312"/>
          <w:b w:val="0"/>
          <w:sz w:val="32"/>
        </w:rPr>
        <w:t>四、《财政拨款收入支出决算总表》</w:t>
      </w:r>
    </w:p>
    <w:p w14:paraId="50957B10">
      <w:pPr>
        <w:spacing w:line="240" w:lineRule="auto"/>
        <w:ind w:firstLine="640"/>
        <w:jc w:val="both"/>
      </w:pPr>
      <w:r>
        <w:rPr>
          <w:rFonts w:ascii="仿宋_GB2312" w:hAnsi="仿宋_GB2312" w:eastAsia="仿宋_GB2312"/>
          <w:b w:val="0"/>
          <w:sz w:val="32"/>
        </w:rPr>
        <w:t>五、《一般公共预算财政拨款支出决算表》</w:t>
      </w:r>
    </w:p>
    <w:p w14:paraId="42847510">
      <w:pPr>
        <w:spacing w:line="240" w:lineRule="auto"/>
        <w:ind w:firstLine="640"/>
        <w:jc w:val="both"/>
      </w:pPr>
      <w:r>
        <w:rPr>
          <w:rFonts w:ascii="仿宋_GB2312" w:hAnsi="仿宋_GB2312" w:eastAsia="仿宋_GB2312"/>
          <w:b w:val="0"/>
          <w:sz w:val="32"/>
        </w:rPr>
        <w:t>六、《一般公共预算财政拨款基本支出决算表》</w:t>
      </w:r>
    </w:p>
    <w:p w14:paraId="6C475069">
      <w:pPr>
        <w:spacing w:line="240" w:lineRule="auto"/>
        <w:ind w:firstLine="640"/>
        <w:jc w:val="both"/>
      </w:pPr>
      <w:r>
        <w:rPr>
          <w:rFonts w:ascii="仿宋_GB2312" w:hAnsi="仿宋_GB2312" w:eastAsia="仿宋_GB2312"/>
          <w:b w:val="0"/>
          <w:sz w:val="32"/>
        </w:rPr>
        <w:t>七、《政府性基金预算财政拨款收入支出决算表》</w:t>
      </w:r>
    </w:p>
    <w:p w14:paraId="0CD6538E">
      <w:pPr>
        <w:spacing w:line="240" w:lineRule="auto"/>
        <w:ind w:firstLine="640"/>
        <w:jc w:val="both"/>
      </w:pPr>
      <w:r>
        <w:rPr>
          <w:rFonts w:ascii="仿宋_GB2312" w:hAnsi="仿宋_GB2312" w:eastAsia="仿宋_GB2312"/>
          <w:b w:val="0"/>
          <w:sz w:val="32"/>
        </w:rPr>
        <w:t>八、《国有资本经营预算财政拨款收入支出决算表》</w:t>
      </w:r>
    </w:p>
    <w:p w14:paraId="426E5402">
      <w:pPr>
        <w:spacing w:line="240" w:lineRule="auto"/>
        <w:ind w:firstLine="640"/>
        <w:jc w:val="both"/>
      </w:pPr>
      <w:r>
        <w:rPr>
          <w:rFonts w:ascii="仿宋_GB2312" w:hAnsi="仿宋_GB2312" w:eastAsia="仿宋_GB2312"/>
          <w:b w:val="0"/>
          <w:sz w:val="32"/>
        </w:rPr>
        <w:t>九、《财政拨款“三公”经费支出决算表》</w:t>
      </w:r>
    </w:p>
    <w:p w14:paraId="4DA2F32E">
      <w:pPr>
        <w:spacing w:line="240" w:lineRule="auto"/>
        <w:ind w:firstLine="640"/>
        <w:jc w:val="both"/>
      </w:pPr>
    </w:p>
    <w:p w14:paraId="41053A91">
      <w:pPr>
        <w:spacing w:line="240" w:lineRule="auto"/>
        <w:ind w:firstLine="640"/>
        <w:jc w:val="both"/>
      </w:pPr>
    </w:p>
    <w:p w14:paraId="1A747D2D">
      <w:pPr>
        <w:spacing w:line="240" w:lineRule="auto"/>
        <w:ind w:firstLine="640"/>
        <w:jc w:val="both"/>
      </w:pPr>
    </w:p>
    <w:p w14:paraId="53BE368C">
      <w:pPr>
        <w:spacing w:line="240" w:lineRule="auto"/>
        <w:ind w:firstLine="640"/>
        <w:jc w:val="both"/>
      </w:pPr>
    </w:p>
    <w:p w14:paraId="415B41F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4FD3CA-5B3C-4F43-8613-0941556A67D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E6D0BD8-808B-46BB-BAEF-4E15D17BA6BB}"/>
  </w:font>
  <w:font w:name="仿宋_GB2312">
    <w:panose1 w:val="02010609030101010101"/>
    <w:charset w:val="86"/>
    <w:family w:val="modern"/>
    <w:pitch w:val="default"/>
    <w:sig w:usb0="00000001" w:usb1="080E0000" w:usb2="00000000" w:usb3="00000000" w:csb0="00040000" w:csb1="00000000"/>
    <w:embedRegular r:id="rId3" w:fontKey="{8B8A61B9-CF58-4867-BE5E-6F1EF460AE87}"/>
  </w:font>
  <w:font w:name="楷体_GB2312">
    <w:panose1 w:val="02010609030101010101"/>
    <w:charset w:val="86"/>
    <w:family w:val="auto"/>
    <w:pitch w:val="default"/>
    <w:sig w:usb0="00000001" w:usb1="080E0000" w:usb2="00000000" w:usb3="00000000" w:csb0="00040000" w:csb1="00000000"/>
    <w:embedRegular r:id="rId4" w:fontKey="{7C7FC740-9F8A-4049-84C1-72F83D6F38BD}"/>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2B3511"/>
    <w:rsid w:val="38006E2C"/>
    <w:rsid w:val="3914510A"/>
    <w:rsid w:val="3B1220C9"/>
    <w:rsid w:val="3D5275AC"/>
    <w:rsid w:val="3EA7725F"/>
    <w:rsid w:val="3EC014A1"/>
    <w:rsid w:val="3F8E4773"/>
    <w:rsid w:val="40834692"/>
    <w:rsid w:val="423A32B2"/>
    <w:rsid w:val="423C0CB4"/>
    <w:rsid w:val="427B5743"/>
    <w:rsid w:val="42E64542"/>
    <w:rsid w:val="464B7E04"/>
    <w:rsid w:val="464F7E64"/>
    <w:rsid w:val="46901EEE"/>
    <w:rsid w:val="469C74D2"/>
    <w:rsid w:val="47445515"/>
    <w:rsid w:val="4B4C0111"/>
    <w:rsid w:val="4BB23021"/>
    <w:rsid w:val="4F3F074E"/>
    <w:rsid w:val="50BB2812"/>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A726B8"/>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6666</Words>
  <Characters>7543</Characters>
  <Lines>0</Lines>
  <Paragraphs>0</Paragraphs>
  <TotalTime>3</TotalTime>
  <ScaleCrop>false</ScaleCrop>
  <LinksUpToDate>false</LinksUpToDate>
  <CharactersWithSpaces>7551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2025-09-11T11:42:52Z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