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27F3EF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新疆巴音郭楞蒙古自治州财政局2024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587F1EE">
      <w:r>
        <w:br w:type="page"/>
      </w:r>
    </w:p>
    <w:p w14:paraId="10C15785">
      <w:pPr>
        <w:spacing w:line="640" w:lineRule="exact"/>
        <w:jc w:val="center"/>
        <w:outlineLvl w:val="1"/>
      </w:pPr>
      <w:r>
        <w:rPr>
          <w:rFonts w:ascii="黑体" w:hAnsi="黑体" w:eastAsia="黑体"/>
          <w:sz w:val="32"/>
        </w:rPr>
        <w:t>第一部分 部门概况</w:t>
      </w:r>
    </w:p>
    <w:p w14:paraId="7B101F87">
      <w:pPr>
        <w:spacing w:line="640" w:lineRule="exact"/>
        <w:ind w:firstLine="640"/>
        <w:jc w:val="both"/>
        <w:outlineLvl w:val="2"/>
      </w:pPr>
      <w:r>
        <w:rPr>
          <w:rFonts w:ascii="黑体" w:hAnsi="黑体" w:eastAsia="黑体"/>
          <w:sz w:val="32"/>
        </w:rPr>
        <w:t>一、主要职能</w:t>
      </w:r>
    </w:p>
    <w:p w14:paraId="5456774C">
      <w:pPr>
        <w:spacing w:line="580" w:lineRule="exact"/>
        <w:ind w:firstLine="640"/>
        <w:jc w:val="both"/>
      </w:pPr>
      <w:r>
        <w:rPr>
          <w:rFonts w:ascii="仿宋_GB2312" w:hAnsi="仿宋_GB2312" w:eastAsia="仿宋_GB2312"/>
          <w:sz w:val="32"/>
        </w:rPr>
        <w:t>1.贯彻执行国家财政、税收、国有资产管理的法规、制度和方针、政策；组织拟定自治州财政、国有资产、财产评估、财务会计等方面的管理办法和规章制度并监督实施；参与自治州有关税收政策和制度的拟定工作。</w:t>
      </w:r>
    </w:p>
    <w:p w14:paraId="596A7746">
      <w:pPr>
        <w:spacing w:line="580" w:lineRule="exact"/>
        <w:ind w:firstLine="640"/>
        <w:jc w:val="both"/>
      </w:pPr>
      <w:r>
        <w:rPr>
          <w:rFonts w:ascii="仿宋_GB2312" w:hAnsi="仿宋_GB2312" w:eastAsia="仿宋_GB2312"/>
          <w:sz w:val="32"/>
        </w:rPr>
        <w:t>2.根据自治州国民经济和社会发展战略，拟定自治州财政发展战略和中长期计划，参与制定有关综合经济政策；提出运用财税政策实施区域经济调控和综合平衡社会财力的建议；拟定和执行自治州与各县市、财政与企业的分配政策，对自治州社会财力进行综合平衡。</w:t>
      </w:r>
    </w:p>
    <w:p w14:paraId="24AA6D0C">
      <w:pPr>
        <w:spacing w:line="580" w:lineRule="exact"/>
        <w:ind w:firstLine="640"/>
        <w:jc w:val="both"/>
      </w:pPr>
      <w:r>
        <w:rPr>
          <w:rFonts w:ascii="仿宋_GB2312" w:hAnsi="仿宋_GB2312" w:eastAsia="仿宋_GB2312"/>
          <w:sz w:val="32"/>
        </w:rPr>
        <w:t>3.编制自治州本级预决算，代编全州预决算草案并组织执行；审查、编制、批复部门预算；受自治州人民政府委托向自治州人民代表大会报告自治州级和全州预算及其执行情况，向自治州人大常委会报告预算和决算变动事项。</w:t>
      </w:r>
    </w:p>
    <w:p w14:paraId="7901011B">
      <w:pPr>
        <w:spacing w:line="580" w:lineRule="exact"/>
        <w:ind w:firstLine="640"/>
        <w:jc w:val="both"/>
      </w:pPr>
      <w:r>
        <w:rPr>
          <w:rFonts w:ascii="仿宋_GB2312" w:hAnsi="仿宋_GB2312" w:eastAsia="仿宋_GB2312"/>
          <w:sz w:val="32"/>
        </w:rPr>
        <w:t>4.根据预算安排，拟定财政税收计划，并组织实施和监督管理；负责自治州农业各税、非税性财政收入规章制度的拟定及自治州本级收入的征收和管理；会同有关部门审查批准行政事业性收费项目并参与标准的制定。</w:t>
      </w:r>
    </w:p>
    <w:p w14:paraId="10EA0D38">
      <w:pPr>
        <w:spacing w:line="580" w:lineRule="exact"/>
        <w:ind w:firstLine="640"/>
        <w:jc w:val="both"/>
      </w:pPr>
      <w:r>
        <w:rPr>
          <w:rFonts w:ascii="仿宋_GB2312" w:hAnsi="仿宋_GB2312" w:eastAsia="仿宋_GB2312"/>
          <w:sz w:val="32"/>
        </w:rPr>
        <w:t>5.管理和监督由自治州本级承担的各项财政收入和财政支出，组织和监督自治州财政预算的执行；负责地方财政收入入库解缴政策的制定，代表政府管理、监督地方国库资金的缴拨使用；负责预算外资金的财务管理工作；负责预算外资金收支计划的核定及预算外资金财政专户管理工作；管理农业综合开发项目财务及资金；管理社会保障专项资金、</w:t>
      </w:r>
      <w:r>
        <w:rPr>
          <w:rFonts w:hint="eastAsia" w:ascii="仿宋_GB2312" w:hAnsi="仿宋_GB2312" w:eastAsia="仿宋_GB2312"/>
          <w:sz w:val="32"/>
          <w:lang w:eastAsia="zh-CN"/>
        </w:rPr>
        <w:t>财政</w:t>
      </w:r>
      <w:r>
        <w:rPr>
          <w:rFonts w:ascii="仿宋_GB2312" w:hAnsi="仿宋_GB2312" w:eastAsia="仿宋_GB2312"/>
          <w:sz w:val="32"/>
        </w:rPr>
        <w:t>农村经济振兴</w:t>
      </w:r>
      <w:r>
        <w:rPr>
          <w:rFonts w:hint="eastAsia" w:ascii="仿宋_GB2312" w:hAnsi="仿宋_GB2312" w:eastAsia="仿宋_GB2312"/>
          <w:sz w:val="32"/>
          <w:lang w:eastAsia="zh-CN"/>
        </w:rPr>
        <w:t>资金</w:t>
      </w:r>
      <w:r>
        <w:rPr>
          <w:rFonts w:ascii="仿宋_GB2312" w:hAnsi="仿宋_GB2312" w:eastAsia="仿宋_GB2312"/>
          <w:sz w:val="32"/>
        </w:rPr>
        <w:t>、发展资金、少数民族补助费、以工代赈资金、棉花基地建设资金、贷款贴息等资金；负责国债转贷资金、粮食风险基金管理及粮食</w:t>
      </w:r>
      <w:r>
        <w:rPr>
          <w:rFonts w:hint="eastAsia" w:ascii="仿宋_GB2312" w:hAnsi="仿宋_GB2312" w:eastAsia="仿宋_GB2312"/>
          <w:sz w:val="32"/>
          <w:lang w:eastAsia="zh-CN"/>
        </w:rPr>
        <w:t>挂账处理</w:t>
      </w:r>
      <w:r>
        <w:rPr>
          <w:rFonts w:ascii="仿宋_GB2312" w:hAnsi="仿宋_GB2312" w:eastAsia="仿宋_GB2312"/>
          <w:sz w:val="32"/>
        </w:rPr>
        <w:t>；管理和监督彩票发行工作；管理自治州财政统发工资工作。</w:t>
      </w:r>
    </w:p>
    <w:p w14:paraId="374D65C0">
      <w:pPr>
        <w:spacing w:line="580" w:lineRule="exact"/>
        <w:ind w:firstLine="640"/>
        <w:jc w:val="both"/>
      </w:pPr>
      <w:r>
        <w:rPr>
          <w:rFonts w:ascii="仿宋_GB2312" w:hAnsi="仿宋_GB2312" w:eastAsia="仿宋_GB2312"/>
          <w:sz w:val="32"/>
        </w:rPr>
        <w:t>6.拟定和执行需要全州统一规定的开支标准和支出政策；负责建立和实施国库集中收付制度；贯彻执行《企业财务通则》及分行业企业财务制度、《事业单位财务规则》《行政单位财务规则》；参与自治州社会保障制度的改革和政策、办法的研究制定；拟定社会保障资金全州的财务制度和管理办法；执行社会保障资金财务制度、基本建设财务制度和涉外企业财务制度；拟定全州政府采购管理制度和办法，指导、监督、检查全州政府采购工作。</w:t>
      </w:r>
    </w:p>
    <w:p w14:paraId="2C082CB4">
      <w:pPr>
        <w:spacing w:line="580" w:lineRule="exact"/>
        <w:ind w:firstLine="640"/>
        <w:jc w:val="both"/>
      </w:pPr>
      <w:r>
        <w:rPr>
          <w:rFonts w:ascii="仿宋_GB2312" w:hAnsi="仿宋_GB2312" w:eastAsia="仿宋_GB2312"/>
          <w:sz w:val="32"/>
        </w:rPr>
        <w:t>7.负责外国政府、国际金融组织贷款项目的审核、申报、转贷、签订贷款协定、财务会计核算、提款</w:t>
      </w:r>
      <w:r>
        <w:rPr>
          <w:rFonts w:hint="eastAsia" w:ascii="仿宋_GB2312" w:hAnsi="仿宋_GB2312" w:eastAsia="仿宋_GB2312"/>
          <w:sz w:val="32"/>
          <w:lang w:eastAsia="zh-CN"/>
        </w:rPr>
        <w:t>报账</w:t>
      </w:r>
      <w:r>
        <w:rPr>
          <w:rFonts w:ascii="仿宋_GB2312" w:hAnsi="仿宋_GB2312" w:eastAsia="仿宋_GB2312"/>
          <w:sz w:val="32"/>
        </w:rPr>
        <w:t>、办理还本付息等资金管理工作；管理自治州财政预算内行政机构、事业单位和社会团体非贸易非经营性用汇。</w:t>
      </w:r>
    </w:p>
    <w:p w14:paraId="42A36CAD">
      <w:pPr>
        <w:spacing w:line="580" w:lineRule="exact"/>
        <w:ind w:firstLine="640"/>
        <w:jc w:val="both"/>
      </w:pPr>
      <w:r>
        <w:rPr>
          <w:rFonts w:ascii="仿宋_GB2312" w:hAnsi="仿宋_GB2312" w:eastAsia="仿宋_GB2312"/>
          <w:sz w:val="32"/>
        </w:rPr>
        <w:t>8.管理和指导全州会计工作，加强会计监督,规范会计行为，保障会计资料的真实完整，查处各单位</w:t>
      </w:r>
      <w:r>
        <w:rPr>
          <w:rFonts w:hint="eastAsia" w:ascii="仿宋_GB2312" w:hAnsi="仿宋_GB2312" w:eastAsia="仿宋_GB2312"/>
          <w:sz w:val="32"/>
          <w:lang w:eastAsia="zh-CN"/>
        </w:rPr>
        <w:t>违反</w:t>
      </w:r>
      <w:r>
        <w:rPr>
          <w:rFonts w:ascii="仿宋_GB2312" w:hAnsi="仿宋_GB2312" w:eastAsia="仿宋_GB2312"/>
          <w:sz w:val="32"/>
        </w:rPr>
        <w:t>《</w:t>
      </w:r>
      <w:r>
        <w:rPr>
          <w:rFonts w:hint="eastAsia" w:ascii="仿宋_GB2312" w:hAnsi="仿宋_GB2312" w:eastAsia="仿宋_GB2312"/>
          <w:sz w:val="32"/>
          <w:lang w:eastAsia="zh-CN"/>
        </w:rPr>
        <w:t>中华人民共和国会计法</w:t>
      </w:r>
      <w:r>
        <w:rPr>
          <w:rFonts w:ascii="仿宋_GB2312" w:hAnsi="仿宋_GB2312" w:eastAsia="仿宋_GB2312"/>
          <w:sz w:val="32"/>
        </w:rPr>
        <w:t>》及有关会计法规案件；组织执行《企业会计准则》《事业单位会计准则》和分行业会计制度，制定补充规定并贯彻执行；负责会计委派工作；组织和管理自治州会计人员的业务培训和会计人员从业资格证书；指导和监督注册会计师、注册资产评估师等；指导和管理社会审计工作。</w:t>
      </w:r>
    </w:p>
    <w:p w14:paraId="153E2E36">
      <w:pPr>
        <w:spacing w:line="580" w:lineRule="exact"/>
        <w:ind w:firstLine="640"/>
        <w:jc w:val="both"/>
      </w:pPr>
      <w:r>
        <w:rPr>
          <w:rFonts w:ascii="仿宋_GB2312" w:hAnsi="仿宋_GB2312" w:eastAsia="仿宋_GB2312"/>
          <w:sz w:val="32"/>
        </w:rPr>
        <w:t>9.拟定和执行全州国有资本金基础管理的有关政策、规章制度和管理办法；研究制定国有股权管理办法；组织查处国有资产流失案件；组织实施全州国有企业、城镇集体企业和国有预算单位的股权管理、清产核资、产权交易、资本金权属界定、产权登记；负责实施企业绩效评价、国有资本金营运监测；负责国有资本金的统计、分析，管理和监督财产评估业务；负责国有企业和行政事业单位国有资产的管理。</w:t>
      </w:r>
    </w:p>
    <w:p w14:paraId="1510D775">
      <w:pPr>
        <w:spacing w:line="580" w:lineRule="exact"/>
        <w:ind w:firstLine="640"/>
        <w:jc w:val="both"/>
      </w:pPr>
      <w:r>
        <w:rPr>
          <w:rFonts w:ascii="仿宋_GB2312" w:hAnsi="仿宋_GB2312" w:eastAsia="仿宋_GB2312"/>
          <w:sz w:val="32"/>
        </w:rPr>
        <w:t>10.参与自治州经济体制改革和企业改革，提出经济和社会发展的意见和建议，配合实施经济体制改革和企业改革的各项措施。</w:t>
      </w:r>
    </w:p>
    <w:p w14:paraId="38E6E063">
      <w:pPr>
        <w:spacing w:line="580" w:lineRule="exact"/>
        <w:ind w:firstLine="640"/>
        <w:jc w:val="both"/>
      </w:pPr>
      <w:r>
        <w:rPr>
          <w:rFonts w:ascii="仿宋_GB2312" w:hAnsi="仿宋_GB2312" w:eastAsia="仿宋_GB2312"/>
          <w:sz w:val="32"/>
        </w:rPr>
        <w:t>11.监督财税政策、法律、法规的执行；检查监督自治州本级预算收入征收部门征收各项预算收入情况和自治州级各部门、单位财务执行情况；延伸检查重点行业和部门、重点税源和纳税大户，检查验证税收征管质量和财税政策、法令、制度执行情况；检查财政支出管理中的重要问题，提出加强财政管理的政策建议。</w:t>
      </w:r>
    </w:p>
    <w:p w14:paraId="71879F44">
      <w:pPr>
        <w:spacing w:line="580" w:lineRule="exact"/>
        <w:ind w:firstLine="640"/>
        <w:jc w:val="both"/>
      </w:pPr>
      <w:r>
        <w:rPr>
          <w:rFonts w:ascii="仿宋_GB2312" w:hAnsi="仿宋_GB2312" w:eastAsia="仿宋_GB2312"/>
          <w:sz w:val="32"/>
        </w:rPr>
        <w:t>12.制定自治州财政干部教育培训计划并组织实施。</w:t>
      </w:r>
    </w:p>
    <w:p w14:paraId="581A950D">
      <w:pPr>
        <w:spacing w:line="640" w:lineRule="exact"/>
        <w:ind w:firstLine="640"/>
        <w:jc w:val="both"/>
        <w:outlineLvl w:val="2"/>
      </w:pPr>
      <w:r>
        <w:rPr>
          <w:rFonts w:ascii="黑体" w:hAnsi="黑体" w:eastAsia="黑体"/>
          <w:sz w:val="32"/>
        </w:rPr>
        <w:t>二、机构设置及人员情况</w:t>
      </w:r>
    </w:p>
    <w:p w14:paraId="05D6D090">
      <w:pPr>
        <w:spacing w:line="580" w:lineRule="exact"/>
        <w:ind w:firstLine="640"/>
        <w:jc w:val="both"/>
      </w:pPr>
      <w:r>
        <w:rPr>
          <w:rFonts w:ascii="仿宋_GB2312" w:hAnsi="仿宋_GB2312" w:eastAsia="仿宋_GB2312"/>
          <w:sz w:val="32"/>
        </w:rPr>
        <w:t>新疆巴音郭楞蒙古自治州财政局2024年度，实有人数175人，其中：在职人员81人，减少2人；离休人员0人，增加0人；退休人员94人,增加5人。</w:t>
      </w:r>
    </w:p>
    <w:p w14:paraId="3226849B">
      <w:pPr>
        <w:spacing w:line="580" w:lineRule="exact"/>
        <w:ind w:firstLine="640"/>
        <w:jc w:val="both"/>
      </w:pPr>
      <w:r>
        <w:rPr>
          <w:rFonts w:ascii="仿宋_GB2312" w:hAnsi="仿宋_GB2312" w:eastAsia="仿宋_GB2312"/>
          <w:sz w:val="32"/>
        </w:rPr>
        <w:t>新疆巴音郭楞蒙古自治州财政局无下属预算单位，下设19个科室，分别是：局办公室、会计科、国库科、预算科、社保科、资产科、行政政法科、教科文科、企业科、农业科、经建科、综合科、预算绩效和政府债务中心、乡财局、国有资产保障中心、信息网络中心、国库集中支付中心、社保资金管理中心、中华会计函授辅导站和综改办。</w:t>
      </w:r>
    </w:p>
    <w:p w14:paraId="48A45008">
      <w:r>
        <w:br w:type="page"/>
      </w:r>
    </w:p>
    <w:p w14:paraId="48979586">
      <w:pPr>
        <w:spacing w:line="240" w:lineRule="auto"/>
        <w:jc w:val="center"/>
        <w:outlineLvl w:val="1"/>
      </w:pPr>
      <w:r>
        <w:rPr>
          <w:rFonts w:ascii="黑体" w:hAnsi="黑体" w:eastAsia="黑体"/>
          <w:sz w:val="32"/>
        </w:rPr>
        <w:t>第二部分 部门决算情况说明</w:t>
      </w:r>
    </w:p>
    <w:p w14:paraId="518266F4">
      <w:pPr>
        <w:spacing w:line="640" w:lineRule="exact"/>
        <w:ind w:firstLine="640"/>
        <w:jc w:val="both"/>
        <w:outlineLvl w:val="2"/>
      </w:pPr>
      <w:r>
        <w:rPr>
          <w:rFonts w:ascii="黑体" w:hAnsi="黑体" w:eastAsia="黑体"/>
          <w:sz w:val="32"/>
        </w:rPr>
        <w:t>一、收入支出决算总体情况说明</w:t>
      </w:r>
    </w:p>
    <w:p w14:paraId="4D288A47">
      <w:pPr>
        <w:spacing w:line="580" w:lineRule="exact"/>
        <w:ind w:firstLine="640"/>
        <w:jc w:val="both"/>
      </w:pPr>
      <w:r>
        <w:rPr>
          <w:rFonts w:ascii="仿宋_GB2312" w:hAnsi="仿宋_GB2312" w:eastAsia="仿宋_GB2312"/>
          <w:b/>
          <w:sz w:val="32"/>
        </w:rPr>
        <w:t>2024年度收入总计2,441.19万元，</w:t>
      </w:r>
      <w:r>
        <w:rPr>
          <w:rFonts w:ascii="仿宋_GB2312" w:hAnsi="仿宋_GB2312" w:eastAsia="仿宋_GB2312"/>
          <w:b w:val="0"/>
          <w:sz w:val="32"/>
        </w:rPr>
        <w:t>其中：本年收入合计2,428.88万元，使用非财政拨款结余（含专用结余）0.00万元，年初结转和结余12.30万元。</w:t>
      </w:r>
    </w:p>
    <w:p w14:paraId="73276956">
      <w:pPr>
        <w:spacing w:line="580" w:lineRule="exact"/>
        <w:ind w:firstLine="640"/>
        <w:jc w:val="both"/>
      </w:pPr>
      <w:r>
        <w:rPr>
          <w:rFonts w:ascii="仿宋_GB2312" w:hAnsi="仿宋_GB2312" w:eastAsia="仿宋_GB2312"/>
          <w:b/>
          <w:sz w:val="32"/>
        </w:rPr>
        <w:t>2024年度支出总计2,441.19万元，</w:t>
      </w:r>
      <w:r>
        <w:rPr>
          <w:rFonts w:ascii="仿宋_GB2312" w:hAnsi="仿宋_GB2312" w:eastAsia="仿宋_GB2312"/>
          <w:b w:val="0"/>
          <w:sz w:val="32"/>
        </w:rPr>
        <w:t>其中：本年支出合计2,428.88万元，结余分配0.00万元，年末结转和结余12.30万元。</w:t>
      </w:r>
    </w:p>
    <w:p w14:paraId="57B1483D">
      <w:pPr>
        <w:spacing w:line="580" w:lineRule="exact"/>
        <w:ind w:firstLine="640"/>
        <w:jc w:val="both"/>
      </w:pPr>
      <w:r>
        <w:rPr>
          <w:rFonts w:ascii="仿宋_GB2312" w:hAnsi="仿宋_GB2312" w:eastAsia="仿宋_GB2312"/>
          <w:b w:val="0"/>
          <w:sz w:val="32"/>
        </w:rPr>
        <w:t>收入支出总体与上年相比，减少35.58万元，下降1.44%，主要原因是：本年减少巴州财政局各类专项工作经费、巴州财政系统政府购买服务项目经费</w:t>
      </w:r>
      <w:r>
        <w:rPr>
          <w:rFonts w:hint="eastAsia" w:ascii="仿宋_GB2312" w:hAnsi="仿宋_GB2312" w:eastAsia="仿宋_GB2312"/>
          <w:b w:val="0"/>
          <w:sz w:val="32"/>
          <w:lang w:eastAsia="zh-CN"/>
        </w:rPr>
        <w:t>、</w:t>
      </w:r>
      <w:r>
        <w:rPr>
          <w:rFonts w:ascii="仿宋_GB2312" w:hAnsi="仿宋_GB2312" w:eastAsia="仿宋_GB2312"/>
          <w:b w:val="0"/>
          <w:sz w:val="32"/>
        </w:rPr>
        <w:t>财政信息化运维项目；本年专业领域柔性引才项目培训资金减少。</w:t>
      </w:r>
    </w:p>
    <w:p w14:paraId="1C9EEC3F">
      <w:pPr>
        <w:spacing w:line="640" w:lineRule="exact"/>
        <w:ind w:firstLine="640"/>
        <w:jc w:val="both"/>
        <w:outlineLvl w:val="2"/>
      </w:pPr>
      <w:r>
        <w:rPr>
          <w:rFonts w:ascii="黑体" w:hAnsi="黑体" w:eastAsia="黑体"/>
          <w:sz w:val="32"/>
        </w:rPr>
        <w:t>二、收入决算情况说明</w:t>
      </w:r>
    </w:p>
    <w:p w14:paraId="6CBCA340">
      <w:pPr>
        <w:spacing w:line="580" w:lineRule="exact"/>
        <w:ind w:firstLine="640"/>
        <w:jc w:val="both"/>
      </w:pPr>
      <w:r>
        <w:rPr>
          <w:rFonts w:ascii="仿宋_GB2312" w:hAnsi="仿宋_GB2312" w:eastAsia="仿宋_GB2312"/>
          <w:b/>
          <w:sz w:val="32"/>
        </w:rPr>
        <w:t>本年收入2,428.88万元，</w:t>
      </w:r>
      <w:r>
        <w:rPr>
          <w:rFonts w:ascii="仿宋_GB2312" w:hAnsi="仿宋_GB2312" w:eastAsia="仿宋_GB2312"/>
          <w:b w:val="0"/>
          <w:sz w:val="32"/>
        </w:rPr>
        <w:t>其中：财政拨款收入2,426.78万元，占99.91%；上级补助收入0.00万元，占0.00%；事业收入0.00万元，占0.00%；经营收入0.00万元，占0.00%；附属单位上缴收入0.00万元，占0.00%；其他收入2.10万元，占0.09%。</w:t>
      </w:r>
    </w:p>
    <w:p w14:paraId="2585F1CC">
      <w:pPr>
        <w:spacing w:line="640" w:lineRule="exact"/>
        <w:ind w:firstLine="640"/>
        <w:jc w:val="both"/>
        <w:outlineLvl w:val="2"/>
      </w:pPr>
      <w:r>
        <w:rPr>
          <w:rFonts w:ascii="黑体" w:hAnsi="黑体" w:eastAsia="黑体"/>
          <w:sz w:val="32"/>
        </w:rPr>
        <w:t>三、支出决算情况说明</w:t>
      </w:r>
    </w:p>
    <w:p w14:paraId="3B054001">
      <w:pPr>
        <w:spacing w:line="580" w:lineRule="exact"/>
        <w:ind w:firstLine="640"/>
        <w:jc w:val="both"/>
      </w:pPr>
      <w:r>
        <w:rPr>
          <w:rFonts w:ascii="仿宋_GB2312" w:hAnsi="仿宋_GB2312" w:eastAsia="仿宋_GB2312"/>
          <w:b/>
          <w:sz w:val="32"/>
        </w:rPr>
        <w:t>本年支出2,428.88万元，</w:t>
      </w:r>
      <w:r>
        <w:rPr>
          <w:rFonts w:ascii="仿宋_GB2312" w:hAnsi="仿宋_GB2312" w:eastAsia="仿宋_GB2312"/>
          <w:b w:val="0"/>
          <w:sz w:val="32"/>
        </w:rPr>
        <w:t>其中：基本支出1,728.12万元，占71.15%；项目支出700.76万元，占28.85%；上缴上级支出0.00万元，占0.00%；经营支出0.00万元，占0.00%；对附属单位补助支出0.00万元，占0.00%。</w:t>
      </w:r>
    </w:p>
    <w:p w14:paraId="76B70D0B">
      <w:pPr>
        <w:spacing w:line="640" w:lineRule="exact"/>
        <w:ind w:firstLine="640"/>
        <w:jc w:val="both"/>
        <w:outlineLvl w:val="2"/>
      </w:pPr>
      <w:r>
        <w:rPr>
          <w:rFonts w:ascii="黑体" w:hAnsi="黑体" w:eastAsia="黑体"/>
          <w:sz w:val="32"/>
        </w:rPr>
        <w:t>四、财政拨款收入支出决算总体情况说明</w:t>
      </w:r>
    </w:p>
    <w:p w14:paraId="24FFC550">
      <w:pPr>
        <w:spacing w:line="580" w:lineRule="exact"/>
        <w:ind w:firstLine="640"/>
        <w:jc w:val="both"/>
      </w:pPr>
      <w:r>
        <w:rPr>
          <w:rFonts w:ascii="仿宋_GB2312" w:hAnsi="仿宋_GB2312" w:eastAsia="仿宋_GB2312"/>
          <w:b/>
          <w:sz w:val="32"/>
        </w:rPr>
        <w:t>2024年度财政拨款收入总计2,437.54万元，</w:t>
      </w:r>
      <w:r>
        <w:rPr>
          <w:rFonts w:ascii="仿宋_GB2312" w:hAnsi="仿宋_GB2312" w:eastAsia="仿宋_GB2312"/>
          <w:b w:val="0"/>
          <w:sz w:val="32"/>
        </w:rPr>
        <w:t>其中：年初财政拨款结转和结余10.77万元，本年财政拨款收入2,426.78万元。</w:t>
      </w:r>
      <w:r>
        <w:rPr>
          <w:rFonts w:ascii="仿宋_GB2312" w:hAnsi="仿宋_GB2312" w:eastAsia="仿宋_GB2312"/>
          <w:b/>
          <w:sz w:val="32"/>
        </w:rPr>
        <w:t>财政拨款支出总计2,437.54万元，</w:t>
      </w:r>
      <w:r>
        <w:rPr>
          <w:rFonts w:ascii="仿宋_GB2312" w:hAnsi="仿宋_GB2312" w:eastAsia="仿宋_GB2312"/>
          <w:b w:val="0"/>
          <w:sz w:val="32"/>
        </w:rPr>
        <w:t>其中：年末财政拨款结转和结余10.77万元，本年财政拨款支出2,426.78万元。</w:t>
      </w:r>
    </w:p>
    <w:p w14:paraId="068C8FA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减少2.39万元，下降0.10%，主要原因是：本年减少巴州财政局各类专项工作经费、巴州财政系统政府购买服务项目经费</w:t>
      </w:r>
      <w:r>
        <w:rPr>
          <w:rFonts w:hint="eastAsia" w:ascii="仿宋_GB2312" w:hAnsi="仿宋_GB2312" w:eastAsia="仿宋_GB2312"/>
          <w:b w:val="0"/>
          <w:sz w:val="32"/>
          <w:lang w:eastAsia="zh-CN"/>
        </w:rPr>
        <w:t>、</w:t>
      </w:r>
      <w:r>
        <w:rPr>
          <w:rFonts w:ascii="仿宋_GB2312" w:hAnsi="仿宋_GB2312" w:eastAsia="仿宋_GB2312"/>
          <w:b w:val="0"/>
          <w:sz w:val="32"/>
        </w:rPr>
        <w:t>财政信息化运维项目。</w:t>
      </w:r>
      <w:r>
        <w:rPr>
          <w:rFonts w:ascii="仿宋_GB2312" w:hAnsi="仿宋_GB2312" w:eastAsia="仿宋_GB2312"/>
          <w:b/>
          <w:sz w:val="32"/>
        </w:rPr>
        <w:t>与年初预算相比，</w:t>
      </w:r>
      <w:r>
        <w:rPr>
          <w:rFonts w:ascii="仿宋_GB2312" w:hAnsi="仿宋_GB2312" w:eastAsia="仿宋_GB2312"/>
          <w:b w:val="0"/>
          <w:sz w:val="32"/>
        </w:rPr>
        <w:t>年初预算数2,452.21万元，决算数2,437.54万元，预决算差异率-0.60%，主要原因是：本年在职人员减少，年中调减人员经费，导致预决算存在差异。</w:t>
      </w:r>
    </w:p>
    <w:p w14:paraId="5B7688F5">
      <w:pPr>
        <w:spacing w:line="640" w:lineRule="exact"/>
        <w:ind w:firstLine="640"/>
        <w:jc w:val="both"/>
        <w:outlineLvl w:val="2"/>
      </w:pPr>
      <w:r>
        <w:rPr>
          <w:rFonts w:ascii="黑体" w:hAnsi="黑体" w:eastAsia="黑体"/>
          <w:sz w:val="32"/>
        </w:rPr>
        <w:t>五、一般公共预算财政拨款支出决算情况说明</w:t>
      </w:r>
    </w:p>
    <w:p w14:paraId="179E0D5E">
      <w:pPr>
        <w:spacing w:line="640" w:lineRule="exact"/>
        <w:ind w:firstLine="640"/>
        <w:jc w:val="both"/>
        <w:outlineLvl w:val="3"/>
      </w:pPr>
      <w:r>
        <w:rPr>
          <w:rFonts w:ascii="楷体_GB2312" w:hAnsi="楷体_GB2312" w:eastAsia="楷体_GB2312"/>
          <w:b/>
          <w:sz w:val="32"/>
        </w:rPr>
        <w:t>（一）一般公共预算财政拨款支出决算总体情况</w:t>
      </w:r>
    </w:p>
    <w:p w14:paraId="2EE35E88">
      <w:pPr>
        <w:spacing w:line="580" w:lineRule="exact"/>
        <w:ind w:firstLine="640"/>
        <w:jc w:val="both"/>
      </w:pPr>
      <w:r>
        <w:rPr>
          <w:rFonts w:ascii="仿宋_GB2312" w:hAnsi="仿宋_GB2312" w:eastAsia="仿宋_GB2312"/>
          <w:b/>
          <w:sz w:val="32"/>
        </w:rPr>
        <w:t>2024年度一般公共预算财政拨款支出2,426.78万元，</w:t>
      </w:r>
      <w:r>
        <w:rPr>
          <w:rFonts w:ascii="仿宋_GB2312" w:hAnsi="仿宋_GB2312" w:eastAsia="仿宋_GB2312"/>
          <w:b w:val="0"/>
          <w:sz w:val="32"/>
        </w:rPr>
        <w:t>占本年支出合计的99.91%。</w:t>
      </w:r>
      <w:r>
        <w:rPr>
          <w:rFonts w:ascii="仿宋_GB2312" w:hAnsi="仿宋_GB2312" w:eastAsia="仿宋_GB2312"/>
          <w:b/>
          <w:sz w:val="32"/>
        </w:rPr>
        <w:t>与上年相比，</w:t>
      </w:r>
      <w:r>
        <w:rPr>
          <w:rFonts w:ascii="仿宋_GB2312" w:hAnsi="仿宋_GB2312" w:eastAsia="仿宋_GB2312"/>
          <w:b w:val="0"/>
          <w:sz w:val="32"/>
        </w:rPr>
        <w:t>增加0.54万元，增长0.02%，主要原因是：本年增加财政绩效及国库代理银行服务项目，导致经费较上年增加。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年初预算数2,452.21万元，决算数2,426.78万元，预决算差异率-1.04%，主要原因是：本年在职人员减少，年中调减人员经费，导致预决算存在差异。</w:t>
      </w:r>
    </w:p>
    <w:p w14:paraId="43B91B57">
      <w:pPr>
        <w:spacing w:line="640" w:lineRule="exact"/>
        <w:ind w:firstLine="640"/>
        <w:jc w:val="both"/>
        <w:outlineLvl w:val="3"/>
      </w:pPr>
      <w:r>
        <w:rPr>
          <w:rFonts w:ascii="楷体_GB2312" w:hAnsi="楷体_GB2312" w:eastAsia="楷体_GB2312"/>
          <w:b/>
          <w:sz w:val="32"/>
        </w:rPr>
        <w:t>（二）一般公共预算财政拨款支出决算结构情况</w:t>
      </w:r>
    </w:p>
    <w:p w14:paraId="1D1A5BFD">
      <w:pPr>
        <w:spacing w:line="580" w:lineRule="exact"/>
        <w:ind w:firstLine="640"/>
        <w:jc w:val="both"/>
      </w:pPr>
      <w:r>
        <w:rPr>
          <w:rFonts w:ascii="仿宋_GB2312" w:hAnsi="仿宋_GB2312" w:eastAsia="仿宋_GB2312"/>
          <w:b w:val="0"/>
          <w:sz w:val="32"/>
        </w:rPr>
        <w:t>1.一般公共服务支出(类)1904.37万元,占78.47%。</w:t>
      </w:r>
    </w:p>
    <w:p w14:paraId="703788D2">
      <w:pPr>
        <w:spacing w:line="580" w:lineRule="exact"/>
        <w:ind w:firstLine="640"/>
        <w:jc w:val="both"/>
      </w:pPr>
      <w:r>
        <w:rPr>
          <w:rFonts w:ascii="仿宋_GB2312" w:hAnsi="仿宋_GB2312" w:eastAsia="仿宋_GB2312"/>
          <w:b w:val="0"/>
          <w:sz w:val="32"/>
        </w:rPr>
        <w:t>2.教育支出(类)6万元,占0.25%。</w:t>
      </w:r>
    </w:p>
    <w:p w14:paraId="08D9B6CA">
      <w:pPr>
        <w:spacing w:line="580" w:lineRule="exact"/>
        <w:ind w:firstLine="640"/>
        <w:jc w:val="both"/>
      </w:pPr>
      <w:r>
        <w:rPr>
          <w:rFonts w:ascii="仿宋_GB2312" w:hAnsi="仿宋_GB2312" w:eastAsia="仿宋_GB2312"/>
          <w:b w:val="0"/>
          <w:sz w:val="32"/>
        </w:rPr>
        <w:t>3.社会保障和就业支出(类)307.45万元,占12.67%。</w:t>
      </w:r>
    </w:p>
    <w:p w14:paraId="07CBC1D1">
      <w:pPr>
        <w:spacing w:line="580" w:lineRule="exact"/>
        <w:ind w:firstLine="640"/>
        <w:jc w:val="both"/>
      </w:pPr>
      <w:r>
        <w:rPr>
          <w:rFonts w:ascii="仿宋_GB2312" w:hAnsi="仿宋_GB2312" w:eastAsia="仿宋_GB2312"/>
          <w:b w:val="0"/>
          <w:sz w:val="32"/>
        </w:rPr>
        <w:t>4.卫生健康支出(类)91.15万元,占3.76%。</w:t>
      </w:r>
    </w:p>
    <w:p w14:paraId="56C5D3D5">
      <w:pPr>
        <w:spacing w:line="580" w:lineRule="exact"/>
        <w:ind w:firstLine="640"/>
        <w:jc w:val="both"/>
      </w:pPr>
      <w:r>
        <w:rPr>
          <w:rFonts w:ascii="仿宋_GB2312" w:hAnsi="仿宋_GB2312" w:eastAsia="仿宋_GB2312"/>
          <w:b w:val="0"/>
          <w:sz w:val="32"/>
        </w:rPr>
        <w:t>5.住房保障支出(类)117.82万元,占4.85%。</w:t>
      </w:r>
    </w:p>
    <w:p w14:paraId="6D6C7322">
      <w:pPr>
        <w:spacing w:line="640" w:lineRule="exact"/>
        <w:ind w:firstLine="640"/>
        <w:jc w:val="both"/>
        <w:outlineLvl w:val="3"/>
      </w:pPr>
      <w:r>
        <w:rPr>
          <w:rFonts w:ascii="楷体_GB2312" w:hAnsi="楷体_GB2312" w:eastAsia="楷体_GB2312"/>
          <w:b/>
          <w:sz w:val="32"/>
        </w:rPr>
        <w:t>（三）一般公共预算财政拨款支出决算具体情况</w:t>
      </w:r>
    </w:p>
    <w:p w14:paraId="27C9AD0C">
      <w:pPr>
        <w:spacing w:line="580" w:lineRule="exact"/>
        <w:ind w:firstLine="640"/>
        <w:jc w:val="both"/>
      </w:pPr>
      <w:r>
        <w:rPr>
          <w:rFonts w:ascii="仿宋_GB2312" w:hAnsi="仿宋_GB2312" w:eastAsia="仿宋_GB2312"/>
          <w:b w:val="0"/>
          <w:sz w:val="32"/>
        </w:rPr>
        <w:t>1.一般公共服务支出(类)财政事务(款)行政运行(项):支出决算数为1076.49万元，比上年决算增加46.56万元，增长4.52%,主要原因是：本年在职人员工资调增，相关人员经费增加，办公费、差旅费等经费增加，导致相关支出增加。</w:t>
      </w:r>
    </w:p>
    <w:p w14:paraId="048874D9">
      <w:pPr>
        <w:spacing w:line="580" w:lineRule="exact"/>
        <w:ind w:firstLine="640"/>
        <w:jc w:val="both"/>
      </w:pPr>
      <w:r>
        <w:rPr>
          <w:rFonts w:ascii="仿宋_GB2312" w:hAnsi="仿宋_GB2312" w:eastAsia="仿宋_GB2312"/>
          <w:b w:val="0"/>
          <w:sz w:val="32"/>
        </w:rPr>
        <w:t>2.一般公共服务支出(类)财政事务(款)一般行政管理事务(项):支出决算数为220.29万元，比上年决算减少76.12万元，下降25.68%,主要原因是：本年减少巴州财政局各类专项工作经费、巴州财政系统政府购买服务项目经费。</w:t>
      </w:r>
    </w:p>
    <w:p w14:paraId="7FCAB31B">
      <w:pPr>
        <w:spacing w:line="580" w:lineRule="exact"/>
        <w:ind w:firstLine="640"/>
        <w:jc w:val="both"/>
      </w:pPr>
      <w:r>
        <w:rPr>
          <w:rFonts w:ascii="仿宋_GB2312" w:hAnsi="仿宋_GB2312" w:eastAsia="仿宋_GB2312"/>
          <w:b w:val="0"/>
          <w:sz w:val="32"/>
        </w:rPr>
        <w:t>3.一般公共服务支出(类)财政事务(款)预算改革业务(项):支出决算数为92.8万元，比上年决算增加29.00万元，增长45.45%,主要原因是：本年增加穿透式监测系统管理维护费。</w:t>
      </w:r>
    </w:p>
    <w:p w14:paraId="65CC6453">
      <w:pPr>
        <w:spacing w:line="580" w:lineRule="exact"/>
        <w:ind w:firstLine="640"/>
        <w:jc w:val="both"/>
      </w:pPr>
      <w:r>
        <w:rPr>
          <w:rFonts w:ascii="仿宋_GB2312" w:hAnsi="仿宋_GB2312" w:eastAsia="仿宋_GB2312"/>
          <w:b w:val="0"/>
          <w:sz w:val="32"/>
        </w:rPr>
        <w:t>4.一般公共服务支出(类)财政事务(款)财政国库业务(项):支出决算数为328.4万元，比上年决算增加198.95万元，增长153.69%,主要原因是：本年增加财政绩效及国库代理银行服务项目。</w:t>
      </w:r>
    </w:p>
    <w:p w14:paraId="4EFA6D91">
      <w:pPr>
        <w:spacing w:line="580" w:lineRule="exact"/>
        <w:ind w:firstLine="640"/>
        <w:jc w:val="both"/>
      </w:pPr>
      <w:r>
        <w:rPr>
          <w:rFonts w:ascii="仿宋_GB2312" w:hAnsi="仿宋_GB2312" w:eastAsia="仿宋_GB2312"/>
          <w:b w:val="0"/>
          <w:sz w:val="32"/>
        </w:rPr>
        <w:t>5.一般公共服务支出(类)财政事务(款)信息化建设(项):支出决算数为57.17万元，比上年决算减少98.74万元，下降63.33%,主要原因是：本年减少财政信息化运维项目。</w:t>
      </w:r>
    </w:p>
    <w:p w14:paraId="50E8A7FF">
      <w:pPr>
        <w:spacing w:line="580" w:lineRule="exact"/>
        <w:ind w:firstLine="640"/>
        <w:jc w:val="both"/>
      </w:pPr>
      <w:r>
        <w:rPr>
          <w:rFonts w:ascii="仿宋_GB2312" w:hAnsi="仿宋_GB2312" w:eastAsia="仿宋_GB2312"/>
          <w:b w:val="0"/>
          <w:sz w:val="32"/>
        </w:rPr>
        <w:t>6.一般公共服务支出(类)财政事务(款)事业运行(项):支出决算数为129.22万元，比上年决算减少87.43万元，下降40.36%,主要原因是：本年在职人员减少，相应人员经费减少。</w:t>
      </w:r>
    </w:p>
    <w:p w14:paraId="6E5828AB">
      <w:pPr>
        <w:spacing w:line="580" w:lineRule="exact"/>
        <w:ind w:firstLine="640"/>
        <w:jc w:val="both"/>
      </w:pPr>
      <w:r>
        <w:rPr>
          <w:rFonts w:ascii="仿宋_GB2312" w:hAnsi="仿宋_GB2312" w:eastAsia="仿宋_GB2312"/>
          <w:b w:val="0"/>
          <w:sz w:val="32"/>
        </w:rPr>
        <w:t>7.一般公共服务支出(类)财政事务(款)其他财政事务支出(项):支出决算数为0.00万元，比上年决算减少20.88万元，下降100.00%,主要原因是：本年减少全区会计专业技术资格考试考务工作经费、会计考试监考费。</w:t>
      </w:r>
    </w:p>
    <w:p w14:paraId="04337C58">
      <w:pPr>
        <w:spacing w:line="580" w:lineRule="exact"/>
        <w:ind w:firstLine="640"/>
        <w:jc w:val="both"/>
      </w:pPr>
      <w:r>
        <w:rPr>
          <w:rFonts w:ascii="仿宋_GB2312" w:hAnsi="仿宋_GB2312" w:eastAsia="仿宋_GB2312"/>
          <w:b w:val="0"/>
          <w:sz w:val="32"/>
        </w:rPr>
        <w:t>8.教育支出(类)进修及培训(款)培训支出(项):支出决算数为6万元，比上年决算增加5.29万元，增长745.07%,主要原因是：本年增加外出培训次数增加，故导致培训支出增加。</w:t>
      </w:r>
    </w:p>
    <w:p w14:paraId="7F3C2139">
      <w:pPr>
        <w:spacing w:line="580" w:lineRule="exact"/>
        <w:ind w:firstLine="640"/>
        <w:jc w:val="both"/>
      </w:pPr>
      <w:r>
        <w:rPr>
          <w:rFonts w:ascii="仿宋_GB2312" w:hAnsi="仿宋_GB2312" w:eastAsia="仿宋_GB2312"/>
          <w:b w:val="0"/>
          <w:sz w:val="32"/>
        </w:rPr>
        <w:t>9.社会保障和就业支出(类)行政事业单位养老支出(款)行政单位离退休(项):支出决算数为93.36万元，比上年决算增加20.53万元，增长28.19%,主要原因是：本年增加退休人员基础绩效奖，退休人员增加，退休费支出增加。</w:t>
      </w:r>
    </w:p>
    <w:p w14:paraId="69D46BE0">
      <w:pPr>
        <w:spacing w:line="580" w:lineRule="exact"/>
        <w:ind w:firstLine="640"/>
        <w:jc w:val="both"/>
      </w:pPr>
      <w:r>
        <w:rPr>
          <w:rFonts w:ascii="仿宋_GB2312" w:hAnsi="仿宋_GB2312" w:eastAsia="仿宋_GB2312"/>
          <w:b w:val="0"/>
          <w:sz w:val="32"/>
        </w:rPr>
        <w:t>10.社会保障和就业支出(类)行政事业单位养老支出(款)事业单位离退休(项):支出决算数为0.77万元，比上年决算增加0.45万元，增长140.62%,主要原因是：本年退休人员增加，退休费支出增加。</w:t>
      </w:r>
    </w:p>
    <w:p w14:paraId="62E175E1">
      <w:pPr>
        <w:spacing w:line="580" w:lineRule="exact"/>
        <w:ind w:firstLine="640"/>
        <w:jc w:val="both"/>
      </w:pPr>
      <w:r>
        <w:rPr>
          <w:rFonts w:ascii="仿宋_GB2312" w:hAnsi="仿宋_GB2312" w:eastAsia="仿宋_GB2312"/>
          <w:b w:val="0"/>
          <w:sz w:val="32"/>
        </w:rPr>
        <w:t>11.社会保障和就业支出(类)行政事业单位养老支出(款)机关事业单位基本养老保险缴费支出(项):支出决算数为148.48万元，比上年决算减少14.47万元，下降8.88%,主要原因是：本年在职人员减少，单位基本养老保险缴费较上年减少。</w:t>
      </w:r>
    </w:p>
    <w:p w14:paraId="49B180AD">
      <w:pPr>
        <w:spacing w:line="580" w:lineRule="exact"/>
        <w:ind w:firstLine="640"/>
        <w:jc w:val="both"/>
      </w:pPr>
      <w:r>
        <w:rPr>
          <w:rFonts w:ascii="仿宋_GB2312" w:hAnsi="仿宋_GB2312" w:eastAsia="仿宋_GB2312"/>
          <w:b w:val="0"/>
          <w:sz w:val="32"/>
        </w:rPr>
        <w:t>12.社会保障和就业支出(类)行政事业单位养老支出(款)机关事业单位职业年金缴费支出(项):支出决算数为64.83万元，比上年决算增加15.52万元，增长31.47%,主要原因是：本年新增退休人员，职业年金缴费支出增加。</w:t>
      </w:r>
    </w:p>
    <w:p w14:paraId="0F18BBDE">
      <w:pPr>
        <w:spacing w:line="580" w:lineRule="exact"/>
        <w:ind w:firstLine="640"/>
        <w:jc w:val="both"/>
      </w:pPr>
      <w:r>
        <w:rPr>
          <w:rFonts w:ascii="仿宋_GB2312" w:hAnsi="仿宋_GB2312" w:eastAsia="仿宋_GB2312"/>
          <w:b w:val="0"/>
          <w:sz w:val="32"/>
        </w:rPr>
        <w:t>13.社会保障和就业支出(类)抚恤(款)死亡抚恤(项):支出决算数为0.00万元，比上年决算减少23.51万元，下降100.00%,主要原因是：本年无新增死亡人员，死亡抚恤支出较上年减少。</w:t>
      </w:r>
    </w:p>
    <w:p w14:paraId="0B2B65F0">
      <w:pPr>
        <w:spacing w:line="580" w:lineRule="exact"/>
        <w:ind w:firstLine="640"/>
        <w:jc w:val="both"/>
      </w:pPr>
      <w:r>
        <w:rPr>
          <w:rFonts w:ascii="仿宋_GB2312" w:hAnsi="仿宋_GB2312" w:eastAsia="仿宋_GB2312"/>
          <w:b w:val="0"/>
          <w:sz w:val="32"/>
        </w:rPr>
        <w:t>14.卫生健康支出(类)行政事业单位医疗(款)行政单位医疗(项):支出决算数为54.56万元，比上年决算减少9.22万元，下降14.46%,主要原因是：本年在职人员减少，行政单位医疗支出较上年减少。</w:t>
      </w:r>
    </w:p>
    <w:p w14:paraId="467745DA">
      <w:pPr>
        <w:spacing w:line="580" w:lineRule="exact"/>
        <w:ind w:firstLine="640"/>
        <w:jc w:val="both"/>
      </w:pPr>
      <w:r>
        <w:rPr>
          <w:rFonts w:ascii="仿宋_GB2312" w:hAnsi="仿宋_GB2312" w:eastAsia="仿宋_GB2312"/>
          <w:b w:val="0"/>
          <w:sz w:val="32"/>
        </w:rPr>
        <w:t>15.卫生健康支出(类)行政事业单位医疗(款)事业单位医疗(项):支出决算数为11.94万元，比上年决算增加8.08万元，增长209.33%,主要原因是：本年在职人员工资基数调增，医疗缴费基数上涨，相应支出增加。</w:t>
      </w:r>
    </w:p>
    <w:p w14:paraId="3E84A270">
      <w:pPr>
        <w:spacing w:line="580" w:lineRule="exact"/>
        <w:ind w:firstLine="640"/>
        <w:jc w:val="both"/>
      </w:pPr>
      <w:r>
        <w:rPr>
          <w:rFonts w:ascii="仿宋_GB2312" w:hAnsi="仿宋_GB2312" w:eastAsia="仿宋_GB2312"/>
          <w:b w:val="0"/>
          <w:sz w:val="32"/>
        </w:rPr>
        <w:t>16.卫生健康支出(类)行政事业单位医疗(款)公务员医疗补助(项):支出决算数为22.3万元，比上年决算减少1.04万元，下降4.46%,主要原因是：本年在职人员减少，公务员医疗补助较上年减少。</w:t>
      </w:r>
    </w:p>
    <w:p w14:paraId="23848FAC">
      <w:pPr>
        <w:spacing w:line="580" w:lineRule="exact"/>
        <w:ind w:firstLine="640"/>
        <w:jc w:val="both"/>
      </w:pPr>
      <w:r>
        <w:rPr>
          <w:rFonts w:ascii="仿宋_GB2312" w:hAnsi="仿宋_GB2312" w:eastAsia="仿宋_GB2312"/>
          <w:b w:val="0"/>
          <w:sz w:val="32"/>
        </w:rPr>
        <w:t>17.卫生健康支出(类)行政事业单位医疗(款)其他行政事业单位医疗支出(项):支出决算数为2.34万元，比上年决算减少1.87万元，下降44.42%,主要原因是：本年在职人员减少，其他行政事业单位医疗支出较上年减少。</w:t>
      </w:r>
    </w:p>
    <w:p w14:paraId="5ED6E06C">
      <w:pPr>
        <w:spacing w:line="580" w:lineRule="exact"/>
        <w:ind w:firstLine="640"/>
        <w:jc w:val="both"/>
      </w:pPr>
      <w:r>
        <w:rPr>
          <w:rFonts w:ascii="仿宋_GB2312" w:hAnsi="仿宋_GB2312" w:eastAsia="仿宋_GB2312"/>
          <w:b w:val="0"/>
          <w:sz w:val="32"/>
        </w:rPr>
        <w:t>18.住房保障支出(类)住房改革支出(款)住房公积金(项):支出决算数为117.82万元，比上年决算增加9.44万元，增长8.71%,主要原因是：本年在职人员工资基数调增，公积金缴费基数上涨，相应支出增加。</w:t>
      </w:r>
    </w:p>
    <w:p w14:paraId="0217ED6F">
      <w:pPr>
        <w:spacing w:line="640" w:lineRule="exact"/>
        <w:ind w:firstLine="640"/>
        <w:jc w:val="both"/>
        <w:outlineLvl w:val="2"/>
      </w:pPr>
      <w:r>
        <w:rPr>
          <w:rFonts w:ascii="黑体" w:hAnsi="黑体" w:eastAsia="黑体"/>
          <w:sz w:val="32"/>
        </w:rPr>
        <w:t>六、一般公共预算财政拨款基本支出决算情况说明</w:t>
      </w:r>
    </w:p>
    <w:p w14:paraId="6A4BF8F8">
      <w:pPr>
        <w:spacing w:line="580" w:lineRule="exact"/>
        <w:ind w:firstLine="640"/>
        <w:jc w:val="both"/>
      </w:pPr>
      <w:r>
        <w:rPr>
          <w:rFonts w:ascii="仿宋_GB2312" w:hAnsi="仿宋_GB2312" w:eastAsia="仿宋_GB2312"/>
          <w:b w:val="0"/>
          <w:sz w:val="32"/>
        </w:rPr>
        <w:t>2024年度一般公共预算财政拨款基本支出1,728.12万元，其中：</w:t>
      </w:r>
      <w:r>
        <w:rPr>
          <w:rFonts w:ascii="仿宋_GB2312" w:hAnsi="仿宋_GB2312" w:eastAsia="仿宋_GB2312"/>
          <w:b/>
          <w:sz w:val="32"/>
        </w:rPr>
        <w:t>人员经费1,614.93万元，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退休费、生活补助、奖励金。</w:t>
      </w:r>
    </w:p>
    <w:p w14:paraId="456E2289">
      <w:pPr>
        <w:spacing w:line="580" w:lineRule="exact"/>
        <w:ind w:firstLine="640"/>
        <w:jc w:val="both"/>
      </w:pPr>
      <w:r>
        <w:rPr>
          <w:rFonts w:ascii="仿宋_GB2312" w:hAnsi="仿宋_GB2312" w:eastAsia="仿宋_GB2312"/>
          <w:b/>
          <w:sz w:val="32"/>
        </w:rPr>
        <w:t>公用经费113.19万元，</w:t>
      </w:r>
      <w:r>
        <w:rPr>
          <w:rFonts w:ascii="仿宋_GB2312" w:hAnsi="仿宋_GB2312" w:eastAsia="仿宋_GB2312"/>
          <w:b w:val="0"/>
          <w:sz w:val="32"/>
        </w:rPr>
        <w:t>包括：办公费、印刷费、电费、邮电费、取暖费、物业管理费、差旅费、维修（护）费、租赁费、培训费、劳务费、工会经费、福利费、公务用车运行维护费、其他交通费用、其他商品和服务支出。</w:t>
      </w:r>
    </w:p>
    <w:p w14:paraId="731EB37D">
      <w:pPr>
        <w:spacing w:line="640" w:lineRule="exact"/>
        <w:ind w:firstLine="640"/>
        <w:jc w:val="both"/>
        <w:outlineLvl w:val="2"/>
      </w:pPr>
      <w:r>
        <w:rPr>
          <w:rFonts w:ascii="黑体" w:hAnsi="黑体" w:eastAsia="黑体"/>
          <w:sz w:val="32"/>
        </w:rPr>
        <w:t>七、政府性基金预算财政拨款收入支出决算情况说明</w:t>
      </w:r>
    </w:p>
    <w:p w14:paraId="6BE130E9">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6AD3C72A">
      <w:pPr>
        <w:spacing w:line="640" w:lineRule="exact"/>
        <w:ind w:firstLine="640"/>
        <w:jc w:val="both"/>
        <w:outlineLvl w:val="2"/>
      </w:pPr>
      <w:r>
        <w:rPr>
          <w:rFonts w:ascii="黑体" w:hAnsi="黑体" w:eastAsia="黑体"/>
          <w:sz w:val="32"/>
        </w:rPr>
        <w:t>八、国有资本经营预算财政拨款收入支出决算情况说明</w:t>
      </w:r>
    </w:p>
    <w:p w14:paraId="38289CEC">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6D0DA4E6">
      <w:pPr>
        <w:spacing w:line="640" w:lineRule="exact"/>
        <w:ind w:firstLine="640"/>
        <w:jc w:val="both"/>
        <w:outlineLvl w:val="2"/>
      </w:pPr>
      <w:r>
        <w:rPr>
          <w:rFonts w:ascii="黑体" w:hAnsi="黑体" w:eastAsia="黑体"/>
          <w:sz w:val="32"/>
        </w:rPr>
        <w:t>九、财政拨款“三公”经费支出决算情况说明</w:t>
      </w:r>
    </w:p>
    <w:p w14:paraId="2ECA70AA">
      <w:pPr>
        <w:spacing w:line="580" w:lineRule="exact"/>
        <w:ind w:firstLine="640"/>
        <w:jc w:val="both"/>
      </w:pPr>
      <w:r>
        <w:rPr>
          <w:rFonts w:ascii="仿宋_GB2312" w:hAnsi="仿宋_GB2312" w:eastAsia="仿宋_GB2312"/>
          <w:b/>
          <w:sz w:val="32"/>
        </w:rPr>
        <w:t>2024年度财政拨款“三公”经费支出5.39万元，</w:t>
      </w:r>
      <w:r>
        <w:rPr>
          <w:rFonts w:ascii="仿宋_GB2312" w:hAnsi="仿宋_GB2312" w:eastAsia="仿宋_GB2312"/>
          <w:b w:val="0"/>
          <w:sz w:val="32"/>
        </w:rPr>
        <w:t>比上年减少0.80万元，下降12.90%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5.30万元，占98.33%，比上年减少0.90万元，下降14.52%，主要原因是：严格落实中央八项规定精神，厉行节约，减少公务用车运行维护费。公务接待费支出0.10万元，占1.86%，比上年增加0.10万元，增长100.00%，主要原因是：本年因业务需求，增加公务接待工作，导致公务接待费较上年增加。</w:t>
      </w:r>
    </w:p>
    <w:p w14:paraId="31B81FC8">
      <w:pPr>
        <w:spacing w:line="580" w:lineRule="exact"/>
        <w:ind w:firstLine="640"/>
        <w:jc w:val="both"/>
      </w:pPr>
      <w:r>
        <w:rPr>
          <w:rFonts w:ascii="仿宋_GB2312" w:hAnsi="仿宋_GB2312" w:eastAsia="仿宋_GB2312"/>
          <w:b/>
          <w:sz w:val="32"/>
        </w:rPr>
        <w:t>具体情况如下：</w:t>
      </w:r>
    </w:p>
    <w:p w14:paraId="3BE4AE87">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32A51766">
      <w:pPr>
        <w:spacing w:line="580" w:lineRule="exact"/>
        <w:ind w:firstLine="640"/>
        <w:jc w:val="both"/>
      </w:pPr>
      <w:r>
        <w:rPr>
          <w:rFonts w:ascii="仿宋_GB2312" w:hAnsi="仿宋_GB2312" w:eastAsia="仿宋_GB2312"/>
          <w:b w:val="0"/>
          <w:sz w:val="32"/>
        </w:rPr>
        <w:t>公务用车购置及运行维护费5.30万元，其中：公务用车购置费0.00万元，公务用车运行维护费5.30万元。公务用车运行维护费开支内容包括公务车辆加油费、维修费、保险费、审车费、过路费。公务用车购置数0辆，公务用车保有量4辆。国有资产占用情况中固定资产车辆4辆，与公务用车保有量差异原因是：本部门固定资产车辆与公务用车保有量一致无差异。</w:t>
      </w:r>
    </w:p>
    <w:p w14:paraId="1716E8ED">
      <w:pPr>
        <w:spacing w:line="580" w:lineRule="exact"/>
        <w:ind w:firstLine="640"/>
        <w:jc w:val="both"/>
      </w:pPr>
      <w:r>
        <w:rPr>
          <w:rFonts w:ascii="仿宋_GB2312" w:hAnsi="仿宋_GB2312" w:eastAsia="仿宋_GB2312"/>
          <w:b w:val="0"/>
          <w:sz w:val="32"/>
        </w:rPr>
        <w:t>公务接待费0.10万元，开支内容包括因自治区成立70周年庆活动，接待上级领导产生的就餐费。部门全年安排的国内公务接待2批次，8人次。</w:t>
      </w:r>
    </w:p>
    <w:p w14:paraId="7F915ED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5.39万元，决算数5.39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5.30万元，决算数5.30万元，预决算差异率0.00%，主要原因是：严格按照预算执行，预决算无差异。公务接待费全年预算数0.10万元，决算数0.10万元，预决算差异率0.00%，主要原因是：严格按照预算执行，预决算无差异。</w:t>
      </w:r>
    </w:p>
    <w:p w14:paraId="1A807075">
      <w:pPr>
        <w:spacing w:line="640" w:lineRule="exact"/>
        <w:ind w:firstLine="640"/>
        <w:jc w:val="both"/>
        <w:outlineLvl w:val="2"/>
      </w:pPr>
      <w:r>
        <w:rPr>
          <w:rFonts w:ascii="黑体" w:hAnsi="黑体" w:eastAsia="黑体"/>
          <w:sz w:val="32"/>
        </w:rPr>
        <w:t>十、其他重要事项的情况说明</w:t>
      </w:r>
    </w:p>
    <w:p w14:paraId="0005AF30">
      <w:pPr>
        <w:spacing w:line="640" w:lineRule="exact"/>
        <w:ind w:firstLine="640"/>
        <w:jc w:val="both"/>
        <w:outlineLvl w:val="3"/>
      </w:pPr>
      <w:r>
        <w:rPr>
          <w:rFonts w:ascii="楷体_GB2312" w:hAnsi="楷体_GB2312" w:eastAsia="楷体_GB2312"/>
          <w:b/>
          <w:sz w:val="32"/>
        </w:rPr>
        <w:t>（一）机关运行经费及公用经费支出情况</w:t>
      </w:r>
    </w:p>
    <w:p w14:paraId="1A7002C3">
      <w:pPr>
        <w:spacing w:line="580" w:lineRule="exact"/>
        <w:ind w:firstLine="640"/>
        <w:jc w:val="both"/>
      </w:pPr>
      <w:r>
        <w:rPr>
          <w:rFonts w:ascii="仿宋_GB2312" w:hAnsi="仿宋_GB2312" w:eastAsia="仿宋_GB2312"/>
          <w:b w:val="0"/>
          <w:sz w:val="32"/>
        </w:rPr>
        <w:t>2024年度新疆巴音郭楞蒙古自治州财政局（行政单位和参照公务员法管理事业单位）机关运行经费支出113.19万元，比上年增加35.38万元，增长45.47%，主要原因是：本年因业务需要，增加差旅费、培训费等经费，导致机关运行经费支出较上年增加。</w:t>
      </w:r>
    </w:p>
    <w:p w14:paraId="607E3633">
      <w:pPr>
        <w:spacing w:line="640" w:lineRule="exact"/>
        <w:ind w:firstLine="640"/>
        <w:jc w:val="both"/>
        <w:outlineLvl w:val="3"/>
      </w:pPr>
      <w:r>
        <w:rPr>
          <w:rFonts w:ascii="楷体_GB2312" w:hAnsi="楷体_GB2312" w:eastAsia="楷体_GB2312"/>
          <w:b/>
          <w:sz w:val="32"/>
        </w:rPr>
        <w:t>（二）政府采购情况</w:t>
      </w:r>
    </w:p>
    <w:p w14:paraId="40C7B2F7">
      <w:pPr>
        <w:spacing w:line="580" w:lineRule="exact"/>
        <w:ind w:firstLine="640"/>
        <w:jc w:val="both"/>
      </w:pPr>
      <w:r>
        <w:rPr>
          <w:rFonts w:ascii="仿宋_GB2312" w:hAnsi="仿宋_GB2312" w:eastAsia="仿宋_GB2312"/>
          <w:b w:val="0"/>
          <w:sz w:val="32"/>
        </w:rPr>
        <w:t>2024年度政府采购支出总额229.56万元，其中：政府采购货物支出24.18万元、政府采购工程支出4.49万元、政府采购服务支出200.89万元。</w:t>
      </w:r>
    </w:p>
    <w:p w14:paraId="7B975795">
      <w:pPr>
        <w:spacing w:line="580" w:lineRule="exact"/>
        <w:ind w:firstLine="640"/>
        <w:jc w:val="both"/>
      </w:pPr>
      <w:r>
        <w:rPr>
          <w:rFonts w:ascii="仿宋_GB2312" w:hAnsi="仿宋_GB2312" w:eastAsia="仿宋_GB2312"/>
          <w:b w:val="0"/>
          <w:sz w:val="32"/>
        </w:rPr>
        <w:t>授予中小企业合同金额152.59万元，占政府采购支出总额的66.47%，其中：授予小微企业合同金额151.56万元，占政府采购支出总额的66.02%。</w:t>
      </w:r>
    </w:p>
    <w:p w14:paraId="0BC3F383">
      <w:pPr>
        <w:spacing w:line="640" w:lineRule="exact"/>
        <w:ind w:firstLine="640"/>
        <w:jc w:val="both"/>
        <w:outlineLvl w:val="3"/>
      </w:pPr>
      <w:r>
        <w:rPr>
          <w:rFonts w:ascii="楷体_GB2312" w:hAnsi="楷体_GB2312" w:eastAsia="楷体_GB2312"/>
          <w:b/>
          <w:sz w:val="32"/>
        </w:rPr>
        <w:t>（三）国有资产占用情况说明</w:t>
      </w:r>
    </w:p>
    <w:p w14:paraId="51A8A2E1">
      <w:pPr>
        <w:spacing w:line="580" w:lineRule="exact"/>
        <w:ind w:firstLine="640"/>
        <w:jc w:val="both"/>
      </w:pPr>
      <w:r>
        <w:rPr>
          <w:rFonts w:ascii="仿宋_GB2312" w:hAnsi="仿宋_GB2312" w:eastAsia="仿宋_GB2312"/>
          <w:b w:val="0"/>
          <w:sz w:val="32"/>
        </w:rPr>
        <w:t>截至2024年12月31日，房屋7,220.61平方米，价值957.48万元。车辆4辆，价值149.30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3台（套）。</w:t>
      </w:r>
    </w:p>
    <w:p w14:paraId="7C52A959">
      <w:pPr>
        <w:spacing w:line="640" w:lineRule="exact"/>
        <w:ind w:firstLine="640"/>
        <w:jc w:val="both"/>
        <w:outlineLvl w:val="2"/>
      </w:pPr>
      <w:r>
        <w:rPr>
          <w:rFonts w:ascii="黑体" w:hAnsi="黑体" w:eastAsia="黑体"/>
          <w:sz w:val="32"/>
        </w:rPr>
        <w:t>十一、预算绩效的情况说明</w:t>
      </w:r>
    </w:p>
    <w:p w14:paraId="03A9C747">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2,441.18万元，实际执行总额2,428.88万元；预算绩效评价项目4个，全年预算数703.84万元，全年执行数698.66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部门整体支出绩效自评表，项目支出绩效自评表和部门评价报告。</w:t>
      </w:r>
    </w:p>
    <w:p w14:paraId="334A925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422"/>
        <w:gridCol w:w="683"/>
        <w:gridCol w:w="1105"/>
        <w:gridCol w:w="1105"/>
        <w:gridCol w:w="1105"/>
      </w:tblGrid>
      <w:tr w14:paraId="6940B3C7">
        <w:tblPrEx>
          <w:tblCellMar>
            <w:top w:w="0" w:type="dxa"/>
            <w:left w:w="108" w:type="dxa"/>
            <w:bottom w:w="0" w:type="dxa"/>
            <w:right w:w="108" w:type="dxa"/>
          </w:tblCellMar>
        </w:tblPrEx>
        <w:tc>
          <w:tcPr>
            <w:tcW w:w="8840" w:type="dxa"/>
            <w:gridSpan w:val="9"/>
            <w:vAlign w:val="center"/>
          </w:tcPr>
          <w:p w14:paraId="7AE2C951">
            <w:pPr>
              <w:jc w:val="center"/>
            </w:pPr>
            <w:r>
              <w:rPr>
                <w:rFonts w:ascii="宋体" w:hAnsi="宋体" w:eastAsia="宋体"/>
                <w:sz w:val="24"/>
              </w:rPr>
              <w:t>部门整体支出绩效自评表</w:t>
            </w:r>
          </w:p>
        </w:tc>
      </w:tr>
      <w:tr w14:paraId="204A5711">
        <w:tblPrEx>
          <w:tblCellMar>
            <w:top w:w="0" w:type="dxa"/>
            <w:left w:w="108" w:type="dxa"/>
            <w:bottom w:w="0" w:type="dxa"/>
            <w:right w:w="108" w:type="dxa"/>
          </w:tblCellMar>
        </w:tblPrEx>
        <w:tc>
          <w:tcPr>
            <w:tcW w:w="8840" w:type="dxa"/>
            <w:gridSpan w:val="9"/>
            <w:vAlign w:val="center"/>
          </w:tcPr>
          <w:p w14:paraId="003BF997">
            <w:pPr>
              <w:jc w:val="center"/>
            </w:pPr>
            <w:r>
              <w:rPr>
                <w:rFonts w:ascii="宋体" w:hAnsi="宋体" w:eastAsia="宋体"/>
                <w:sz w:val="24"/>
              </w:rPr>
              <w:t>（2024年度）</w:t>
            </w:r>
          </w:p>
        </w:tc>
      </w:tr>
      <w:tr w14:paraId="2ECADF4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61572D">
            <w:pPr>
              <w:jc w:val="center"/>
            </w:pPr>
            <w:r>
              <w:rPr>
                <w:rFonts w:ascii="宋体" w:hAnsi="宋体" w:eastAsia="宋体"/>
                <w:sz w:val="16"/>
              </w:rPr>
              <w:t>部门名称</w:t>
            </w:r>
          </w:p>
        </w:tc>
        <w:tc>
          <w:tcPr>
            <w:tcW w:w="773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9F5670D">
            <w:pPr>
              <w:jc w:val="center"/>
            </w:pPr>
            <w:r>
              <w:rPr>
                <w:rFonts w:ascii="宋体" w:hAnsi="宋体" w:eastAsia="宋体"/>
                <w:sz w:val="16"/>
              </w:rPr>
              <w:t>新疆巴音郭楞蒙古自治州财政局</w:t>
            </w:r>
          </w:p>
        </w:tc>
      </w:tr>
      <w:tr w14:paraId="77CF51A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D4D87">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DEA59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C7A86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1A40E6">
            <w:pPr>
              <w:jc w:val="center"/>
            </w:pPr>
            <w:r>
              <w:rPr>
                <w:rFonts w:ascii="宋体" w:hAnsi="宋体" w:eastAsia="宋体"/>
                <w:sz w:val="16"/>
              </w:rPr>
              <w:t>全年预算数</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CC4DB">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557FD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CC80F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D62B4B">
            <w:pPr>
              <w:jc w:val="center"/>
            </w:pPr>
            <w:r>
              <w:rPr>
                <w:rFonts w:ascii="宋体" w:hAnsi="宋体" w:eastAsia="宋体"/>
                <w:sz w:val="16"/>
              </w:rPr>
              <w:t>得分</w:t>
            </w:r>
          </w:p>
        </w:tc>
      </w:tr>
      <w:tr w14:paraId="766F84F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65113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66FE66">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26DD4B">
            <w:pPr>
              <w:jc w:val="center"/>
            </w:pPr>
            <w:r>
              <w:rPr>
                <w:rFonts w:ascii="宋体" w:hAnsi="宋体" w:eastAsia="宋体"/>
                <w:sz w:val="16"/>
              </w:rPr>
              <w:t>2,452.21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F5C08E">
            <w:pPr>
              <w:jc w:val="center"/>
            </w:pPr>
            <w:r>
              <w:rPr>
                <w:rFonts w:ascii="宋体" w:hAnsi="宋体" w:eastAsia="宋体"/>
                <w:sz w:val="16"/>
              </w:rPr>
              <w:t>2,441.18</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5C976">
            <w:pPr>
              <w:jc w:val="center"/>
            </w:pPr>
            <w:r>
              <w:rPr>
                <w:rFonts w:ascii="宋体" w:hAnsi="宋体" w:eastAsia="宋体"/>
                <w:sz w:val="16"/>
              </w:rPr>
              <w:t>2,428.88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6097F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6E71CB">
            <w:pPr>
              <w:jc w:val="center"/>
            </w:pPr>
            <w:r>
              <w:rPr>
                <w:rFonts w:ascii="宋体" w:hAnsi="宋体" w:eastAsia="宋体"/>
                <w:sz w:val="16"/>
              </w:rPr>
              <w:t>99.5%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C07619">
            <w:pPr>
              <w:jc w:val="center"/>
            </w:pPr>
            <w:r>
              <w:rPr>
                <w:rFonts w:ascii="宋体" w:hAnsi="宋体" w:eastAsia="宋体"/>
                <w:sz w:val="16"/>
              </w:rPr>
              <w:t>9.5</w:t>
            </w:r>
          </w:p>
        </w:tc>
      </w:tr>
      <w:tr w14:paraId="38678F5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6F6BB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114739">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75B06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F62EB8">
            <w:pPr>
              <w:jc w:val="center"/>
            </w:pPr>
            <w:r>
              <w:rPr>
                <w:rFonts w:ascii="宋体" w:hAnsi="宋体" w:eastAsia="宋体"/>
                <w:sz w:val="16"/>
              </w:rPr>
              <w:t>0.00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DEA2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AED76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ED5F9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B46B1F">
            <w:pPr>
              <w:jc w:val="center"/>
            </w:pPr>
            <w:r>
              <w:rPr>
                <w:rFonts w:ascii="宋体" w:hAnsi="宋体" w:eastAsia="宋体"/>
                <w:sz w:val="16"/>
              </w:rPr>
              <w:t>-</w:t>
            </w:r>
          </w:p>
        </w:tc>
      </w:tr>
      <w:tr w14:paraId="092AAF8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92058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14200B">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42541D">
            <w:pPr>
              <w:jc w:val="center"/>
            </w:pPr>
            <w:r>
              <w:rPr>
                <w:rFonts w:ascii="宋体" w:hAnsi="宋体" w:eastAsia="宋体"/>
                <w:sz w:val="16"/>
              </w:rPr>
              <w:t>2,452.21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C77016">
            <w:pPr>
              <w:jc w:val="center"/>
            </w:pPr>
            <w:r>
              <w:rPr>
                <w:rFonts w:ascii="宋体" w:hAnsi="宋体" w:eastAsia="宋体"/>
                <w:sz w:val="16"/>
              </w:rPr>
              <w:t>2,441.18</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72DBB">
            <w:pPr>
              <w:jc w:val="center"/>
            </w:pPr>
            <w:r>
              <w:rPr>
                <w:rFonts w:ascii="宋体" w:hAnsi="宋体" w:eastAsia="宋体"/>
                <w:sz w:val="16"/>
              </w:rPr>
              <w:t>2,428.88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3246F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7A8EB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4A2752">
            <w:pPr>
              <w:jc w:val="center"/>
            </w:pPr>
            <w:r>
              <w:rPr>
                <w:rFonts w:ascii="宋体" w:hAnsi="宋体" w:eastAsia="宋体"/>
                <w:sz w:val="16"/>
              </w:rPr>
              <w:t>-</w:t>
            </w:r>
          </w:p>
        </w:tc>
      </w:tr>
      <w:tr w14:paraId="2090725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3D5E7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655EF6">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F7091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238603">
            <w:pPr>
              <w:jc w:val="center"/>
            </w:pPr>
            <w:r>
              <w:rPr>
                <w:rFonts w:ascii="宋体" w:hAnsi="宋体" w:eastAsia="宋体"/>
                <w:sz w:val="16"/>
              </w:rPr>
              <w:t>0.00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27EF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B5363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84227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4E81B2">
            <w:pPr>
              <w:jc w:val="center"/>
            </w:pPr>
            <w:r>
              <w:rPr>
                <w:rFonts w:ascii="宋体" w:hAnsi="宋体" w:eastAsia="宋体"/>
                <w:sz w:val="16"/>
              </w:rPr>
              <w:t>-</w:t>
            </w:r>
          </w:p>
        </w:tc>
      </w:tr>
      <w:tr w14:paraId="498F108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8B795">
            <w:pPr>
              <w:jc w:val="center"/>
            </w:pPr>
            <w:r>
              <w:rPr>
                <w:rFonts w:ascii="宋体" w:hAnsi="宋体" w:eastAsia="宋体"/>
                <w:sz w:val="16"/>
              </w:rPr>
              <w:t>年度总体目标</w:t>
            </w:r>
          </w:p>
        </w:tc>
        <w:tc>
          <w:tcPr>
            <w:tcW w:w="373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7A157A">
            <w:pPr>
              <w:jc w:val="center"/>
            </w:pPr>
            <w:r>
              <w:rPr>
                <w:rFonts w:ascii="宋体" w:hAnsi="宋体" w:eastAsia="宋体"/>
                <w:sz w:val="16"/>
              </w:rPr>
              <w:t>预期目标</w:t>
            </w:r>
          </w:p>
        </w:tc>
        <w:tc>
          <w:tcPr>
            <w:tcW w:w="399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37A04D">
            <w:pPr>
              <w:jc w:val="center"/>
            </w:pPr>
            <w:r>
              <w:rPr>
                <w:rFonts w:ascii="宋体" w:hAnsi="宋体" w:eastAsia="宋体"/>
                <w:sz w:val="16"/>
              </w:rPr>
              <w:t>实际完成情况</w:t>
            </w:r>
          </w:p>
        </w:tc>
      </w:tr>
      <w:tr w14:paraId="0AAB5AA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3C804C"/>
        </w:tc>
        <w:tc>
          <w:tcPr>
            <w:tcW w:w="373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83D892">
            <w:pPr>
              <w:jc w:val="both"/>
            </w:pPr>
            <w:r>
              <w:rPr>
                <w:rFonts w:ascii="宋体" w:hAnsi="宋体" w:eastAsia="宋体"/>
                <w:sz w:val="16"/>
              </w:rPr>
              <w:t>贯彻执行国家财政、税收、国有资产管理的法规、制度和方针、政策；编制自治州本级预决算，代编全州预决算草案并组织执行；审查、编制、批复部门预算；落实积极财政政策，加快中央转移支付下达，优化支出结构，强化预决算公开，提升预算绩效管理水平，提高财政资源配置效率和资金使用效益，推进巴州经济社会高质量发展。承担自治州会计专业技术资格管理工作，积极服务广大考生，确保考试考务工作安全、平稳进行，顺利完成会计专业技术资格无纸化考试任务。</w:t>
            </w:r>
          </w:p>
        </w:tc>
        <w:tc>
          <w:tcPr>
            <w:tcW w:w="399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33F241">
            <w:pPr>
              <w:jc w:val="both"/>
            </w:pPr>
            <w:r>
              <w:rPr>
                <w:rFonts w:ascii="宋体" w:hAnsi="宋体" w:eastAsia="宋体"/>
                <w:sz w:val="16"/>
              </w:rPr>
              <w:t>贯彻执行国家财政、税收、国有资产管理的法规、制度和方针、政策；已完成编制自治州本级单位的预决算，并在巴州人民政府网站公开；落实积极财政政策，加快中央转移支付下达30日内完成；已完成自治州会计专业技术资格管理工作，积极服务广大考生，确保2次考试考务工作安全、平稳进行，顺利完成会计专业技术资格无纸化考试任务；确保财政运行平稳可持续，为推进自治州经济社会高质量发展作出积极贡献。</w:t>
            </w:r>
          </w:p>
        </w:tc>
      </w:tr>
      <w:tr w14:paraId="293EB25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C57C3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AEE44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0EE1DF">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989C49">
            <w:pPr>
              <w:jc w:val="center"/>
            </w:pPr>
            <w:r>
              <w:rPr>
                <w:rFonts w:ascii="宋体" w:hAnsi="宋体" w:eastAsia="宋体"/>
                <w:sz w:val="16"/>
              </w:rPr>
              <w:t>预期指标值</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506E9">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D7021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7875A8">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8BE237">
            <w:pPr>
              <w:jc w:val="center"/>
            </w:pPr>
            <w:r>
              <w:rPr>
                <w:rFonts w:ascii="宋体" w:hAnsi="宋体" w:eastAsia="宋体"/>
                <w:sz w:val="16"/>
              </w:rPr>
              <w:t>得分</w:t>
            </w:r>
          </w:p>
        </w:tc>
      </w:tr>
      <w:tr w14:paraId="6523FF2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985AA">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1D6F88">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148653">
            <w:pPr>
              <w:jc w:val="center"/>
            </w:pPr>
            <w:r>
              <w:rPr>
                <w:rFonts w:ascii="宋体" w:hAnsi="宋体" w:eastAsia="宋体"/>
                <w:sz w:val="16"/>
              </w:rPr>
              <w:t>本级部门预决算全面公开数量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35EACD">
            <w:pPr>
              <w:jc w:val="center"/>
            </w:pPr>
            <w:r>
              <w:rPr>
                <w:rFonts w:ascii="宋体" w:hAnsi="宋体" w:eastAsia="宋体"/>
                <w:sz w:val="16"/>
              </w:rPr>
              <w:t>=84家</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3B604">
            <w:pPr>
              <w:jc w:val="center"/>
            </w:pPr>
            <w:r>
              <w:rPr>
                <w:rFonts w:ascii="宋体" w:hAnsi="宋体" w:eastAsia="宋体"/>
                <w:sz w:val="16"/>
              </w:rPr>
              <w:t>中华人民共和国预算法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B9CFE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E7B046">
            <w:pPr>
              <w:jc w:val="center"/>
            </w:pPr>
            <w:r>
              <w:rPr>
                <w:rFonts w:ascii="宋体" w:hAnsi="宋体" w:eastAsia="宋体"/>
                <w:sz w:val="16"/>
              </w:rPr>
              <w:t>81家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7BBF10">
            <w:pPr>
              <w:jc w:val="center"/>
            </w:pPr>
            <w:r>
              <w:rPr>
                <w:rFonts w:ascii="宋体" w:hAnsi="宋体" w:eastAsia="宋体"/>
                <w:sz w:val="16"/>
              </w:rPr>
              <w:t>14.46</w:t>
            </w:r>
          </w:p>
        </w:tc>
      </w:tr>
      <w:tr w14:paraId="68624ED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02DFB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5BFFD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468E99">
            <w:pPr>
              <w:jc w:val="center"/>
            </w:pPr>
            <w:r>
              <w:rPr>
                <w:rFonts w:ascii="宋体" w:hAnsi="宋体" w:eastAsia="宋体"/>
                <w:sz w:val="16"/>
              </w:rPr>
              <w:t>中央转移支付</w:t>
            </w:r>
            <w:r>
              <w:rPr>
                <w:rFonts w:hint="eastAsia" w:ascii="宋体" w:hAnsi="宋体"/>
                <w:sz w:val="16"/>
                <w:lang w:eastAsia="zh-CN"/>
              </w:rPr>
              <w:t>30</w:t>
            </w:r>
            <w:r>
              <w:rPr>
                <w:rFonts w:ascii="宋体" w:hAnsi="宋体" w:eastAsia="宋体"/>
                <w:sz w:val="16"/>
              </w:rPr>
              <w:t>日内下达率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0D515E">
            <w:pPr>
              <w:jc w:val="center"/>
            </w:pPr>
            <w:r>
              <w:rPr>
                <w:rFonts w:ascii="宋体" w:hAnsi="宋体" w:eastAsia="宋体"/>
                <w:sz w:val="16"/>
              </w:rPr>
              <w:t>=100%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2783B">
            <w:pPr>
              <w:jc w:val="center"/>
            </w:pPr>
            <w:r>
              <w:rPr>
                <w:rFonts w:ascii="宋体" w:hAnsi="宋体" w:eastAsia="宋体"/>
                <w:sz w:val="16"/>
              </w:rPr>
              <w:t>中央对地方专项转移支付管理办法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5E5FF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3A3EB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482A89">
            <w:pPr>
              <w:jc w:val="center"/>
            </w:pPr>
            <w:r>
              <w:rPr>
                <w:rFonts w:ascii="宋体" w:hAnsi="宋体" w:eastAsia="宋体"/>
                <w:sz w:val="16"/>
              </w:rPr>
              <w:t>15</w:t>
            </w:r>
          </w:p>
        </w:tc>
      </w:tr>
      <w:tr w14:paraId="0D82672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56869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E9980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A0C590">
            <w:pPr>
              <w:jc w:val="center"/>
            </w:pPr>
            <w:r>
              <w:rPr>
                <w:rFonts w:ascii="宋体" w:hAnsi="宋体" w:eastAsia="宋体"/>
                <w:sz w:val="16"/>
              </w:rPr>
              <w:t>会计专业技术资格无纸化考试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B25AA6">
            <w:pPr>
              <w:jc w:val="center"/>
            </w:pPr>
            <w:r>
              <w:rPr>
                <w:rFonts w:ascii="宋体" w:hAnsi="宋体" w:eastAsia="宋体"/>
                <w:sz w:val="16"/>
              </w:rPr>
              <w:t>=2次</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13922">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C282D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59D5F">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B563B1">
            <w:pPr>
              <w:jc w:val="center"/>
            </w:pPr>
            <w:r>
              <w:rPr>
                <w:rFonts w:ascii="宋体" w:hAnsi="宋体" w:eastAsia="宋体"/>
                <w:sz w:val="16"/>
              </w:rPr>
              <w:t>15</w:t>
            </w:r>
          </w:p>
        </w:tc>
      </w:tr>
      <w:tr w14:paraId="6F9261B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DA82D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C5B70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61612">
            <w:pPr>
              <w:jc w:val="center"/>
            </w:pPr>
            <w:r>
              <w:rPr>
                <w:rFonts w:ascii="宋体" w:hAnsi="宋体" w:eastAsia="宋体"/>
                <w:sz w:val="16"/>
              </w:rPr>
              <w:t>一般公共预算收入增长</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2ED85A">
            <w:pPr>
              <w:jc w:val="center"/>
            </w:pPr>
            <w:r>
              <w:rPr>
                <w:rFonts w:ascii="宋体" w:hAnsi="宋体" w:eastAsia="宋体"/>
                <w:sz w:val="16"/>
              </w:rPr>
              <w:t>=10%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07984">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DB02B2">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2C063D">
            <w:pPr>
              <w:jc w:val="center"/>
            </w:pPr>
            <w:r>
              <w:rPr>
                <w:rFonts w:ascii="宋体" w:hAnsi="宋体" w:eastAsia="宋体"/>
                <w:sz w:val="16"/>
              </w:rPr>
              <w:t>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64C717">
            <w:pPr>
              <w:jc w:val="center"/>
            </w:pPr>
            <w:r>
              <w:rPr>
                <w:rFonts w:ascii="宋体" w:hAnsi="宋体" w:eastAsia="宋体"/>
                <w:sz w:val="16"/>
              </w:rPr>
              <w:t>25</w:t>
            </w:r>
          </w:p>
        </w:tc>
      </w:tr>
      <w:tr w14:paraId="5C7FCA6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2DB94C">
            <w:pPr>
              <w:jc w:val="center"/>
            </w:pPr>
            <w:r>
              <w:rPr>
                <w:rFonts w:ascii="宋体" w:hAnsi="宋体" w:eastAsia="宋体"/>
                <w:sz w:val="16"/>
              </w:rPr>
              <w:t>社会效益</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13B61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6313D5">
            <w:pPr>
              <w:jc w:val="center"/>
            </w:pPr>
            <w:r>
              <w:rPr>
                <w:rFonts w:ascii="宋体" w:hAnsi="宋体" w:eastAsia="宋体"/>
                <w:sz w:val="16"/>
              </w:rPr>
              <w:t>民生支出占一般公共预算支出比重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786FE1">
            <w:pPr>
              <w:jc w:val="center"/>
            </w:pPr>
            <w:r>
              <w:rPr>
                <w:rFonts w:ascii="宋体" w:hAnsi="宋体" w:eastAsia="宋体"/>
                <w:sz w:val="16"/>
              </w:rPr>
              <w:t>&gt;=70%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A316A">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DB4A1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59852F">
            <w:pPr>
              <w:jc w:val="center"/>
            </w:pPr>
            <w:r>
              <w:rPr>
                <w:rFonts w:ascii="宋体" w:hAnsi="宋体" w:eastAsia="宋体"/>
                <w:sz w:val="16"/>
              </w:rPr>
              <w:t>75.72%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9B2D3E">
            <w:pPr>
              <w:jc w:val="center"/>
            </w:pPr>
            <w:r>
              <w:rPr>
                <w:rFonts w:ascii="宋体" w:hAnsi="宋体" w:eastAsia="宋体"/>
                <w:sz w:val="16"/>
              </w:rPr>
              <w:t>20</w:t>
            </w:r>
          </w:p>
        </w:tc>
      </w:tr>
    </w:tbl>
    <w:p w14:paraId="120CA0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78585B38">
        <w:tblPrEx>
          <w:tblCellMar>
            <w:top w:w="0" w:type="dxa"/>
            <w:left w:w="108" w:type="dxa"/>
            <w:bottom w:w="0" w:type="dxa"/>
            <w:right w:w="108" w:type="dxa"/>
          </w:tblCellMar>
        </w:tblPrEx>
        <w:tc>
          <w:tcPr>
            <w:tcW w:w="8848" w:type="dxa"/>
            <w:gridSpan w:val="14"/>
            <w:vAlign w:val="center"/>
          </w:tcPr>
          <w:p w14:paraId="058253F9">
            <w:pPr>
              <w:jc w:val="center"/>
            </w:pPr>
            <w:r>
              <w:rPr>
                <w:rFonts w:ascii="宋体" w:hAnsi="宋体" w:eastAsia="宋体"/>
                <w:sz w:val="24"/>
              </w:rPr>
              <w:t>项目支出绩效自评表</w:t>
            </w:r>
          </w:p>
        </w:tc>
      </w:tr>
      <w:tr w14:paraId="655266FC">
        <w:tblPrEx>
          <w:tblCellMar>
            <w:top w:w="0" w:type="dxa"/>
            <w:left w:w="108" w:type="dxa"/>
            <w:bottom w:w="0" w:type="dxa"/>
            <w:right w:w="108" w:type="dxa"/>
          </w:tblCellMar>
        </w:tblPrEx>
        <w:tc>
          <w:tcPr>
            <w:tcW w:w="8848" w:type="dxa"/>
            <w:gridSpan w:val="14"/>
            <w:vAlign w:val="center"/>
          </w:tcPr>
          <w:p w14:paraId="6AE0DD6F">
            <w:pPr>
              <w:jc w:val="center"/>
            </w:pPr>
            <w:r>
              <w:rPr>
                <w:rFonts w:ascii="宋体" w:hAnsi="宋体" w:eastAsia="宋体"/>
                <w:sz w:val="24"/>
              </w:rPr>
              <w:t>(2024年度)</w:t>
            </w:r>
          </w:p>
        </w:tc>
      </w:tr>
      <w:tr w14:paraId="00E983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73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3A9305">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2C55F4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61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5A498F">
            <w:pPr>
              <w:jc w:val="center"/>
            </w:pPr>
            <w:r>
              <w:rPr>
                <w:rFonts w:ascii="宋体" w:hAnsi="宋体" w:eastAsia="宋体"/>
                <w:sz w:val="16"/>
              </w:rPr>
              <w:t>新疆巴音郭楞蒙古自治州财政局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A208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7A3BD7">
            <w:pPr>
              <w:jc w:val="center"/>
            </w:pPr>
            <w:r>
              <w:rPr>
                <w:rFonts w:ascii="宋体" w:hAnsi="宋体" w:eastAsia="宋体"/>
                <w:sz w:val="16"/>
              </w:rPr>
              <w:t>新疆巴音郭楞蒙古自治州财政局</w:t>
            </w:r>
          </w:p>
        </w:tc>
      </w:tr>
      <w:tr w14:paraId="569431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3994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3D9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809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F98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E2C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CEDE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396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492E">
            <w:pPr>
              <w:jc w:val="center"/>
            </w:pPr>
            <w:r>
              <w:rPr>
                <w:rFonts w:ascii="宋体" w:hAnsi="宋体" w:eastAsia="宋体"/>
                <w:sz w:val="16"/>
              </w:rPr>
              <w:t>得分</w:t>
            </w:r>
          </w:p>
        </w:tc>
      </w:tr>
      <w:tr w14:paraId="15D828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F69B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B0D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DF26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40A5D">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63814">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84D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8C75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9925C">
            <w:pPr>
              <w:jc w:val="center"/>
            </w:pPr>
            <w:r>
              <w:rPr>
                <w:rFonts w:ascii="宋体" w:hAnsi="宋体" w:eastAsia="宋体"/>
                <w:sz w:val="16"/>
              </w:rPr>
              <w:t>10.00</w:t>
            </w:r>
          </w:p>
        </w:tc>
      </w:tr>
      <w:tr w14:paraId="5FD1A3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437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35D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B69D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557FD">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CA2BD">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408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1FF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61DC">
            <w:pPr>
              <w:jc w:val="center"/>
            </w:pPr>
            <w:r>
              <w:rPr>
                <w:rFonts w:ascii="宋体" w:hAnsi="宋体" w:eastAsia="宋体"/>
                <w:sz w:val="16"/>
              </w:rPr>
              <w:t>-</w:t>
            </w:r>
          </w:p>
        </w:tc>
      </w:tr>
      <w:tr w14:paraId="143FF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B17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38C1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643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83C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103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2AB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769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DF50">
            <w:pPr>
              <w:jc w:val="center"/>
            </w:pPr>
            <w:r>
              <w:rPr>
                <w:rFonts w:ascii="宋体" w:hAnsi="宋体" w:eastAsia="宋体"/>
                <w:sz w:val="16"/>
              </w:rPr>
              <w:t>-</w:t>
            </w:r>
          </w:p>
        </w:tc>
      </w:tr>
      <w:tr w14:paraId="4E9168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9EE9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CA11A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48E9CF">
            <w:pPr>
              <w:jc w:val="center"/>
            </w:pPr>
            <w:r>
              <w:rPr>
                <w:rFonts w:ascii="宋体" w:hAnsi="宋体" w:eastAsia="宋体"/>
                <w:sz w:val="16"/>
              </w:rPr>
              <w:t>总体目标完成情况</w:t>
            </w:r>
          </w:p>
        </w:tc>
      </w:tr>
      <w:tr w14:paraId="5E73A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05B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84BE90">
            <w:pPr>
              <w:jc w:val="both"/>
            </w:pPr>
            <w:r>
              <w:rPr>
                <w:rFonts w:ascii="宋体" w:hAnsi="宋体" w:eastAsia="宋体"/>
                <w:sz w:val="16"/>
              </w:rPr>
              <w:t>根据巴财预</w:t>
            </w:r>
            <w:r>
              <w:rPr>
                <w:rFonts w:hint="eastAsia" w:ascii="宋体" w:hAnsi="宋体"/>
                <w:sz w:val="16"/>
                <w:lang w:eastAsia="zh-CN"/>
              </w:rPr>
              <w:t>〔2024〕16号</w:t>
            </w:r>
            <w:r>
              <w:rPr>
                <w:rFonts w:ascii="宋体" w:hAnsi="宋体" w:eastAsia="宋体"/>
                <w:sz w:val="16"/>
              </w:rPr>
              <w:t>，通过派驻阿羌镇阿羌村、社区工作队2个，第一书记1人，工作队员6人,合理合规使用为民办实事经费，确保为民办实事经费使用的安全性、规范性和实效性，确保为民办实事工作经费落实到实处，达到提高居民生活水平，有效提升群众获得感和满意度。切实以解决群众最关心、最直接、最现实的利益问题为导向，以千方百计解决群众生产生活中的实际困难为目的，及时将党和政府的温暖送到了各族群众的心坎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F56CAC">
            <w:pPr>
              <w:jc w:val="both"/>
            </w:pPr>
            <w:r>
              <w:rPr>
                <w:rFonts w:ascii="宋体" w:hAnsi="宋体" w:eastAsia="宋体"/>
                <w:sz w:val="16"/>
              </w:rPr>
              <w:t>根据巴财预</w:t>
            </w:r>
            <w:r>
              <w:rPr>
                <w:rFonts w:hint="eastAsia" w:ascii="宋体" w:hAnsi="宋体"/>
                <w:sz w:val="16"/>
                <w:lang w:eastAsia="zh-CN"/>
              </w:rPr>
              <w:t>〔2024〕16号</w:t>
            </w:r>
            <w:r>
              <w:rPr>
                <w:rFonts w:ascii="宋体" w:hAnsi="宋体" w:eastAsia="宋体"/>
                <w:sz w:val="16"/>
              </w:rPr>
              <w:t>，通过派驻阿羌镇阿羌村、社区工作队2个，第一书记1人，工作队员6人，均按时调整到位。积极开展各项慰问和文体活动，提高居民文化生活水平，困难关爱户、独居老人、联谊活动，提高为民办实事力度，提升群众获得感,有效提升居民生活质量，及时将党和政府的温暖送到了各族群众的心坎上。</w:t>
            </w:r>
          </w:p>
        </w:tc>
      </w:tr>
      <w:tr w14:paraId="41EEA4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04D3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DE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17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D1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827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00D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DF2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4CF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E13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94E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C24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214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86E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73470">
            <w:pPr>
              <w:jc w:val="center"/>
            </w:pPr>
            <w:r>
              <w:rPr>
                <w:rFonts w:ascii="宋体" w:hAnsi="宋体" w:eastAsia="宋体"/>
                <w:sz w:val="16"/>
              </w:rPr>
              <w:t>偏差原因分析及改进措施</w:t>
            </w:r>
          </w:p>
        </w:tc>
      </w:tr>
      <w:tr w14:paraId="64EEF9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CA15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41D1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3BE1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08E23">
            <w:pPr>
              <w:jc w:val="center"/>
            </w:pPr>
            <w:r>
              <w:rPr>
                <w:rFonts w:hint="eastAsia" w:ascii="宋体" w:hAnsi="宋体"/>
                <w:sz w:val="16"/>
                <w:lang w:eastAsia="zh-CN"/>
              </w:rPr>
              <w:t>为民办实事</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8F4E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17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1ECF">
            <w:pPr>
              <w:jc w:val="center"/>
            </w:pPr>
            <w:r>
              <w:rPr>
                <w:rFonts w:hint="eastAsia"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67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4DA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C1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B6C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6B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5BF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88867">
            <w:pPr>
              <w:jc w:val="center"/>
            </w:pPr>
          </w:p>
        </w:tc>
      </w:tr>
      <w:tr w14:paraId="0B764E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2CA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A5B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8B9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61BA">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8E0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0C6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DE01">
            <w:pPr>
              <w:jc w:val="center"/>
            </w:pPr>
            <w:r>
              <w:rPr>
                <w:rFonts w:hint="eastAsia" w:ascii="宋体" w:hAnsi="宋体"/>
                <w:sz w:val="16"/>
                <w:lang w:val="en-US" w:eastAsia="zh-CN"/>
              </w:rPr>
              <w:t>1</w:t>
            </w:r>
            <w:r>
              <w:rPr>
                <w:rFonts w:hint="eastAsia" w:ascii="宋体" w:hAnsi="宋体" w:eastAsia="宋体"/>
                <w:sz w:val="16"/>
              </w:rPr>
              <w:t>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974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19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E1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8AB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E6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3316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0B21">
            <w:pPr>
              <w:jc w:val="center"/>
            </w:pPr>
          </w:p>
        </w:tc>
      </w:tr>
      <w:tr w14:paraId="58D91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AAF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B6E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7C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9788">
            <w:pPr>
              <w:jc w:val="center"/>
            </w:pPr>
            <w:r>
              <w:rPr>
                <w:rFonts w:ascii="宋体" w:hAnsi="宋体" w:eastAsia="宋体"/>
                <w:sz w:val="16"/>
              </w:rPr>
              <w:t>派驻工作队工作人员人数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7AB09">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3F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F0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4B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AB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F7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A36B7">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0A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FFA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EDD2">
            <w:pPr>
              <w:jc w:val="center"/>
            </w:pPr>
          </w:p>
        </w:tc>
      </w:tr>
      <w:tr w14:paraId="69BA9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E86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99B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B6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541F">
            <w:pPr>
              <w:jc w:val="center"/>
            </w:pPr>
            <w:r>
              <w:rPr>
                <w:rFonts w:ascii="宋体" w:hAnsi="宋体" w:eastAsia="宋体"/>
                <w:sz w:val="16"/>
              </w:rPr>
              <w:t>驻社区工作队数量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E4B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B4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94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AAB2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D1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D6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ECE3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95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4CD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4DCD">
            <w:pPr>
              <w:jc w:val="center"/>
            </w:pPr>
          </w:p>
        </w:tc>
      </w:tr>
      <w:tr w14:paraId="646525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47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087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A8D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7233">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24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55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D748F">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C74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52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3F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5D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74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02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15E6">
            <w:pPr>
              <w:jc w:val="center"/>
            </w:pPr>
          </w:p>
        </w:tc>
      </w:tr>
      <w:tr w14:paraId="7208C2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3A1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EA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F0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B862F">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5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CB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3FC8">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FC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7C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5B2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30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45B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19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91A6">
            <w:pPr>
              <w:jc w:val="center"/>
            </w:pPr>
          </w:p>
        </w:tc>
      </w:tr>
      <w:tr w14:paraId="6EAAE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01E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CFCD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127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4F47">
            <w:pPr>
              <w:jc w:val="center"/>
            </w:pPr>
            <w:r>
              <w:rPr>
                <w:rFonts w:ascii="宋体" w:hAnsi="宋体" w:eastAsia="宋体"/>
                <w:sz w:val="16"/>
              </w:rPr>
              <w:t>阿羌村工作队经费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8ACA">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C8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9806">
            <w:pPr>
              <w:jc w:val="center"/>
            </w:pPr>
            <w:r>
              <w:rPr>
                <w:rFonts w:hint="eastAsia"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E9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9C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A4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6182">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C1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BEB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3EDB">
            <w:pPr>
              <w:jc w:val="center"/>
            </w:pPr>
          </w:p>
        </w:tc>
      </w:tr>
      <w:tr w14:paraId="5BFBA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45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8F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A81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6498">
            <w:pPr>
              <w:jc w:val="center"/>
            </w:pPr>
            <w:r>
              <w:rPr>
                <w:rFonts w:ascii="宋体" w:hAnsi="宋体" w:eastAsia="宋体"/>
                <w:sz w:val="16"/>
              </w:rPr>
              <w:t>驻社区工作队经费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4FF9">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BC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55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C4E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78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29B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8754A">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4E6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74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66A7">
            <w:pPr>
              <w:jc w:val="center"/>
            </w:pPr>
          </w:p>
        </w:tc>
      </w:tr>
      <w:tr w14:paraId="085A4B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E74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C2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9F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94C3">
            <w:pPr>
              <w:jc w:val="center"/>
            </w:pPr>
            <w:r>
              <w:rPr>
                <w:rFonts w:ascii="宋体" w:hAnsi="宋体" w:eastAsia="宋体"/>
                <w:sz w:val="16"/>
              </w:rPr>
              <w:t>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0E1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DA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B103">
            <w:pPr>
              <w:jc w:val="center"/>
            </w:pPr>
            <w:r>
              <w:rPr>
                <w:rFonts w:hint="eastAsia"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97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69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F4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0E3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FD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79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E305">
            <w:pPr>
              <w:jc w:val="center"/>
            </w:pPr>
          </w:p>
        </w:tc>
      </w:tr>
      <w:tr w14:paraId="1F5FD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77F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0A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50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5193">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88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73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5A99">
            <w:pPr>
              <w:jc w:val="center"/>
            </w:pPr>
            <w:r>
              <w:rPr>
                <w:rFonts w:hint="eastAsia"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71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7D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FC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3B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E8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791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139F9">
            <w:pPr>
              <w:jc w:val="center"/>
            </w:pPr>
          </w:p>
        </w:tc>
      </w:tr>
      <w:tr w14:paraId="048989F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EEF8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6D36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5296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7B86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8B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8218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9C4D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D1F2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5DEE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3F7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CF8CB4"/>
        </w:tc>
      </w:tr>
    </w:tbl>
    <w:p w14:paraId="1A5F73F0">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60CC0915">
        <w:tblPrEx>
          <w:tblCellMar>
            <w:top w:w="0" w:type="dxa"/>
            <w:left w:w="108" w:type="dxa"/>
            <w:bottom w:w="0" w:type="dxa"/>
            <w:right w:w="108" w:type="dxa"/>
          </w:tblCellMar>
        </w:tblPrEx>
        <w:tc>
          <w:tcPr>
            <w:tcW w:w="8848" w:type="dxa"/>
            <w:gridSpan w:val="14"/>
            <w:vAlign w:val="center"/>
          </w:tcPr>
          <w:p w14:paraId="374F70F8">
            <w:pPr>
              <w:jc w:val="center"/>
            </w:pPr>
            <w:r>
              <w:rPr>
                <w:rFonts w:ascii="宋体" w:hAnsi="宋体" w:eastAsia="宋体"/>
                <w:sz w:val="24"/>
              </w:rPr>
              <w:t>项目支出绩效自评表</w:t>
            </w:r>
          </w:p>
        </w:tc>
      </w:tr>
      <w:tr w14:paraId="6E308E47">
        <w:tblPrEx>
          <w:tblCellMar>
            <w:top w:w="0" w:type="dxa"/>
            <w:left w:w="108" w:type="dxa"/>
            <w:bottom w:w="0" w:type="dxa"/>
            <w:right w:w="108" w:type="dxa"/>
          </w:tblCellMar>
        </w:tblPrEx>
        <w:tc>
          <w:tcPr>
            <w:tcW w:w="8848" w:type="dxa"/>
            <w:gridSpan w:val="14"/>
            <w:vAlign w:val="center"/>
          </w:tcPr>
          <w:p w14:paraId="04E35197">
            <w:pPr>
              <w:jc w:val="center"/>
            </w:pPr>
            <w:r>
              <w:rPr>
                <w:rFonts w:ascii="宋体" w:hAnsi="宋体" w:eastAsia="宋体"/>
                <w:sz w:val="24"/>
              </w:rPr>
              <w:t>(2024年度)</w:t>
            </w:r>
          </w:p>
        </w:tc>
      </w:tr>
      <w:tr w14:paraId="060862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FA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3CCA73">
            <w:pPr>
              <w:jc w:val="center"/>
            </w:pPr>
            <w:r>
              <w:rPr>
                <w:rFonts w:ascii="宋体" w:hAnsi="宋体" w:eastAsia="宋体"/>
                <w:sz w:val="16"/>
              </w:rPr>
              <w:t>财政业务保障项目</w:t>
            </w:r>
          </w:p>
        </w:tc>
      </w:tr>
      <w:tr w14:paraId="55A99B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DF0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E51458">
            <w:pPr>
              <w:jc w:val="center"/>
            </w:pPr>
            <w:r>
              <w:rPr>
                <w:rFonts w:ascii="宋体" w:hAnsi="宋体" w:eastAsia="宋体"/>
                <w:sz w:val="16"/>
              </w:rPr>
              <w:t>新疆巴音郭楞蒙古自治州财政局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87F1">
            <w:pPr>
              <w:jc w:val="center"/>
            </w:pPr>
            <w:r>
              <w:rPr>
                <w:rFonts w:ascii="宋体" w:hAnsi="宋体" w:eastAsia="宋体"/>
                <w:sz w:val="16"/>
              </w:rPr>
              <w:t>实施</w:t>
            </w:r>
            <w:bookmarkStart w:id="0" w:name="_GoBack"/>
            <w:r>
              <w:rPr>
                <w:rFonts w:ascii="宋体" w:hAnsi="宋体" w:eastAsia="宋体"/>
                <w:sz w:val="16"/>
              </w:rPr>
              <w:t>单位</w:t>
            </w:r>
            <w:bookmarkEnd w:id="0"/>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5B2124">
            <w:pPr>
              <w:jc w:val="center"/>
            </w:pPr>
            <w:r>
              <w:rPr>
                <w:rFonts w:ascii="宋体" w:hAnsi="宋体" w:eastAsia="宋体"/>
                <w:sz w:val="16"/>
              </w:rPr>
              <w:t>新疆巴音郭楞蒙古自治州财政局</w:t>
            </w:r>
          </w:p>
        </w:tc>
      </w:tr>
      <w:tr w14:paraId="2EA56D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0A21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482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415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C67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F70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3716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487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BA33">
            <w:pPr>
              <w:jc w:val="center"/>
            </w:pPr>
            <w:r>
              <w:rPr>
                <w:rFonts w:ascii="宋体" w:hAnsi="宋体" w:eastAsia="宋体"/>
                <w:sz w:val="16"/>
              </w:rPr>
              <w:t>得分</w:t>
            </w:r>
          </w:p>
        </w:tc>
      </w:tr>
      <w:tr w14:paraId="1CF137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4EB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C56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8A09D">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64A4D">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EE8F3">
            <w:pPr>
              <w:jc w:val="center"/>
            </w:pPr>
            <w:r>
              <w:rPr>
                <w:rFonts w:ascii="宋体" w:hAnsi="宋体" w:eastAsia="宋体"/>
                <w:sz w:val="16"/>
              </w:rPr>
              <w:t>115.34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779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9A305">
            <w:pPr>
              <w:jc w:val="center"/>
            </w:pPr>
            <w:r>
              <w:rPr>
                <w:rFonts w:ascii="宋体" w:hAnsi="宋体" w:eastAsia="宋体"/>
                <w:sz w:val="16"/>
              </w:rPr>
              <w:t>96.12%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5B0E">
            <w:pPr>
              <w:jc w:val="center"/>
            </w:pPr>
            <w:r>
              <w:rPr>
                <w:rFonts w:ascii="宋体" w:hAnsi="宋体" w:eastAsia="宋体"/>
                <w:sz w:val="16"/>
              </w:rPr>
              <w:t>9.03</w:t>
            </w:r>
          </w:p>
        </w:tc>
      </w:tr>
      <w:tr w14:paraId="5710F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ABA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0E4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63068">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56B20">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B5BDF">
            <w:pPr>
              <w:jc w:val="center"/>
            </w:pPr>
            <w:r>
              <w:rPr>
                <w:rFonts w:ascii="宋体" w:hAnsi="宋体" w:eastAsia="宋体"/>
                <w:sz w:val="16"/>
              </w:rPr>
              <w:t>115.34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28C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4D3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7FC6">
            <w:pPr>
              <w:jc w:val="center"/>
            </w:pPr>
            <w:r>
              <w:rPr>
                <w:rFonts w:ascii="宋体" w:hAnsi="宋体" w:eastAsia="宋体"/>
                <w:sz w:val="16"/>
              </w:rPr>
              <w:t>-</w:t>
            </w:r>
          </w:p>
        </w:tc>
      </w:tr>
      <w:tr w14:paraId="03CC6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310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A323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CDF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4DF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A1F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30D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A1B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6D25">
            <w:pPr>
              <w:jc w:val="center"/>
            </w:pPr>
            <w:r>
              <w:rPr>
                <w:rFonts w:ascii="宋体" w:hAnsi="宋体" w:eastAsia="宋体"/>
                <w:sz w:val="16"/>
              </w:rPr>
              <w:t>-</w:t>
            </w:r>
          </w:p>
        </w:tc>
      </w:tr>
      <w:tr w14:paraId="3EB535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442C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D32D1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545F3F">
            <w:pPr>
              <w:jc w:val="center"/>
            </w:pPr>
            <w:r>
              <w:rPr>
                <w:rFonts w:ascii="宋体" w:hAnsi="宋体" w:eastAsia="宋体"/>
                <w:sz w:val="16"/>
              </w:rPr>
              <w:t>总体目标完成情况</w:t>
            </w:r>
          </w:p>
        </w:tc>
      </w:tr>
      <w:tr w14:paraId="0A1B6E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08A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5D8150">
            <w:pPr>
              <w:jc w:val="both"/>
            </w:pPr>
            <w:r>
              <w:rPr>
                <w:rFonts w:ascii="宋体" w:hAnsi="宋体" w:eastAsia="宋体"/>
                <w:sz w:val="16"/>
              </w:rPr>
              <w:t>为保障财政业务顺利开展，组织2024年会计职称考试2次，报考人数合计达到8500人，确保考试考务工作安全、平稳进行；根据工作需要，购置1套公务仓设备，保障各类财政工作正常开展，提高工作效率；保障全局85名干部职工日常后勤保障工作及办公楼正常运行，构建和谐、稳定的财政工作环境；组织开展支部活动2次，以高质量的机关党建服务高质量财政工作，提高财政工作社会影响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E5847F">
            <w:pPr>
              <w:jc w:val="both"/>
            </w:pPr>
            <w:r>
              <w:rPr>
                <w:rFonts w:ascii="宋体" w:hAnsi="宋体" w:eastAsia="宋体"/>
                <w:sz w:val="16"/>
              </w:rPr>
              <w:t>已完成组织2024年会计职称考试2次，报考人数合计达到8164人，确保考试考务工作安全、平稳进行；根据工作需要，购置1套公务仓设备，保障各类财政工作正常开展，提高工作效率；保障全局81名干部职工日常后勤保障工作及办公楼正常运行，构建和谐、稳定的财政工作环境；组织开展支部活动2次，以高质量的机关党建服务高质量财政工作，提高财政工作社会影响力。</w:t>
            </w:r>
          </w:p>
        </w:tc>
      </w:tr>
      <w:tr w14:paraId="063989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76DB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ECE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75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06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CAF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CF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512C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4E6C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2A4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17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1403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C13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307A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5C90">
            <w:pPr>
              <w:jc w:val="center"/>
            </w:pPr>
            <w:r>
              <w:rPr>
                <w:rFonts w:ascii="宋体" w:hAnsi="宋体" w:eastAsia="宋体"/>
                <w:sz w:val="16"/>
              </w:rPr>
              <w:t>偏差原因分析及改进措施</w:t>
            </w:r>
          </w:p>
        </w:tc>
      </w:tr>
      <w:tr w14:paraId="23649F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94C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BEFC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06B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01B2">
            <w:pPr>
              <w:jc w:val="center"/>
            </w:pPr>
            <w:r>
              <w:rPr>
                <w:rFonts w:ascii="宋体" w:hAnsi="宋体" w:eastAsia="宋体"/>
                <w:sz w:val="16"/>
              </w:rPr>
              <w:t>组织会计职称考试次数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855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00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D1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96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66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67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CE01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8B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AA1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BB8E">
            <w:pPr>
              <w:jc w:val="center"/>
            </w:pPr>
          </w:p>
        </w:tc>
      </w:tr>
      <w:tr w14:paraId="30C87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527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DC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40B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E3B2D">
            <w:pPr>
              <w:jc w:val="center"/>
            </w:pPr>
            <w:r>
              <w:rPr>
                <w:rFonts w:ascii="宋体" w:hAnsi="宋体" w:eastAsia="宋体"/>
                <w:sz w:val="16"/>
              </w:rPr>
              <w:t>报考人数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DF2D">
            <w:pPr>
              <w:jc w:val="center"/>
            </w:pPr>
            <w:r>
              <w:rPr>
                <w:rFonts w:ascii="宋体" w:hAnsi="宋体" w:eastAsia="宋体"/>
                <w:sz w:val="16"/>
              </w:rPr>
              <w:t>&gt;=8500人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B5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BA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BCB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85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E4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FBF3">
            <w:pPr>
              <w:jc w:val="center"/>
            </w:pPr>
            <w:r>
              <w:rPr>
                <w:rFonts w:ascii="宋体" w:hAnsi="宋体" w:eastAsia="宋体"/>
                <w:sz w:val="16"/>
              </w:rPr>
              <w:t>=8164人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14DA">
            <w:pPr>
              <w:jc w:val="center"/>
            </w:pPr>
            <w:r>
              <w:rPr>
                <w:rFonts w:ascii="宋体" w:hAnsi="宋体" w:eastAsia="宋体"/>
                <w:sz w:val="16"/>
              </w:rPr>
              <w:t>96.05%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7105">
            <w:pPr>
              <w:jc w:val="center"/>
            </w:pPr>
            <w:r>
              <w:rPr>
                <w:rFonts w:ascii="宋体" w:hAnsi="宋体" w:eastAsia="宋体"/>
                <w:sz w:val="16"/>
              </w:rPr>
              <w:t>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CA84">
            <w:pPr>
              <w:jc w:val="center"/>
            </w:pPr>
            <w:r>
              <w:rPr>
                <w:rFonts w:ascii="宋体" w:hAnsi="宋体" w:eastAsia="宋体"/>
                <w:sz w:val="16"/>
              </w:rPr>
              <w:t>初级无纸化考试人数为7538人，出考人数为5308人；中级无纸化考试人数为2324人、5405人次，出考人数为2856人次，部分报考人员未能按时考试。</w:t>
            </w:r>
          </w:p>
        </w:tc>
      </w:tr>
      <w:tr w14:paraId="330AD8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FF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F09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866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3653">
            <w:pPr>
              <w:jc w:val="center"/>
            </w:pPr>
            <w:r>
              <w:rPr>
                <w:rFonts w:hint="eastAsia" w:ascii="宋体" w:hAnsi="宋体"/>
                <w:sz w:val="16"/>
                <w:lang w:eastAsia="zh-CN"/>
              </w:rPr>
              <w:t>公务舱</w:t>
            </w:r>
            <w:r>
              <w:rPr>
                <w:rFonts w:ascii="宋体" w:hAnsi="宋体" w:eastAsia="宋体"/>
                <w:sz w:val="16"/>
              </w:rPr>
              <w:t>设备购置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7AFE3">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18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B1A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DD6C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C92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95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A04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C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64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88FBA">
            <w:pPr>
              <w:jc w:val="center"/>
            </w:pPr>
          </w:p>
        </w:tc>
      </w:tr>
      <w:tr w14:paraId="442730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355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CBC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21D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63FB">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9A3F">
            <w:pPr>
              <w:jc w:val="center"/>
            </w:pPr>
            <w:r>
              <w:rPr>
                <w:rFonts w:ascii="宋体" w:hAnsi="宋体" w:eastAsia="宋体"/>
                <w:sz w:val="16"/>
              </w:rPr>
              <w:t>&gt;=85人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262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AA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D3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55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D5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26B0">
            <w:pPr>
              <w:jc w:val="center"/>
            </w:pPr>
            <w:r>
              <w:rPr>
                <w:rFonts w:ascii="宋体" w:hAnsi="宋体" w:eastAsia="宋体"/>
                <w:sz w:val="16"/>
              </w:rPr>
              <w:t>=81人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BF04">
            <w:pPr>
              <w:jc w:val="center"/>
            </w:pPr>
            <w:r>
              <w:rPr>
                <w:rFonts w:ascii="宋体" w:hAnsi="宋体" w:eastAsia="宋体"/>
                <w:sz w:val="16"/>
              </w:rPr>
              <w:t>95.29%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98C8">
            <w:pPr>
              <w:jc w:val="center"/>
            </w:pPr>
            <w:r>
              <w:rPr>
                <w:rFonts w:ascii="宋体" w:hAnsi="宋体" w:eastAsia="宋体"/>
                <w:sz w:val="16"/>
              </w:rPr>
              <w:t>2.65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FB1B">
            <w:pPr>
              <w:jc w:val="center"/>
            </w:pPr>
            <w:r>
              <w:rPr>
                <w:rFonts w:ascii="宋体" w:hAnsi="宋体" w:eastAsia="宋体"/>
                <w:sz w:val="16"/>
              </w:rPr>
              <w:t>本年有在职转退休3人，1人调出。</w:t>
            </w:r>
          </w:p>
        </w:tc>
      </w:tr>
      <w:tr w14:paraId="5393E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893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A49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456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86D5">
            <w:pPr>
              <w:jc w:val="center"/>
            </w:pPr>
            <w:r>
              <w:rPr>
                <w:rFonts w:ascii="宋体" w:hAnsi="宋体" w:eastAsia="宋体"/>
                <w:sz w:val="16"/>
              </w:rPr>
              <w:t>开展支部活动次数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B2B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596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A5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2CA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D5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4C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D16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9C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353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4AC7">
            <w:pPr>
              <w:jc w:val="center"/>
            </w:pPr>
          </w:p>
        </w:tc>
      </w:tr>
      <w:tr w14:paraId="01C9F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382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DEC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A08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EA7A">
            <w:pPr>
              <w:jc w:val="center"/>
            </w:pPr>
            <w:r>
              <w:rPr>
                <w:rFonts w:ascii="宋体" w:hAnsi="宋体" w:eastAsia="宋体"/>
                <w:sz w:val="16"/>
              </w:rPr>
              <w:t>考试出勤率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164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84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E12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06CF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96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62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595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03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635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156C">
            <w:pPr>
              <w:jc w:val="center"/>
            </w:pPr>
          </w:p>
        </w:tc>
      </w:tr>
      <w:tr w14:paraId="78FE6B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EE6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1B2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0F6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E987">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61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30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23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68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A4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C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3C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9A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E09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F7D1">
            <w:pPr>
              <w:jc w:val="center"/>
            </w:pPr>
          </w:p>
        </w:tc>
      </w:tr>
      <w:tr w14:paraId="7AC59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5D9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72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210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0203">
            <w:pPr>
              <w:jc w:val="center"/>
            </w:pPr>
            <w:r>
              <w:rPr>
                <w:rFonts w:ascii="宋体" w:hAnsi="宋体" w:eastAsia="宋体"/>
                <w:sz w:val="16"/>
              </w:rPr>
              <w:t>公务仓设备验收合格率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C77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16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D8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AD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08B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3F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60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F8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D1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47CE">
            <w:pPr>
              <w:jc w:val="center"/>
            </w:pPr>
          </w:p>
        </w:tc>
      </w:tr>
      <w:tr w14:paraId="7C286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83F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038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5FB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4B5B">
            <w:pPr>
              <w:jc w:val="center"/>
            </w:pPr>
            <w:r>
              <w:rPr>
                <w:rFonts w:ascii="宋体" w:hAnsi="宋体" w:eastAsia="宋体"/>
                <w:sz w:val="16"/>
              </w:rPr>
              <w:t>公务仓设备质量合格率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72A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BB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1B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32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7C5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F8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35C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1D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9BF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E090">
            <w:pPr>
              <w:jc w:val="center"/>
            </w:pPr>
          </w:p>
        </w:tc>
      </w:tr>
      <w:tr w14:paraId="450AC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658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C8D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A7A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696F">
            <w:pPr>
              <w:jc w:val="center"/>
            </w:pPr>
            <w:r>
              <w:rPr>
                <w:rFonts w:ascii="宋体" w:hAnsi="宋体" w:eastAsia="宋体"/>
                <w:sz w:val="16"/>
              </w:rPr>
              <w:t>支部活动参与率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47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F6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D5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73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75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07F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5A1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76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D67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EA81">
            <w:pPr>
              <w:jc w:val="center"/>
            </w:pPr>
          </w:p>
        </w:tc>
      </w:tr>
      <w:tr w14:paraId="6403A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3AF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124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4381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3ECD">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3D1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B1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8AA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9D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3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56E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8D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FE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5CD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60DA">
            <w:pPr>
              <w:jc w:val="center"/>
            </w:pPr>
          </w:p>
        </w:tc>
      </w:tr>
      <w:tr w14:paraId="286C7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EB6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4EC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DE4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0E79">
            <w:pPr>
              <w:jc w:val="center"/>
            </w:pPr>
            <w:r>
              <w:rPr>
                <w:rFonts w:ascii="宋体" w:hAnsi="宋体" w:eastAsia="宋体"/>
                <w:sz w:val="16"/>
              </w:rPr>
              <w:t>考试按时完成及时率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E4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114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E9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342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B1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EE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9C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5F0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323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9877">
            <w:pPr>
              <w:jc w:val="center"/>
            </w:pPr>
          </w:p>
        </w:tc>
      </w:tr>
      <w:tr w14:paraId="70048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495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2D1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83C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4171">
            <w:pPr>
              <w:jc w:val="center"/>
            </w:pPr>
            <w:r>
              <w:rPr>
                <w:rFonts w:ascii="宋体" w:hAnsi="宋体" w:eastAsia="宋体"/>
                <w:sz w:val="16"/>
              </w:rPr>
              <w:t>公务仓设备购置及时率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1E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E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F1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D6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39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67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AC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FB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DDF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1228">
            <w:pPr>
              <w:jc w:val="center"/>
            </w:pPr>
          </w:p>
        </w:tc>
      </w:tr>
      <w:tr w14:paraId="0712FB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AC4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8A43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52F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9462">
            <w:pPr>
              <w:jc w:val="center"/>
            </w:pPr>
            <w:r>
              <w:rPr>
                <w:rFonts w:ascii="宋体" w:hAnsi="宋体" w:eastAsia="宋体"/>
                <w:sz w:val="16"/>
              </w:rPr>
              <w:t>会计职称考试成本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ADC1">
            <w:pPr>
              <w:jc w:val="center"/>
            </w:pPr>
            <w:r>
              <w:rPr>
                <w:rFonts w:ascii="宋体" w:hAnsi="宋体" w:eastAsia="宋体"/>
                <w:sz w:val="16"/>
              </w:rPr>
              <w:t>&lt;=25.65万元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85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DD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E2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2D9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63B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D2B5">
            <w:pPr>
              <w:jc w:val="center"/>
            </w:pPr>
            <w:r>
              <w:rPr>
                <w:rFonts w:ascii="宋体" w:hAnsi="宋体" w:eastAsia="宋体"/>
                <w:sz w:val="16"/>
              </w:rPr>
              <w:t>=25.65万元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F9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50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6221">
            <w:pPr>
              <w:jc w:val="center"/>
            </w:pPr>
          </w:p>
        </w:tc>
      </w:tr>
      <w:tr w14:paraId="77845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718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AC7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55B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5020">
            <w:pPr>
              <w:jc w:val="center"/>
            </w:pPr>
            <w:r>
              <w:rPr>
                <w:rFonts w:hint="eastAsia" w:ascii="宋体" w:hAnsi="宋体"/>
                <w:sz w:val="16"/>
                <w:lang w:eastAsia="zh-CN"/>
              </w:rPr>
              <w:t>公务舱</w:t>
            </w:r>
            <w:r>
              <w:rPr>
                <w:rFonts w:ascii="宋体" w:hAnsi="宋体" w:eastAsia="宋体"/>
                <w:sz w:val="16"/>
              </w:rPr>
              <w:t>设备购置成本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2A35">
            <w:pPr>
              <w:jc w:val="center"/>
            </w:pPr>
            <w:r>
              <w:rPr>
                <w:rFonts w:ascii="宋体" w:hAnsi="宋体" w:eastAsia="宋体"/>
                <w:sz w:val="16"/>
              </w:rPr>
              <w:t>&lt;=12.45万元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A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32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F1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EE5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4F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BFC2">
            <w:pPr>
              <w:jc w:val="center"/>
            </w:pPr>
            <w:r>
              <w:rPr>
                <w:rFonts w:ascii="宋体" w:hAnsi="宋体" w:eastAsia="宋体"/>
                <w:sz w:val="16"/>
              </w:rPr>
              <w:t>=12.45万元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B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B7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4F23">
            <w:pPr>
              <w:jc w:val="center"/>
            </w:pPr>
          </w:p>
        </w:tc>
      </w:tr>
      <w:tr w14:paraId="1F03E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E1C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971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5D6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A4349">
            <w:pPr>
              <w:jc w:val="center"/>
            </w:pPr>
            <w:r>
              <w:rPr>
                <w:rFonts w:ascii="宋体" w:hAnsi="宋体" w:eastAsia="宋体"/>
                <w:sz w:val="16"/>
              </w:rPr>
              <w:t>保障办公人员运转成本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2610">
            <w:pPr>
              <w:jc w:val="center"/>
            </w:pPr>
            <w:r>
              <w:rPr>
                <w:rFonts w:ascii="宋体" w:hAnsi="宋体" w:eastAsia="宋体"/>
                <w:sz w:val="16"/>
              </w:rPr>
              <w:t>&lt;=79.9万元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EE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FBA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F4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CE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D2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3C55">
            <w:pPr>
              <w:jc w:val="center"/>
            </w:pPr>
            <w:r>
              <w:rPr>
                <w:rFonts w:ascii="宋体" w:hAnsi="宋体" w:eastAsia="宋体"/>
                <w:sz w:val="16"/>
              </w:rPr>
              <w:t>=75.24万元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D39A">
            <w:pPr>
              <w:jc w:val="center"/>
            </w:pPr>
            <w:r>
              <w:rPr>
                <w:rFonts w:ascii="宋体" w:hAnsi="宋体" w:eastAsia="宋体"/>
                <w:sz w:val="16"/>
              </w:rPr>
              <w:t>94.18%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9CEC">
            <w:pPr>
              <w:jc w:val="center"/>
            </w:pPr>
            <w:r>
              <w:rPr>
                <w:rFonts w:ascii="宋体" w:hAnsi="宋体" w:eastAsia="宋体"/>
                <w:sz w:val="16"/>
              </w:rPr>
              <w:t>4.27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97A7">
            <w:pPr>
              <w:jc w:val="center"/>
            </w:pPr>
            <w:r>
              <w:rPr>
                <w:rFonts w:ascii="宋体" w:hAnsi="宋体" w:eastAsia="宋体"/>
                <w:sz w:val="16"/>
              </w:rPr>
              <w:t>本年根据实际工作安排，压缩了部分经费。</w:t>
            </w:r>
          </w:p>
        </w:tc>
      </w:tr>
      <w:tr w14:paraId="608D7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DB0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549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973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4915D">
            <w:pPr>
              <w:jc w:val="center"/>
            </w:pPr>
            <w:r>
              <w:rPr>
                <w:rFonts w:ascii="宋体" w:hAnsi="宋体" w:eastAsia="宋体"/>
                <w:sz w:val="16"/>
              </w:rPr>
              <w:t>支部活动成本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20F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AFC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42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D2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EC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46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FE45">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9A6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F0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566AC">
            <w:pPr>
              <w:jc w:val="center"/>
            </w:pPr>
          </w:p>
        </w:tc>
      </w:tr>
      <w:tr w14:paraId="03DA9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811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B51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751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FF33">
            <w:pPr>
              <w:jc w:val="center"/>
            </w:pPr>
            <w:r>
              <w:rPr>
                <w:rFonts w:ascii="宋体" w:hAnsi="宋体" w:eastAsia="宋体"/>
                <w:sz w:val="16"/>
              </w:rPr>
              <w:t>公务仓设备利用率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742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88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A5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288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CA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9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BA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DE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F3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D4CE5">
            <w:pPr>
              <w:jc w:val="center"/>
            </w:pPr>
          </w:p>
        </w:tc>
      </w:tr>
      <w:tr w14:paraId="2398F2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CE0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417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26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05BD">
            <w:pPr>
              <w:jc w:val="center"/>
            </w:pPr>
            <w:r>
              <w:rPr>
                <w:rFonts w:ascii="宋体" w:hAnsi="宋体" w:eastAsia="宋体"/>
                <w:sz w:val="16"/>
              </w:rPr>
              <w:t>提高财政工作社会影响力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93B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9B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CE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369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52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27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5A4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030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AA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09E9">
            <w:pPr>
              <w:jc w:val="center"/>
            </w:pPr>
          </w:p>
        </w:tc>
      </w:tr>
      <w:tr w14:paraId="1EE1D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D13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BD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73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3938">
            <w:pPr>
              <w:jc w:val="center"/>
            </w:pPr>
            <w:r>
              <w:rPr>
                <w:rFonts w:ascii="宋体" w:hAnsi="宋体" w:eastAsia="宋体"/>
                <w:sz w:val="16"/>
              </w:rPr>
              <w:t>干部职工满意度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65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D6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C3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4C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EC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67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D4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3E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D4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CA8E2">
            <w:pPr>
              <w:jc w:val="center"/>
            </w:pPr>
          </w:p>
        </w:tc>
      </w:tr>
      <w:tr w14:paraId="5572C37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06FEE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E22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24E8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E7B6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4D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6BAB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5761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C17E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5D23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66FC">
            <w:pPr>
              <w:jc w:val="center"/>
            </w:pPr>
            <w:r>
              <w:rPr>
                <w:rFonts w:ascii="宋体" w:hAnsi="宋体" w:eastAsia="宋体"/>
                <w:sz w:val="16"/>
              </w:rPr>
              <w:t>97.65分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1F0792"/>
        </w:tc>
      </w:tr>
    </w:tbl>
    <w:p w14:paraId="5FCAE6A7">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22"/>
        <w:gridCol w:w="856"/>
        <w:gridCol w:w="604"/>
        <w:gridCol w:w="604"/>
        <w:gridCol w:w="613"/>
        <w:gridCol w:w="604"/>
        <w:gridCol w:w="604"/>
        <w:gridCol w:w="776"/>
        <w:gridCol w:w="696"/>
        <w:gridCol w:w="630"/>
        <w:gridCol w:w="622"/>
      </w:tblGrid>
      <w:tr w14:paraId="0135F582">
        <w:tblPrEx>
          <w:tblCellMar>
            <w:top w:w="0" w:type="dxa"/>
            <w:left w:w="108" w:type="dxa"/>
            <w:bottom w:w="0" w:type="dxa"/>
            <w:right w:w="108" w:type="dxa"/>
          </w:tblCellMar>
        </w:tblPrEx>
        <w:tc>
          <w:tcPr>
            <w:tcW w:w="8848" w:type="dxa"/>
            <w:gridSpan w:val="14"/>
            <w:vAlign w:val="center"/>
          </w:tcPr>
          <w:p w14:paraId="13A519E1">
            <w:pPr>
              <w:jc w:val="center"/>
            </w:pPr>
            <w:r>
              <w:rPr>
                <w:rFonts w:ascii="宋体" w:hAnsi="宋体" w:eastAsia="宋体"/>
                <w:sz w:val="24"/>
              </w:rPr>
              <w:t>项目支出绩效自评表</w:t>
            </w:r>
          </w:p>
        </w:tc>
      </w:tr>
      <w:tr w14:paraId="1605F4CE">
        <w:tblPrEx>
          <w:tblCellMar>
            <w:top w:w="0" w:type="dxa"/>
            <w:left w:w="108" w:type="dxa"/>
            <w:bottom w:w="0" w:type="dxa"/>
            <w:right w:w="108" w:type="dxa"/>
          </w:tblCellMar>
        </w:tblPrEx>
        <w:tc>
          <w:tcPr>
            <w:tcW w:w="8848" w:type="dxa"/>
            <w:gridSpan w:val="14"/>
            <w:vAlign w:val="center"/>
          </w:tcPr>
          <w:p w14:paraId="3FFC06E4">
            <w:pPr>
              <w:jc w:val="center"/>
            </w:pPr>
            <w:r>
              <w:rPr>
                <w:rFonts w:ascii="宋体" w:hAnsi="宋体" w:eastAsia="宋体"/>
                <w:sz w:val="24"/>
              </w:rPr>
              <w:t>(2024年度)</w:t>
            </w:r>
          </w:p>
        </w:tc>
      </w:tr>
      <w:tr w14:paraId="7A05E6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0942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5F4BF7">
            <w:pPr>
              <w:jc w:val="center"/>
            </w:pPr>
            <w:r>
              <w:rPr>
                <w:rFonts w:ascii="宋体" w:hAnsi="宋体" w:eastAsia="宋体"/>
                <w:sz w:val="16"/>
              </w:rPr>
              <w:t>财政信息化运维项目</w:t>
            </w:r>
          </w:p>
        </w:tc>
      </w:tr>
      <w:tr w14:paraId="3006B3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A0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5C3E79">
            <w:pPr>
              <w:jc w:val="center"/>
            </w:pPr>
            <w:r>
              <w:rPr>
                <w:rFonts w:ascii="宋体" w:hAnsi="宋体" w:eastAsia="宋体"/>
                <w:sz w:val="16"/>
              </w:rPr>
              <w:t>新疆巴音郭楞蒙古自治州财政局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32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77A57B">
            <w:pPr>
              <w:jc w:val="center"/>
            </w:pPr>
            <w:r>
              <w:rPr>
                <w:rFonts w:ascii="宋体" w:hAnsi="宋体" w:eastAsia="宋体"/>
                <w:sz w:val="16"/>
              </w:rPr>
              <w:t>新疆巴音郭楞蒙古自治州财政局</w:t>
            </w:r>
          </w:p>
        </w:tc>
      </w:tr>
      <w:tr w14:paraId="77C40E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9D4D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7BF8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4D6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16B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806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2B28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61A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8C51">
            <w:pPr>
              <w:jc w:val="center"/>
            </w:pPr>
            <w:r>
              <w:rPr>
                <w:rFonts w:ascii="宋体" w:hAnsi="宋体" w:eastAsia="宋体"/>
                <w:sz w:val="16"/>
              </w:rPr>
              <w:t>得分</w:t>
            </w:r>
          </w:p>
        </w:tc>
      </w:tr>
      <w:tr w14:paraId="6F13C7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D5F4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40D8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5B1CB">
            <w:pPr>
              <w:jc w:val="center"/>
            </w:pPr>
            <w:r>
              <w:rPr>
                <w:rFonts w:ascii="宋体" w:hAnsi="宋体" w:eastAsia="宋体"/>
                <w:sz w:val="16"/>
              </w:rPr>
              <w:t>337.34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17F73">
            <w:pPr>
              <w:jc w:val="center"/>
            </w:pPr>
            <w:r>
              <w:rPr>
                <w:rFonts w:ascii="宋体" w:hAnsi="宋体" w:eastAsia="宋体"/>
                <w:sz w:val="16"/>
              </w:rPr>
              <w:t>332.34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0D2AC">
            <w:pPr>
              <w:jc w:val="center"/>
            </w:pPr>
            <w:r>
              <w:rPr>
                <w:rFonts w:ascii="宋体" w:hAnsi="宋体" w:eastAsia="宋体"/>
                <w:sz w:val="16"/>
              </w:rPr>
              <w:t>331.82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E24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A6641">
            <w:pPr>
              <w:jc w:val="center"/>
            </w:pPr>
            <w:r>
              <w:rPr>
                <w:rFonts w:ascii="宋体" w:hAnsi="宋体" w:eastAsia="宋体"/>
                <w:sz w:val="16"/>
              </w:rPr>
              <w:t>99.84%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CC6A">
            <w:pPr>
              <w:jc w:val="center"/>
            </w:pPr>
            <w:r>
              <w:rPr>
                <w:rFonts w:ascii="宋体" w:hAnsi="宋体" w:eastAsia="宋体"/>
                <w:sz w:val="16"/>
              </w:rPr>
              <w:t>9.96</w:t>
            </w:r>
          </w:p>
        </w:tc>
      </w:tr>
      <w:tr w14:paraId="5352B0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C49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916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92C8C">
            <w:pPr>
              <w:jc w:val="center"/>
            </w:pPr>
            <w:r>
              <w:rPr>
                <w:rFonts w:ascii="宋体" w:hAnsi="宋体" w:eastAsia="宋体"/>
                <w:sz w:val="16"/>
              </w:rPr>
              <w:t>337.34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E18AE">
            <w:pPr>
              <w:jc w:val="center"/>
            </w:pPr>
            <w:r>
              <w:rPr>
                <w:rFonts w:ascii="宋体" w:hAnsi="宋体" w:eastAsia="宋体"/>
                <w:sz w:val="16"/>
              </w:rPr>
              <w:t>332.34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98965">
            <w:pPr>
              <w:jc w:val="center"/>
            </w:pPr>
            <w:r>
              <w:rPr>
                <w:rFonts w:ascii="宋体" w:hAnsi="宋体" w:eastAsia="宋体"/>
                <w:sz w:val="16"/>
              </w:rPr>
              <w:t>331.82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C48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B23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17C4B">
            <w:pPr>
              <w:jc w:val="center"/>
            </w:pPr>
            <w:r>
              <w:rPr>
                <w:rFonts w:ascii="宋体" w:hAnsi="宋体" w:eastAsia="宋体"/>
                <w:sz w:val="16"/>
              </w:rPr>
              <w:t>-</w:t>
            </w:r>
          </w:p>
        </w:tc>
      </w:tr>
      <w:tr w14:paraId="6ACE1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EFB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FD38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ED3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800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647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869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664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3F938">
            <w:pPr>
              <w:jc w:val="center"/>
            </w:pPr>
            <w:r>
              <w:rPr>
                <w:rFonts w:ascii="宋体" w:hAnsi="宋体" w:eastAsia="宋体"/>
                <w:sz w:val="16"/>
              </w:rPr>
              <w:t>-</w:t>
            </w:r>
          </w:p>
        </w:tc>
      </w:tr>
      <w:tr w14:paraId="62A58D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FF2E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68F0D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DF1A87">
            <w:pPr>
              <w:jc w:val="center"/>
            </w:pPr>
            <w:r>
              <w:rPr>
                <w:rFonts w:ascii="宋体" w:hAnsi="宋体" w:eastAsia="宋体"/>
                <w:sz w:val="16"/>
              </w:rPr>
              <w:t>总体目标完成情况</w:t>
            </w:r>
          </w:p>
        </w:tc>
      </w:tr>
      <w:tr w14:paraId="27A81E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302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0D6E31">
            <w:pPr>
              <w:jc w:val="both"/>
            </w:pPr>
            <w:r>
              <w:rPr>
                <w:rFonts w:ascii="宋体" w:hAnsi="宋体" w:eastAsia="宋体"/>
                <w:sz w:val="16"/>
              </w:rPr>
              <w:t>为更好</w:t>
            </w:r>
            <w:r>
              <w:rPr>
                <w:rFonts w:hint="eastAsia" w:ascii="宋体" w:hAnsi="宋体"/>
                <w:sz w:val="16"/>
                <w:lang w:eastAsia="zh-CN"/>
              </w:rPr>
              <w:t>地</w:t>
            </w:r>
            <w:r>
              <w:rPr>
                <w:rFonts w:ascii="宋体" w:hAnsi="宋体" w:eastAsia="宋体"/>
                <w:sz w:val="16"/>
              </w:rPr>
              <w:t>归口管理财政部网络安全和信息化工作，全面监督管理自治州本级政府采购工作及政府采购代理机构监督管理工作，保障全州财政工作有序开展，对财税库横向联网系统、国库集中支付系统、预算一体化系统、财政办公OA系统和“政采云”系统等12套财政信息系统进行维护、技术咨询，有效保障州本级财政信息系统正常运转；购置设备8套，提升财政工作人员工作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A16AB0">
            <w:pPr>
              <w:jc w:val="both"/>
            </w:pPr>
            <w:r>
              <w:rPr>
                <w:rFonts w:ascii="宋体" w:hAnsi="宋体" w:eastAsia="宋体"/>
                <w:sz w:val="16"/>
              </w:rPr>
              <w:t>已完成对财税库横向联网系统、国库集中支付系统、预算一体化系统、财政办公OA系统和“政采云”系统等12套财政信息系统进行维护、技术咨询，有效保障州本级财政信息系统正常运转；购置设备8套，提高工作效率，提高财政工作社会影响力、认知度。</w:t>
            </w:r>
          </w:p>
        </w:tc>
      </w:tr>
      <w:tr w14:paraId="0CE6C4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32B9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83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EBA0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555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23E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8A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2C29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023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A54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16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6BB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0B5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E7C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C3CB">
            <w:pPr>
              <w:jc w:val="center"/>
            </w:pPr>
            <w:r>
              <w:rPr>
                <w:rFonts w:ascii="宋体" w:hAnsi="宋体" w:eastAsia="宋体"/>
                <w:sz w:val="16"/>
              </w:rPr>
              <w:t>偏差原因分析及改进措施</w:t>
            </w:r>
          </w:p>
        </w:tc>
      </w:tr>
      <w:tr w14:paraId="2AC003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1E6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E746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F5B0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DD37">
            <w:pPr>
              <w:jc w:val="center"/>
            </w:pPr>
            <w:r>
              <w:rPr>
                <w:rFonts w:ascii="宋体" w:hAnsi="宋体" w:eastAsia="宋体"/>
                <w:sz w:val="16"/>
              </w:rPr>
              <w:t>信息系统硬件、软件维护数量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03F6">
            <w:pPr>
              <w:jc w:val="center"/>
            </w:pPr>
            <w:r>
              <w:rPr>
                <w:rFonts w:ascii="宋体" w:hAnsi="宋体" w:eastAsia="宋体"/>
                <w:sz w:val="16"/>
              </w:rPr>
              <w:t>&gt;=12套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C7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F8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D5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C3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E7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BAA2">
            <w:pPr>
              <w:jc w:val="center"/>
            </w:pPr>
            <w:r>
              <w:rPr>
                <w:rFonts w:ascii="宋体" w:hAnsi="宋体" w:eastAsia="宋体"/>
                <w:sz w:val="16"/>
              </w:rPr>
              <w:t>=12套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00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AD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BA11">
            <w:pPr>
              <w:jc w:val="center"/>
            </w:pPr>
          </w:p>
        </w:tc>
      </w:tr>
      <w:tr w14:paraId="046FA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3E7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68F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85E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DC867">
            <w:pPr>
              <w:jc w:val="center"/>
            </w:pPr>
            <w:r>
              <w:rPr>
                <w:rFonts w:ascii="宋体" w:hAnsi="宋体" w:eastAsia="宋体"/>
                <w:sz w:val="16"/>
              </w:rPr>
              <w:t>信息系统应用数量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A74A">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19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61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B5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3A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BF5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6E87">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6A4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EE8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E98F3">
            <w:pPr>
              <w:jc w:val="center"/>
            </w:pPr>
          </w:p>
        </w:tc>
      </w:tr>
      <w:tr w14:paraId="3076A8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D9D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EA3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983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D238">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9276">
            <w:pPr>
              <w:jc w:val="center"/>
            </w:pPr>
            <w:r>
              <w:rPr>
                <w:rFonts w:ascii="宋体" w:hAnsi="宋体" w:eastAsia="宋体"/>
                <w:sz w:val="16"/>
              </w:rPr>
              <w:t>&gt;=8套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DD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B2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05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4E8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39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16F0">
            <w:pPr>
              <w:jc w:val="center"/>
            </w:pPr>
            <w:r>
              <w:rPr>
                <w:rFonts w:ascii="宋体" w:hAnsi="宋体" w:eastAsia="宋体"/>
                <w:sz w:val="16"/>
              </w:rPr>
              <w:t>=8套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C1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87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436C">
            <w:pPr>
              <w:jc w:val="center"/>
            </w:pPr>
          </w:p>
        </w:tc>
      </w:tr>
      <w:tr w14:paraId="40567B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051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848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906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8ED6E">
            <w:pPr>
              <w:jc w:val="center"/>
            </w:pPr>
            <w:r>
              <w:rPr>
                <w:rFonts w:ascii="宋体" w:hAnsi="宋体" w:eastAsia="宋体"/>
                <w:sz w:val="16"/>
              </w:rPr>
              <w:t>信息系统验收合格率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F8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B8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A8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A01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835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13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DD7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1D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5FB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EAFF">
            <w:pPr>
              <w:jc w:val="center"/>
            </w:pPr>
          </w:p>
        </w:tc>
      </w:tr>
      <w:tr w14:paraId="6F8B3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329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C8A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A28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2B16">
            <w:pPr>
              <w:jc w:val="center"/>
            </w:pPr>
            <w:r>
              <w:rPr>
                <w:rFonts w:ascii="宋体" w:hAnsi="宋体" w:eastAsia="宋体"/>
                <w:sz w:val="16"/>
              </w:rPr>
              <w:t>信息系统故障率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AB40">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E2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6B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96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F5A5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AA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02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A6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1D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C6E76">
            <w:pPr>
              <w:jc w:val="center"/>
            </w:pPr>
          </w:p>
        </w:tc>
      </w:tr>
      <w:tr w14:paraId="6B0E32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610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B0D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C6F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FD45">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AF49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1F0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BD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AB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F50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6AF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9A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004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8C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F2C1">
            <w:pPr>
              <w:jc w:val="center"/>
            </w:pPr>
          </w:p>
        </w:tc>
      </w:tr>
      <w:tr w14:paraId="0A67E4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66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AB4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33F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BC07">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43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59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59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A0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9E5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4B4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3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9D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6C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ABA9">
            <w:pPr>
              <w:jc w:val="center"/>
            </w:pPr>
          </w:p>
        </w:tc>
      </w:tr>
      <w:tr w14:paraId="5126B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A4C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E20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57F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DBEC8">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EF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25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6F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1E8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CF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C4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53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27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76D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919B">
            <w:pPr>
              <w:jc w:val="center"/>
            </w:pPr>
          </w:p>
        </w:tc>
      </w:tr>
      <w:tr w14:paraId="329D4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3F8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A14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147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410D">
            <w:pPr>
              <w:jc w:val="center"/>
            </w:pPr>
            <w:r>
              <w:rPr>
                <w:rFonts w:ascii="宋体" w:hAnsi="宋体" w:eastAsia="宋体"/>
                <w:sz w:val="16"/>
              </w:rPr>
              <w:t>信息系统故障修复处理时间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D6E5">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27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1296">
            <w:pPr>
              <w:jc w:val="center"/>
            </w:pPr>
            <w:r>
              <w:rPr>
                <w:rFonts w:hint="eastAsia"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D18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178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AC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D1DE6">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7B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BE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3B7A">
            <w:pPr>
              <w:jc w:val="center"/>
            </w:pPr>
          </w:p>
        </w:tc>
      </w:tr>
      <w:tr w14:paraId="0A4FD7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5C6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840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D7D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F4BE">
            <w:pPr>
              <w:jc w:val="center"/>
            </w:pPr>
            <w:r>
              <w:rPr>
                <w:rFonts w:ascii="宋体" w:hAnsi="宋体" w:eastAsia="宋体"/>
                <w:sz w:val="16"/>
              </w:rPr>
              <w:t>信息系统运行维护响应时间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E57B">
            <w:pPr>
              <w:jc w:val="center"/>
            </w:pPr>
            <w:r>
              <w:rPr>
                <w:rFonts w:ascii="宋体" w:hAnsi="宋体" w:eastAsia="宋体"/>
                <w:sz w:val="16"/>
              </w:rPr>
              <w:t>&lt;=5小时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48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9156">
            <w:pPr>
              <w:jc w:val="center"/>
            </w:pPr>
            <w:r>
              <w:rPr>
                <w:rFonts w:hint="eastAsia" w:ascii="宋体" w:hAnsi="宋体" w:eastAsia="宋体"/>
                <w:sz w:val="16"/>
              </w:rPr>
              <w:t>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31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793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29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474DD">
            <w:pPr>
              <w:jc w:val="center"/>
            </w:pPr>
            <w:r>
              <w:rPr>
                <w:rFonts w:ascii="宋体" w:hAnsi="宋体" w:eastAsia="宋体"/>
                <w:sz w:val="16"/>
              </w:rPr>
              <w:t>=5小时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77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7A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DD371">
            <w:pPr>
              <w:jc w:val="center"/>
            </w:pPr>
          </w:p>
        </w:tc>
      </w:tr>
      <w:tr w14:paraId="63BB3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FC6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C1F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8C2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A78B">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92A8">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A2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C3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270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1C0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8F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DFDE5">
            <w:pPr>
              <w:jc w:val="center"/>
            </w:pPr>
            <w:r>
              <w:rPr>
                <w:rFonts w:ascii="宋体" w:hAnsi="宋体" w:eastAsia="宋体"/>
                <w:sz w:val="16"/>
              </w:rPr>
              <w:t>=2024年6月3日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A4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695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C756">
            <w:pPr>
              <w:jc w:val="center"/>
            </w:pPr>
          </w:p>
        </w:tc>
      </w:tr>
      <w:tr w14:paraId="5072A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1CF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897E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FF4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4AFC">
            <w:pPr>
              <w:jc w:val="center"/>
            </w:pPr>
            <w:r>
              <w:rPr>
                <w:rFonts w:ascii="宋体" w:hAnsi="宋体" w:eastAsia="宋体"/>
                <w:sz w:val="16"/>
              </w:rPr>
              <w:t>信息系统维护成本增长率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E1EA">
            <w:pPr>
              <w:jc w:val="center"/>
            </w:pPr>
            <w:r>
              <w:rPr>
                <w:rFonts w:ascii="宋体" w:hAnsi="宋体" w:eastAsia="宋体"/>
                <w:sz w:val="16"/>
              </w:rPr>
              <w:t>&lt;=3%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0E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53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F6D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85E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75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82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45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DD5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1913">
            <w:pPr>
              <w:jc w:val="center"/>
            </w:pPr>
          </w:p>
        </w:tc>
      </w:tr>
      <w:tr w14:paraId="25136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24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D7C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271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303C">
            <w:pPr>
              <w:jc w:val="center"/>
            </w:pPr>
            <w:r>
              <w:rPr>
                <w:rFonts w:ascii="宋体" w:hAnsi="宋体" w:eastAsia="宋体"/>
                <w:sz w:val="16"/>
              </w:rPr>
              <w:t>信息系统维护成本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A6A2">
            <w:pPr>
              <w:jc w:val="center"/>
            </w:pPr>
            <w:r>
              <w:rPr>
                <w:rFonts w:ascii="宋体" w:hAnsi="宋体" w:eastAsia="宋体"/>
                <w:sz w:val="16"/>
              </w:rPr>
              <w:t>&lt;=326.74万元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BA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F3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8AD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B7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1A0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36A8">
            <w:pPr>
              <w:jc w:val="center"/>
            </w:pPr>
            <w:r>
              <w:rPr>
                <w:rFonts w:ascii="宋体" w:hAnsi="宋体" w:eastAsia="宋体"/>
                <w:sz w:val="16"/>
              </w:rPr>
              <w:t>=326.22万元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6069">
            <w:pPr>
              <w:jc w:val="center"/>
            </w:pPr>
            <w:r>
              <w:rPr>
                <w:rFonts w:ascii="宋体" w:hAnsi="宋体" w:eastAsia="宋体"/>
                <w:sz w:val="16"/>
              </w:rPr>
              <w:t>99.84%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6823">
            <w:pPr>
              <w:jc w:val="center"/>
            </w:pPr>
            <w:r>
              <w:rPr>
                <w:rFonts w:ascii="宋体" w:hAnsi="宋体" w:eastAsia="宋体"/>
                <w:sz w:val="16"/>
              </w:rPr>
              <w:t>6.97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99381">
            <w:pPr>
              <w:jc w:val="center"/>
            </w:pPr>
            <w:r>
              <w:rPr>
                <w:rFonts w:ascii="宋体" w:hAnsi="宋体" w:eastAsia="宋体"/>
                <w:sz w:val="16"/>
              </w:rPr>
              <w:t>根据单位具体业务量，减少了部分信息运维经费，故维护成本减少。</w:t>
            </w:r>
          </w:p>
        </w:tc>
      </w:tr>
      <w:tr w14:paraId="183CA7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1CC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248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7B0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DA8F1">
            <w:pPr>
              <w:jc w:val="center"/>
            </w:pPr>
            <w:r>
              <w:rPr>
                <w:rFonts w:ascii="宋体" w:hAnsi="宋体" w:eastAsia="宋体"/>
                <w:sz w:val="16"/>
              </w:rPr>
              <w:t>设备购置成本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4DBD">
            <w:pPr>
              <w:jc w:val="center"/>
            </w:pPr>
            <w:r>
              <w:rPr>
                <w:rFonts w:ascii="宋体" w:hAnsi="宋体" w:eastAsia="宋体"/>
                <w:sz w:val="16"/>
              </w:rPr>
              <w:t>&lt;=5.60万元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22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8F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2899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21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9D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65AD4">
            <w:pPr>
              <w:jc w:val="center"/>
            </w:pPr>
            <w:r>
              <w:rPr>
                <w:rFonts w:ascii="宋体" w:hAnsi="宋体" w:eastAsia="宋体"/>
                <w:sz w:val="16"/>
              </w:rPr>
              <w: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D0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D2C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ABFC">
            <w:pPr>
              <w:jc w:val="center"/>
            </w:pPr>
          </w:p>
        </w:tc>
      </w:tr>
      <w:tr w14:paraId="018586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808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B91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2A6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6649">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18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D0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04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C595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547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44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D8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A07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BED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D614">
            <w:pPr>
              <w:jc w:val="center"/>
            </w:pPr>
          </w:p>
        </w:tc>
      </w:tr>
      <w:tr w14:paraId="6264A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4A9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3D7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F7EC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EB56E">
            <w:pPr>
              <w:jc w:val="center"/>
            </w:pPr>
            <w:r>
              <w:rPr>
                <w:rFonts w:ascii="宋体" w:hAnsi="宋体" w:eastAsia="宋体"/>
                <w:sz w:val="16"/>
              </w:rPr>
              <w:t>信息系统政策使用年限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F27E">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C3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95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C0C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A1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0E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B4AB">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39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BA7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F94E8">
            <w:pPr>
              <w:jc w:val="center"/>
            </w:pPr>
          </w:p>
        </w:tc>
      </w:tr>
      <w:tr w14:paraId="77878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61A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784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28A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AE2B">
            <w:pPr>
              <w:jc w:val="center"/>
            </w:pPr>
            <w:r>
              <w:rPr>
                <w:rFonts w:ascii="宋体" w:hAnsi="宋体" w:eastAsia="宋体"/>
                <w:sz w:val="16"/>
              </w:rPr>
              <w:t>州本级财政信息系统正常运转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1F40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B3A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F64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9DAE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8F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8E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4390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65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48F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CFDC">
            <w:pPr>
              <w:jc w:val="center"/>
            </w:pPr>
          </w:p>
        </w:tc>
      </w:tr>
      <w:tr w14:paraId="2D976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471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2CDB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DB9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A484D">
            <w:pPr>
              <w:jc w:val="center"/>
            </w:pPr>
            <w:r>
              <w:rPr>
                <w:rFonts w:ascii="宋体" w:hAnsi="宋体" w:eastAsia="宋体"/>
                <w:sz w:val="16"/>
              </w:rPr>
              <w:t>信息系统使用人员满意度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98E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AF4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BE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F03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E0A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09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C16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C72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F2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E18A">
            <w:pPr>
              <w:jc w:val="center"/>
            </w:pPr>
          </w:p>
        </w:tc>
      </w:tr>
      <w:tr w14:paraId="6FA487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1B4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F37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542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36BD">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420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D70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C1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78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50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6D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614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C29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C4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DD8A">
            <w:pPr>
              <w:jc w:val="center"/>
            </w:pPr>
          </w:p>
        </w:tc>
      </w:tr>
      <w:tr w14:paraId="49E35C9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7A9C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B38E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8E41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42FB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D4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F56C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0D5C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5575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F4AD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2DA4">
            <w:pPr>
              <w:jc w:val="center"/>
            </w:pPr>
            <w:r>
              <w:rPr>
                <w:rFonts w:ascii="宋体" w:hAnsi="宋体" w:eastAsia="宋体"/>
                <w:sz w:val="16"/>
              </w:rPr>
              <w:t>99.93分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3D0FB8"/>
        </w:tc>
      </w:tr>
    </w:tbl>
    <w:p w14:paraId="46BDF53E">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856"/>
        <w:gridCol w:w="605"/>
        <w:gridCol w:w="605"/>
        <w:gridCol w:w="614"/>
        <w:gridCol w:w="605"/>
        <w:gridCol w:w="605"/>
        <w:gridCol w:w="696"/>
        <w:gridCol w:w="776"/>
        <w:gridCol w:w="630"/>
        <w:gridCol w:w="631"/>
      </w:tblGrid>
      <w:tr w14:paraId="7515F873">
        <w:tblPrEx>
          <w:tblCellMar>
            <w:top w:w="0" w:type="dxa"/>
            <w:left w:w="108" w:type="dxa"/>
            <w:bottom w:w="0" w:type="dxa"/>
            <w:right w:w="108" w:type="dxa"/>
          </w:tblCellMar>
        </w:tblPrEx>
        <w:tc>
          <w:tcPr>
            <w:tcW w:w="8848" w:type="dxa"/>
            <w:gridSpan w:val="14"/>
            <w:vAlign w:val="center"/>
          </w:tcPr>
          <w:p w14:paraId="78359B33">
            <w:pPr>
              <w:jc w:val="center"/>
            </w:pPr>
            <w:r>
              <w:rPr>
                <w:rFonts w:ascii="宋体" w:hAnsi="宋体" w:eastAsia="宋体"/>
                <w:sz w:val="24"/>
              </w:rPr>
              <w:t>项目支出绩效自评表</w:t>
            </w:r>
          </w:p>
        </w:tc>
      </w:tr>
      <w:tr w14:paraId="1740AE49">
        <w:tblPrEx>
          <w:tblCellMar>
            <w:top w:w="0" w:type="dxa"/>
            <w:left w:w="108" w:type="dxa"/>
            <w:bottom w:w="0" w:type="dxa"/>
            <w:right w:w="108" w:type="dxa"/>
          </w:tblCellMar>
        </w:tblPrEx>
        <w:tc>
          <w:tcPr>
            <w:tcW w:w="8848" w:type="dxa"/>
            <w:gridSpan w:val="14"/>
            <w:vAlign w:val="center"/>
          </w:tcPr>
          <w:p w14:paraId="69EBABFE">
            <w:pPr>
              <w:jc w:val="center"/>
            </w:pPr>
            <w:r>
              <w:rPr>
                <w:rFonts w:ascii="宋体" w:hAnsi="宋体" w:eastAsia="宋体"/>
                <w:sz w:val="24"/>
              </w:rPr>
              <w:t>(2024年度)</w:t>
            </w:r>
          </w:p>
        </w:tc>
      </w:tr>
      <w:tr w14:paraId="641F49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06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FED59A">
            <w:pPr>
              <w:jc w:val="center"/>
            </w:pPr>
            <w:r>
              <w:rPr>
                <w:rFonts w:ascii="宋体" w:hAnsi="宋体" w:eastAsia="宋体"/>
                <w:sz w:val="16"/>
              </w:rPr>
              <w:t>财政绩效及国库代理银行服务项目</w:t>
            </w:r>
          </w:p>
        </w:tc>
      </w:tr>
      <w:tr w14:paraId="538ACD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4E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D73C13">
            <w:pPr>
              <w:jc w:val="center"/>
            </w:pPr>
            <w:r>
              <w:rPr>
                <w:rFonts w:ascii="宋体" w:hAnsi="宋体" w:eastAsia="宋体"/>
                <w:sz w:val="16"/>
              </w:rPr>
              <w:t>新疆巴音郭楞蒙古自治州财政局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96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964EBE">
            <w:pPr>
              <w:jc w:val="center"/>
            </w:pPr>
            <w:r>
              <w:rPr>
                <w:rFonts w:ascii="宋体" w:hAnsi="宋体" w:eastAsia="宋体"/>
                <w:sz w:val="16"/>
              </w:rPr>
              <w:t>新疆巴音郭楞蒙古自治州财政局</w:t>
            </w:r>
          </w:p>
        </w:tc>
      </w:tr>
      <w:tr w14:paraId="62ED91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038E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ECA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E77E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413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6E9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3ED9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344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002C">
            <w:pPr>
              <w:jc w:val="center"/>
            </w:pPr>
            <w:r>
              <w:rPr>
                <w:rFonts w:ascii="宋体" w:hAnsi="宋体" w:eastAsia="宋体"/>
                <w:sz w:val="16"/>
              </w:rPr>
              <w:t>得分</w:t>
            </w:r>
          </w:p>
        </w:tc>
      </w:tr>
      <w:tr w14:paraId="688F1F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633A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BAC9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5DAC0">
            <w:pPr>
              <w:jc w:val="center"/>
            </w:pPr>
            <w:r>
              <w:rPr>
                <w:rFonts w:ascii="宋体" w:hAnsi="宋体" w:eastAsia="宋体"/>
                <w:sz w:val="16"/>
              </w:rPr>
              <w:t>229.50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A72CF">
            <w:pPr>
              <w:jc w:val="center"/>
            </w:pPr>
            <w:r>
              <w:rPr>
                <w:rFonts w:ascii="宋体" w:hAnsi="宋体" w:eastAsia="宋体"/>
                <w:sz w:val="16"/>
              </w:rPr>
              <w:t>229.50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309FF">
            <w:pPr>
              <w:jc w:val="center"/>
            </w:pPr>
            <w:r>
              <w:rPr>
                <w:rFonts w:ascii="宋体" w:hAnsi="宋体" w:eastAsia="宋体"/>
                <w:sz w:val="16"/>
              </w:rPr>
              <w:t>229.50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2FC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F84E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3B2E">
            <w:pPr>
              <w:jc w:val="center"/>
            </w:pPr>
            <w:r>
              <w:rPr>
                <w:rFonts w:ascii="宋体" w:hAnsi="宋体" w:eastAsia="宋体"/>
                <w:sz w:val="16"/>
              </w:rPr>
              <w:t>10.00</w:t>
            </w:r>
          </w:p>
        </w:tc>
      </w:tr>
      <w:tr w14:paraId="60C90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829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E37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CF2A4">
            <w:pPr>
              <w:jc w:val="center"/>
            </w:pPr>
            <w:r>
              <w:rPr>
                <w:rFonts w:ascii="宋体" w:hAnsi="宋体" w:eastAsia="宋体"/>
                <w:sz w:val="16"/>
              </w:rPr>
              <w:t>229.50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E0A8C">
            <w:pPr>
              <w:jc w:val="center"/>
            </w:pPr>
            <w:r>
              <w:rPr>
                <w:rFonts w:ascii="宋体" w:hAnsi="宋体" w:eastAsia="宋体"/>
                <w:sz w:val="16"/>
              </w:rPr>
              <w:t>229.50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33F00">
            <w:pPr>
              <w:jc w:val="center"/>
            </w:pPr>
            <w:r>
              <w:rPr>
                <w:rFonts w:ascii="宋体" w:hAnsi="宋体" w:eastAsia="宋体"/>
                <w:sz w:val="16"/>
              </w:rPr>
              <w:t>229.50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C89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D53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6438F">
            <w:pPr>
              <w:jc w:val="center"/>
            </w:pPr>
            <w:r>
              <w:rPr>
                <w:rFonts w:ascii="宋体" w:hAnsi="宋体" w:eastAsia="宋体"/>
                <w:sz w:val="16"/>
              </w:rPr>
              <w:t>-</w:t>
            </w:r>
          </w:p>
        </w:tc>
      </w:tr>
      <w:tr w14:paraId="7061D7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6D9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BA06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320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64E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72B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D14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52F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A606">
            <w:pPr>
              <w:jc w:val="center"/>
            </w:pPr>
            <w:r>
              <w:rPr>
                <w:rFonts w:ascii="宋体" w:hAnsi="宋体" w:eastAsia="宋体"/>
                <w:sz w:val="16"/>
              </w:rPr>
              <w:t>-</w:t>
            </w:r>
          </w:p>
        </w:tc>
      </w:tr>
      <w:tr w14:paraId="44B801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7BAF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68927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51B28B">
            <w:pPr>
              <w:jc w:val="center"/>
            </w:pPr>
            <w:r>
              <w:rPr>
                <w:rFonts w:ascii="宋体" w:hAnsi="宋体" w:eastAsia="宋体"/>
                <w:sz w:val="16"/>
              </w:rPr>
              <w:t>总体目标完成情况</w:t>
            </w:r>
          </w:p>
        </w:tc>
      </w:tr>
      <w:tr w14:paraId="54869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7395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3DABCB">
            <w:pPr>
              <w:jc w:val="both"/>
            </w:pPr>
            <w:r>
              <w:rPr>
                <w:rFonts w:ascii="宋体" w:hAnsi="宋体" w:eastAsia="宋体"/>
                <w:sz w:val="16"/>
              </w:rPr>
              <w:t>为管理和指导全州财务工作，规范和提升财务工作质量，保证州本级财政资金安全高效运行，委托9个第三方机构协助州财政局开展财政绩效、预算公开、决算公开、政府财务报告单位核查、财政监督检查和代理记账等8个项目工作，完成重点项目第三方绩效评价13个，对全州170个州直单位的预算公开、决算公开和财务报告核查。为保证州本级财政资金安全高效运行，按照区间分段方式计算4家代理银行服务费，全年区间分段代理银行服务支付2次，确保2024年州本级集中支付业务正常开展。2024年12月10日前完成全部工作，有效提升财政工作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537D2F">
            <w:pPr>
              <w:jc w:val="both"/>
            </w:pPr>
            <w:r>
              <w:rPr>
                <w:rFonts w:ascii="宋体" w:hAnsi="宋体" w:eastAsia="宋体"/>
                <w:sz w:val="16"/>
              </w:rPr>
              <w:t>根据目前项目完成情况，委托9个第三方机构协助州财政局开展财政绩效、预算公开、决算公开、政府财务报告单位核查、财政监督检查和代理记账等8个项目工作，完成重点项目第三方绩效评价13个，对全州184个州直单位的预算公开、决算公开和财务报告核查。为保证州本级财政资金安全高效运行，按照区间分段方式计算4家代理银行服务费，全年区间分段代理银行服务支付2次，确保2024年州本级集中支付业务正常开展，有效提升财政工作效率。</w:t>
            </w:r>
          </w:p>
        </w:tc>
      </w:tr>
      <w:tr w14:paraId="42E6C0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937D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58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6E0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4D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975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B43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BA62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D66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469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1A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BBC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93C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DE6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C2C9">
            <w:pPr>
              <w:jc w:val="center"/>
            </w:pPr>
            <w:r>
              <w:rPr>
                <w:rFonts w:ascii="宋体" w:hAnsi="宋体" w:eastAsia="宋体"/>
                <w:sz w:val="16"/>
              </w:rPr>
              <w:t>偏差原因分析及改进措施</w:t>
            </w:r>
          </w:p>
        </w:tc>
      </w:tr>
      <w:tr w14:paraId="20021C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3448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F832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444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3BBC">
            <w:pPr>
              <w:jc w:val="center"/>
            </w:pPr>
            <w:r>
              <w:rPr>
                <w:rFonts w:ascii="宋体" w:hAnsi="宋体" w:eastAsia="宋体"/>
                <w:sz w:val="16"/>
              </w:rPr>
              <w:t>委托第三方机构数量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EEEB">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D7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0A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B3F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AE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54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BDF9">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D8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E35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84E7">
            <w:pPr>
              <w:jc w:val="center"/>
            </w:pPr>
          </w:p>
        </w:tc>
      </w:tr>
      <w:tr w14:paraId="2582E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901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F5A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46A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1334">
            <w:pPr>
              <w:jc w:val="center"/>
            </w:pPr>
            <w:r>
              <w:rPr>
                <w:rFonts w:ascii="宋体" w:hAnsi="宋体" w:eastAsia="宋体"/>
                <w:sz w:val="16"/>
              </w:rPr>
              <w:t>委托第三方机构服务项目数量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1387F">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0B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FD6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21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8F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AFE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B874">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2B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7E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38B6">
            <w:pPr>
              <w:jc w:val="center"/>
            </w:pPr>
          </w:p>
        </w:tc>
      </w:tr>
      <w:tr w14:paraId="3B76C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D6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A81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05B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5881">
            <w:pPr>
              <w:jc w:val="center"/>
            </w:pPr>
            <w:r>
              <w:rPr>
                <w:rFonts w:ascii="宋体" w:hAnsi="宋体" w:eastAsia="宋体"/>
                <w:sz w:val="16"/>
              </w:rPr>
              <w:t>国库代理银行数量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EAF8">
            <w:pPr>
              <w:jc w:val="center"/>
            </w:pPr>
            <w:r>
              <w:rPr>
                <w:rFonts w:ascii="宋体" w:hAnsi="宋体" w:eastAsia="宋体"/>
                <w:sz w:val="16"/>
              </w:rPr>
              <w:t>&gt;=4家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21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60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524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3F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F8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A53B">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4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F0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060C8">
            <w:pPr>
              <w:jc w:val="center"/>
            </w:pPr>
          </w:p>
        </w:tc>
      </w:tr>
      <w:tr w14:paraId="6F4758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AF4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88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01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30F6">
            <w:pPr>
              <w:jc w:val="center"/>
            </w:pPr>
            <w:r>
              <w:rPr>
                <w:rFonts w:ascii="宋体" w:hAnsi="宋体" w:eastAsia="宋体"/>
                <w:sz w:val="16"/>
              </w:rPr>
              <w:t>区间分段代理银行服务支付次数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897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71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1C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D90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07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017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0D8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F0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97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0096">
            <w:pPr>
              <w:jc w:val="center"/>
            </w:pPr>
          </w:p>
        </w:tc>
      </w:tr>
      <w:tr w14:paraId="704830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0B9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A38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93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E4C6">
            <w:pPr>
              <w:jc w:val="center"/>
            </w:pPr>
            <w:r>
              <w:rPr>
                <w:rFonts w:ascii="宋体" w:hAnsi="宋体" w:eastAsia="宋体"/>
                <w:sz w:val="16"/>
              </w:rPr>
              <w:t>委托第三方机构核查州直单位数量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7523">
            <w:pPr>
              <w:jc w:val="center"/>
            </w:pPr>
            <w:r>
              <w:rPr>
                <w:rFonts w:ascii="宋体" w:hAnsi="宋体" w:eastAsia="宋体"/>
                <w:sz w:val="16"/>
              </w:rPr>
              <w:t>&gt;=170个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1E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C8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66C7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A0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DB8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77F9">
            <w:pPr>
              <w:jc w:val="center"/>
            </w:pPr>
            <w:r>
              <w:rPr>
                <w:rFonts w:ascii="宋体" w:hAnsi="宋体" w:eastAsia="宋体"/>
                <w:sz w:val="16"/>
              </w:rPr>
              <w:t>=184个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B4B3">
            <w:pPr>
              <w:jc w:val="center"/>
            </w:pPr>
            <w:r>
              <w:rPr>
                <w:rFonts w:ascii="宋体" w:hAnsi="宋体" w:eastAsia="宋体"/>
                <w:sz w:val="16"/>
              </w:rPr>
              <w:t>108.24%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E279A">
            <w:pPr>
              <w:jc w:val="center"/>
            </w:pPr>
            <w:r>
              <w:rPr>
                <w:rFonts w:ascii="宋体" w:hAnsi="宋体" w:eastAsia="宋体"/>
                <w:sz w:val="16"/>
              </w:rPr>
              <w:t>3.67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1CDB">
            <w:pPr>
              <w:jc w:val="center"/>
            </w:pPr>
            <w:r>
              <w:rPr>
                <w:rFonts w:ascii="宋体" w:hAnsi="宋体" w:eastAsia="宋体"/>
                <w:sz w:val="16"/>
              </w:rPr>
              <w:t>核查单位包含部门汇总，故单位数量增加。</w:t>
            </w:r>
          </w:p>
        </w:tc>
      </w:tr>
      <w:tr w14:paraId="3FCA3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7C9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1CF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892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8E2AC">
            <w:pPr>
              <w:jc w:val="center"/>
            </w:pPr>
            <w:r>
              <w:rPr>
                <w:rFonts w:ascii="宋体" w:hAnsi="宋体" w:eastAsia="宋体"/>
                <w:sz w:val="16"/>
              </w:rPr>
              <w:t>重点项目第三方绩效评价报告数量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83DB">
            <w:pPr>
              <w:jc w:val="center"/>
            </w:pPr>
            <w:r>
              <w:rPr>
                <w:rFonts w:ascii="宋体" w:hAnsi="宋体" w:eastAsia="宋体"/>
                <w:sz w:val="16"/>
              </w:rPr>
              <w:t>&gt;=13个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E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08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19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D0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D0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BF8A">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CE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1D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E0A4">
            <w:pPr>
              <w:jc w:val="center"/>
            </w:pPr>
          </w:p>
        </w:tc>
      </w:tr>
      <w:tr w14:paraId="30EF87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510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55D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7D5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DB2EF">
            <w:pPr>
              <w:jc w:val="center"/>
            </w:pPr>
            <w:r>
              <w:rPr>
                <w:rFonts w:ascii="宋体" w:hAnsi="宋体" w:eastAsia="宋体"/>
                <w:sz w:val="16"/>
              </w:rPr>
              <w:t>委托服务项目合同履约率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8CB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D3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8D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634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D93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78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84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E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83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11F8">
            <w:pPr>
              <w:jc w:val="center"/>
            </w:pPr>
          </w:p>
        </w:tc>
      </w:tr>
      <w:tr w14:paraId="27FC7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BB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B2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E30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F0C1">
            <w:pPr>
              <w:jc w:val="center"/>
            </w:pPr>
            <w:r>
              <w:rPr>
                <w:rFonts w:ascii="宋体" w:hAnsi="宋体" w:eastAsia="宋体"/>
                <w:sz w:val="16"/>
              </w:rPr>
              <w:t>代理银行服务资金支付准确率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80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E8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1D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7EF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57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3D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7C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28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E8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4F05B">
            <w:pPr>
              <w:jc w:val="center"/>
            </w:pPr>
          </w:p>
        </w:tc>
      </w:tr>
      <w:tr w14:paraId="01FA4B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E25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582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742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82CD">
            <w:pPr>
              <w:jc w:val="center"/>
            </w:pPr>
            <w:r>
              <w:rPr>
                <w:rFonts w:ascii="宋体" w:hAnsi="宋体" w:eastAsia="宋体"/>
                <w:sz w:val="16"/>
              </w:rPr>
              <w:t>年度任务完成时间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8005">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E2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6F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56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D380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BC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14AD">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0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98D9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A3FF">
            <w:pPr>
              <w:jc w:val="center"/>
            </w:pPr>
          </w:p>
        </w:tc>
      </w:tr>
      <w:tr w14:paraId="4A029E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965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A6F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61B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A059">
            <w:pPr>
              <w:jc w:val="center"/>
            </w:pPr>
            <w:r>
              <w:rPr>
                <w:rFonts w:ascii="宋体" w:hAnsi="宋体" w:eastAsia="宋体"/>
                <w:sz w:val="16"/>
              </w:rPr>
              <w:t>代理银行服务资金支付及时率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0E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57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D39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52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A5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02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91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4B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5E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3A00">
            <w:pPr>
              <w:jc w:val="center"/>
            </w:pPr>
          </w:p>
        </w:tc>
      </w:tr>
      <w:tr w14:paraId="2506A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9FB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E66A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177C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196E1">
            <w:pPr>
              <w:jc w:val="center"/>
            </w:pPr>
            <w:r>
              <w:rPr>
                <w:rFonts w:ascii="宋体" w:hAnsi="宋体" w:eastAsia="宋体"/>
                <w:sz w:val="16"/>
              </w:rPr>
              <w:t>委托第三方机构工作成本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E546">
            <w:pPr>
              <w:jc w:val="center"/>
            </w:pPr>
            <w:r>
              <w:rPr>
                <w:rFonts w:ascii="宋体" w:hAnsi="宋体" w:eastAsia="宋体"/>
                <w:sz w:val="16"/>
              </w:rPr>
              <w:t>&lt;=129.50万元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0B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84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75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22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ED1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AA9A1">
            <w:pPr>
              <w:jc w:val="center"/>
            </w:pPr>
            <w:r>
              <w:rPr>
                <w:rFonts w:ascii="宋体" w:hAnsi="宋体" w:eastAsia="宋体"/>
                <w:sz w:val="16"/>
              </w:rPr>
              <w:t>=129.5万元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F33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F2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7D89">
            <w:pPr>
              <w:jc w:val="center"/>
            </w:pPr>
          </w:p>
        </w:tc>
      </w:tr>
      <w:tr w14:paraId="6548DE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B9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1D2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36E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5143B">
            <w:pPr>
              <w:jc w:val="center"/>
            </w:pPr>
            <w:r>
              <w:rPr>
                <w:rFonts w:ascii="宋体" w:hAnsi="宋体" w:eastAsia="宋体"/>
                <w:sz w:val="16"/>
              </w:rPr>
              <w:t>平均每次区间分段代理银行服务成本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20463">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31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B0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E46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86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71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31B1">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55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A5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DA518">
            <w:pPr>
              <w:jc w:val="center"/>
            </w:pPr>
          </w:p>
        </w:tc>
      </w:tr>
      <w:tr w14:paraId="19641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FD1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CE5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36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A409">
            <w:pPr>
              <w:jc w:val="center"/>
            </w:pPr>
            <w:r>
              <w:rPr>
                <w:rFonts w:ascii="宋体" w:hAnsi="宋体" w:eastAsia="宋体"/>
                <w:sz w:val="16"/>
              </w:rPr>
              <w:t>提升财政工作效率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270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F0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B4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13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9B9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17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2A8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6A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5E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73A3">
            <w:pPr>
              <w:jc w:val="center"/>
            </w:pPr>
          </w:p>
        </w:tc>
      </w:tr>
      <w:tr w14:paraId="19006D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323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41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0DF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9325">
            <w:pPr>
              <w:jc w:val="center"/>
            </w:pPr>
            <w:r>
              <w:rPr>
                <w:rFonts w:ascii="宋体" w:hAnsi="宋体" w:eastAsia="宋体"/>
                <w:sz w:val="16"/>
              </w:rPr>
              <w:t>州直单位财政工作满意度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8AB6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E5B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2D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DB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F7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4B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523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B1F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087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C5D2">
            <w:pPr>
              <w:jc w:val="center"/>
            </w:pPr>
          </w:p>
        </w:tc>
      </w:tr>
      <w:tr w14:paraId="74A39AD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BACA0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EE97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BD92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43AA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86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EBB5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4A01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6482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AE7D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27A8">
            <w:pPr>
              <w:jc w:val="center"/>
            </w:pPr>
            <w:r>
              <w:rPr>
                <w:rFonts w:ascii="宋体" w:hAnsi="宋体" w:eastAsia="宋体"/>
                <w:sz w:val="16"/>
              </w:rPr>
              <w:t>99.67分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8D7947"/>
        </w:tc>
      </w:tr>
    </w:tbl>
    <w:p w14:paraId="567FE462">
      <w:r>
        <w:br w:type="page"/>
      </w:r>
    </w:p>
    <w:p w14:paraId="32D6D1FB">
      <w:pPr>
        <w:spacing w:line="640" w:lineRule="exact"/>
        <w:ind w:firstLine="640"/>
        <w:jc w:val="both"/>
        <w:outlineLvl w:val="2"/>
      </w:pPr>
      <w:r>
        <w:rPr>
          <w:rFonts w:ascii="黑体" w:hAnsi="黑体" w:eastAsia="黑体"/>
          <w:sz w:val="32"/>
        </w:rPr>
        <w:t>十二、其他需说明的事项</w:t>
      </w:r>
    </w:p>
    <w:p w14:paraId="1B7DA155">
      <w:pPr>
        <w:spacing w:line="580" w:lineRule="exact"/>
        <w:ind w:firstLine="640"/>
        <w:jc w:val="both"/>
      </w:pPr>
      <w:r>
        <w:rPr>
          <w:rFonts w:ascii="仿宋_GB2312" w:hAnsi="仿宋_GB2312" w:eastAsia="仿宋_GB2312"/>
          <w:b w:val="0"/>
          <w:sz w:val="32"/>
        </w:rPr>
        <w:t>本部门无其他需说明的事项。</w:t>
      </w:r>
    </w:p>
    <w:p w14:paraId="1C5059E6">
      <w:r>
        <w:br w:type="page"/>
      </w:r>
    </w:p>
    <w:p w14:paraId="2EB8A3E5">
      <w:pPr>
        <w:spacing w:line="240" w:lineRule="auto"/>
        <w:jc w:val="center"/>
        <w:outlineLvl w:val="1"/>
      </w:pPr>
      <w:r>
        <w:rPr>
          <w:rFonts w:ascii="黑体" w:hAnsi="黑体" w:eastAsia="黑体"/>
          <w:sz w:val="32"/>
        </w:rPr>
        <w:t>第三部分 专业名词解释</w:t>
      </w:r>
    </w:p>
    <w:p w14:paraId="79F6F3E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2039F0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F0F18F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B01989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D5DA5A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D4F757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326D7C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89169A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DCEC2A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5274C9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50832B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56534E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CED1CA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0C659F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264100C">
      <w:r>
        <w:br w:type="page"/>
      </w:r>
    </w:p>
    <w:p w14:paraId="2960E07E">
      <w:pPr>
        <w:spacing w:line="240" w:lineRule="auto"/>
        <w:jc w:val="center"/>
        <w:outlineLvl w:val="1"/>
      </w:pPr>
      <w:r>
        <w:rPr>
          <w:rFonts w:ascii="黑体" w:hAnsi="黑体" w:eastAsia="黑体"/>
          <w:sz w:val="32"/>
        </w:rPr>
        <w:t>第四部分 部门决算报表（见附表）</w:t>
      </w:r>
    </w:p>
    <w:p w14:paraId="74014A5B">
      <w:pPr>
        <w:spacing w:line="240" w:lineRule="auto"/>
        <w:ind w:firstLine="640"/>
        <w:jc w:val="both"/>
      </w:pPr>
      <w:r>
        <w:rPr>
          <w:rFonts w:ascii="仿宋_GB2312" w:hAnsi="仿宋_GB2312" w:eastAsia="仿宋_GB2312"/>
          <w:b w:val="0"/>
          <w:sz w:val="32"/>
        </w:rPr>
        <w:t>一、《收入支出决算总表》</w:t>
      </w:r>
    </w:p>
    <w:p w14:paraId="6E0E696F">
      <w:pPr>
        <w:spacing w:line="240" w:lineRule="auto"/>
        <w:ind w:firstLine="640"/>
        <w:jc w:val="both"/>
      </w:pPr>
      <w:r>
        <w:rPr>
          <w:rFonts w:ascii="仿宋_GB2312" w:hAnsi="仿宋_GB2312" w:eastAsia="仿宋_GB2312"/>
          <w:b w:val="0"/>
          <w:sz w:val="32"/>
        </w:rPr>
        <w:t>二、《收入决算表》</w:t>
      </w:r>
    </w:p>
    <w:p w14:paraId="3BF5C46A">
      <w:pPr>
        <w:spacing w:line="240" w:lineRule="auto"/>
        <w:ind w:firstLine="640"/>
        <w:jc w:val="both"/>
      </w:pPr>
      <w:r>
        <w:rPr>
          <w:rFonts w:ascii="仿宋_GB2312" w:hAnsi="仿宋_GB2312" w:eastAsia="仿宋_GB2312"/>
          <w:b w:val="0"/>
          <w:sz w:val="32"/>
        </w:rPr>
        <w:t>三、《支出决算表》</w:t>
      </w:r>
    </w:p>
    <w:p w14:paraId="6F71F8F0">
      <w:pPr>
        <w:spacing w:line="240" w:lineRule="auto"/>
        <w:ind w:firstLine="640"/>
        <w:jc w:val="both"/>
      </w:pPr>
      <w:r>
        <w:rPr>
          <w:rFonts w:ascii="仿宋_GB2312" w:hAnsi="仿宋_GB2312" w:eastAsia="仿宋_GB2312"/>
          <w:b w:val="0"/>
          <w:sz w:val="32"/>
        </w:rPr>
        <w:t>四、《财政拨款收入支出决算总表》</w:t>
      </w:r>
    </w:p>
    <w:p w14:paraId="33DC7651">
      <w:pPr>
        <w:spacing w:line="240" w:lineRule="auto"/>
        <w:ind w:firstLine="640"/>
        <w:jc w:val="both"/>
      </w:pPr>
      <w:r>
        <w:rPr>
          <w:rFonts w:ascii="仿宋_GB2312" w:hAnsi="仿宋_GB2312" w:eastAsia="仿宋_GB2312"/>
          <w:b w:val="0"/>
          <w:sz w:val="32"/>
        </w:rPr>
        <w:t>五、《一般公共预算财政拨款支出决算表》</w:t>
      </w:r>
    </w:p>
    <w:p w14:paraId="795B08B5">
      <w:pPr>
        <w:spacing w:line="240" w:lineRule="auto"/>
        <w:ind w:firstLine="640"/>
        <w:jc w:val="both"/>
      </w:pPr>
      <w:r>
        <w:rPr>
          <w:rFonts w:ascii="仿宋_GB2312" w:hAnsi="仿宋_GB2312" w:eastAsia="仿宋_GB2312"/>
          <w:b w:val="0"/>
          <w:sz w:val="32"/>
        </w:rPr>
        <w:t>六、《一般公共预算财政拨款基本支出决算表》</w:t>
      </w:r>
    </w:p>
    <w:p w14:paraId="39ADEC79">
      <w:pPr>
        <w:spacing w:line="240" w:lineRule="auto"/>
        <w:ind w:firstLine="640"/>
        <w:jc w:val="both"/>
      </w:pPr>
      <w:r>
        <w:rPr>
          <w:rFonts w:ascii="仿宋_GB2312" w:hAnsi="仿宋_GB2312" w:eastAsia="仿宋_GB2312"/>
          <w:b w:val="0"/>
          <w:sz w:val="32"/>
        </w:rPr>
        <w:t>七、《政府性基金预算财政拨款收入支出决算表》</w:t>
      </w:r>
    </w:p>
    <w:p w14:paraId="4C68D595">
      <w:pPr>
        <w:spacing w:line="240" w:lineRule="auto"/>
        <w:ind w:firstLine="640"/>
        <w:jc w:val="both"/>
      </w:pPr>
      <w:r>
        <w:rPr>
          <w:rFonts w:ascii="仿宋_GB2312" w:hAnsi="仿宋_GB2312" w:eastAsia="仿宋_GB2312"/>
          <w:b w:val="0"/>
          <w:sz w:val="32"/>
        </w:rPr>
        <w:t>八、《国有资本经营预算财政拨款收入支出决算表》</w:t>
      </w:r>
    </w:p>
    <w:p w14:paraId="5C372D72">
      <w:pPr>
        <w:spacing w:line="240" w:lineRule="auto"/>
        <w:ind w:firstLine="640"/>
        <w:jc w:val="both"/>
      </w:pPr>
      <w:r>
        <w:rPr>
          <w:rFonts w:ascii="仿宋_GB2312" w:hAnsi="仿宋_GB2312" w:eastAsia="仿宋_GB2312"/>
          <w:b w:val="0"/>
          <w:sz w:val="32"/>
        </w:rPr>
        <w:t>九、《财政拨款“三公”经费支出决算表》</w:t>
      </w:r>
    </w:p>
    <w:p w14:paraId="0F35F817">
      <w:pPr>
        <w:spacing w:line="240" w:lineRule="auto"/>
        <w:ind w:firstLine="640"/>
        <w:jc w:val="both"/>
      </w:pPr>
    </w:p>
    <w:p w14:paraId="7DADE78D">
      <w:pPr>
        <w:spacing w:line="240" w:lineRule="auto"/>
        <w:ind w:firstLine="640"/>
        <w:jc w:val="both"/>
      </w:pPr>
    </w:p>
    <w:p w14:paraId="6FFD6694">
      <w:pPr>
        <w:spacing w:line="240" w:lineRule="auto"/>
        <w:ind w:firstLine="640"/>
        <w:jc w:val="both"/>
      </w:pPr>
    </w:p>
    <w:p w14:paraId="3BB3AC05">
      <w:pPr>
        <w:spacing w:line="240" w:lineRule="auto"/>
        <w:ind w:firstLine="640"/>
        <w:jc w:val="both"/>
      </w:pPr>
    </w:p>
    <w:p w14:paraId="0DB0BBB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4D1A5C-08F5-4243-A70E-350E88D35F7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BD397F8-469A-4A66-BD5A-0FC976CD7AD2}"/>
  </w:font>
  <w:font w:name="仿宋_GB2312">
    <w:panose1 w:val="02010609030101010101"/>
    <w:charset w:val="86"/>
    <w:family w:val="modern"/>
    <w:pitch w:val="default"/>
    <w:sig w:usb0="00000001" w:usb1="080E0000" w:usb2="00000000" w:usb3="00000000" w:csb0="00040000" w:csb1="00000000"/>
    <w:embedRegular r:id="rId3" w:fontKey="{C5713ECC-3BF9-4B0E-B80C-239BA76D2F8F}"/>
  </w:font>
  <w:font w:name="楷体_GB2312">
    <w:panose1 w:val="02010609030101010101"/>
    <w:charset w:val="86"/>
    <w:family w:val="auto"/>
    <w:pitch w:val="default"/>
    <w:sig w:usb0="00000001" w:usb1="080E0000" w:usb2="00000000" w:usb3="00000000" w:csb0="00040000" w:csb1="00000000"/>
    <w:embedRegular r:id="rId4" w:fontKey="{E06869BA-15E7-48D7-B6DF-33C67390FD5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312A36"/>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103D4E"/>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420410"/>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7261</Words>
  <Characters>8156</Characters>
  <Lines>0</Lines>
  <Paragraphs>0</Paragraphs>
  <TotalTime>8</TotalTime>
  <ScaleCrop>false</ScaleCrop>
  <LinksUpToDate>false</LinksUpToDate>
  <CharactersWithSpaces>8165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2025-09-11T10:43:15Z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