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EC6F3D"/>
    <w:p w14:paraId="45445303">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669A6EE0">
      <w:pPr>
        <w:spacing w:line="540" w:lineRule="exact"/>
        <w:jc w:val="center"/>
        <w:rPr>
          <w:rFonts w:ascii="华文中宋" w:hAnsi="华文中宋" w:eastAsia="华文中宋" w:cs="宋体"/>
          <w:b/>
          <w:kern w:val="0"/>
          <w:sz w:val="52"/>
          <w:szCs w:val="52"/>
        </w:rPr>
      </w:pPr>
    </w:p>
    <w:p w14:paraId="09DCB2EE">
      <w:pPr>
        <w:spacing w:line="540" w:lineRule="exact"/>
        <w:jc w:val="center"/>
        <w:rPr>
          <w:rFonts w:ascii="华文中宋" w:hAnsi="华文中宋" w:eastAsia="华文中宋" w:cs="宋体"/>
          <w:b/>
          <w:kern w:val="0"/>
          <w:sz w:val="52"/>
          <w:szCs w:val="52"/>
        </w:rPr>
      </w:pPr>
    </w:p>
    <w:p w14:paraId="15AB0C41">
      <w:pPr>
        <w:spacing w:line="540" w:lineRule="exact"/>
        <w:jc w:val="center"/>
        <w:rPr>
          <w:rFonts w:ascii="华文中宋" w:hAnsi="华文中宋" w:eastAsia="华文中宋" w:cs="宋体"/>
          <w:b/>
          <w:kern w:val="0"/>
          <w:sz w:val="52"/>
          <w:szCs w:val="52"/>
        </w:rPr>
      </w:pPr>
    </w:p>
    <w:p w14:paraId="1FADF8B6">
      <w:pPr>
        <w:spacing w:line="540" w:lineRule="exact"/>
        <w:jc w:val="center"/>
        <w:rPr>
          <w:rFonts w:ascii="华文中宋" w:hAnsi="华文中宋" w:eastAsia="华文中宋" w:cs="宋体"/>
          <w:b/>
          <w:kern w:val="0"/>
          <w:sz w:val="52"/>
          <w:szCs w:val="52"/>
        </w:rPr>
      </w:pPr>
    </w:p>
    <w:p w14:paraId="08746C8D">
      <w:pPr>
        <w:spacing w:line="540" w:lineRule="exact"/>
        <w:jc w:val="center"/>
        <w:rPr>
          <w:rFonts w:ascii="华文中宋" w:hAnsi="华文中宋" w:eastAsia="华文中宋" w:cs="宋体"/>
          <w:b/>
          <w:kern w:val="0"/>
          <w:sz w:val="52"/>
          <w:szCs w:val="52"/>
        </w:rPr>
      </w:pPr>
    </w:p>
    <w:p w14:paraId="6A2EF4D4">
      <w:pPr>
        <w:spacing w:line="540" w:lineRule="exact"/>
        <w:jc w:val="center"/>
        <w:rPr>
          <w:rFonts w:ascii="华文中宋" w:hAnsi="华文中宋" w:eastAsia="华文中宋" w:cs="宋体"/>
          <w:b/>
          <w:kern w:val="0"/>
          <w:sz w:val="52"/>
          <w:szCs w:val="52"/>
        </w:rPr>
      </w:pPr>
    </w:p>
    <w:p w14:paraId="39DAC4E4">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6F4F02B6">
      <w:pPr>
        <w:spacing w:line="540" w:lineRule="exact"/>
        <w:jc w:val="center"/>
        <w:rPr>
          <w:rFonts w:ascii="华文中宋" w:hAnsi="华文中宋" w:eastAsia="华文中宋" w:cs="宋体"/>
          <w:b/>
          <w:kern w:val="0"/>
          <w:sz w:val="52"/>
          <w:szCs w:val="52"/>
        </w:rPr>
      </w:pPr>
    </w:p>
    <w:p w14:paraId="68B0F844">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7B7C7258">
      <w:pPr>
        <w:spacing w:line="540" w:lineRule="exact"/>
        <w:jc w:val="center"/>
        <w:rPr>
          <w:rFonts w:hAnsi="宋体" w:eastAsia="仿宋_GB2312" w:cs="宋体"/>
          <w:kern w:val="0"/>
          <w:sz w:val="30"/>
          <w:szCs w:val="30"/>
        </w:rPr>
      </w:pPr>
    </w:p>
    <w:p w14:paraId="29DB364C">
      <w:pPr>
        <w:spacing w:line="540" w:lineRule="exact"/>
        <w:jc w:val="center"/>
        <w:rPr>
          <w:rFonts w:hAnsi="宋体" w:eastAsia="仿宋_GB2312" w:cs="宋体"/>
          <w:kern w:val="0"/>
          <w:sz w:val="30"/>
          <w:szCs w:val="30"/>
        </w:rPr>
      </w:pPr>
    </w:p>
    <w:p w14:paraId="46D5794B">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70BECE88">
      <w:pPr>
        <w:spacing w:line="540" w:lineRule="exact"/>
        <w:jc w:val="center"/>
        <w:rPr>
          <w:rFonts w:hAnsi="宋体" w:eastAsia="仿宋_GB2312" w:cs="宋体"/>
          <w:kern w:val="0"/>
          <w:sz w:val="30"/>
          <w:szCs w:val="30"/>
        </w:rPr>
      </w:pPr>
    </w:p>
    <w:p w14:paraId="32720864">
      <w:pPr>
        <w:spacing w:line="540" w:lineRule="exact"/>
        <w:jc w:val="center"/>
        <w:rPr>
          <w:rFonts w:hAnsi="宋体" w:eastAsia="仿宋_GB2312" w:cs="宋体"/>
          <w:kern w:val="0"/>
          <w:sz w:val="30"/>
          <w:szCs w:val="30"/>
        </w:rPr>
      </w:pPr>
    </w:p>
    <w:p w14:paraId="1B38329E">
      <w:pPr>
        <w:spacing w:line="540" w:lineRule="exact"/>
        <w:jc w:val="center"/>
        <w:rPr>
          <w:rFonts w:hAnsi="宋体" w:eastAsia="仿宋_GB2312" w:cs="宋体"/>
          <w:kern w:val="0"/>
          <w:sz w:val="30"/>
          <w:szCs w:val="30"/>
        </w:rPr>
      </w:pPr>
    </w:p>
    <w:p w14:paraId="7FA2D104">
      <w:pPr>
        <w:spacing w:line="540" w:lineRule="exact"/>
        <w:rPr>
          <w:rFonts w:hAnsi="宋体" w:eastAsia="仿宋_GB2312" w:cs="宋体"/>
          <w:kern w:val="0"/>
          <w:sz w:val="30"/>
          <w:szCs w:val="30"/>
        </w:rPr>
      </w:pPr>
    </w:p>
    <w:p w14:paraId="20CE6AB0">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1594CAC2">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种子检验、试验项目</w:t>
      </w:r>
    </w:p>
    <w:p w14:paraId="11D63DC6">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新疆</w:t>
      </w:r>
      <w:r>
        <w:rPr>
          <w:rStyle w:val="19"/>
          <w:rFonts w:hint="eastAsia" w:ascii="楷体" w:hAnsi="楷体" w:eastAsia="楷体"/>
          <w:spacing w:val="-4"/>
          <w:sz w:val="28"/>
          <w:szCs w:val="28"/>
          <w:lang w:eastAsia="zh-CN"/>
        </w:rPr>
        <w:t>巴音郭楞蒙古自治州</w:t>
      </w:r>
      <w:bookmarkStart w:id="0" w:name="_GoBack"/>
      <w:bookmarkEnd w:id="0"/>
      <w:r>
        <w:rPr>
          <w:rStyle w:val="19"/>
          <w:rFonts w:hint="eastAsia" w:ascii="楷体" w:hAnsi="楷体" w:eastAsia="楷体"/>
          <w:spacing w:val="-4"/>
          <w:sz w:val="28"/>
          <w:szCs w:val="28"/>
        </w:rPr>
        <w:t>种子管理站</w:t>
      </w:r>
    </w:p>
    <w:p w14:paraId="759A1344">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新疆巴音郭楞蒙古自治州种子管理站</w:t>
      </w:r>
    </w:p>
    <w:p w14:paraId="21974FAC">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谢庆强</w:t>
      </w:r>
    </w:p>
    <w:p w14:paraId="61479D65">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2025年03月26日</w:t>
      </w:r>
    </w:p>
    <w:p w14:paraId="3AF0AD18">
      <w:pPr>
        <w:spacing w:line="700" w:lineRule="exact"/>
        <w:ind w:firstLine="708" w:firstLineChars="236"/>
        <w:jc w:val="left"/>
        <w:rPr>
          <w:rFonts w:hAnsi="宋体" w:eastAsia="仿宋_GB2312" w:cs="宋体"/>
          <w:kern w:val="0"/>
          <w:sz w:val="30"/>
          <w:szCs w:val="30"/>
        </w:rPr>
      </w:pPr>
    </w:p>
    <w:p w14:paraId="4BEC6D45">
      <w:pPr>
        <w:spacing w:line="540" w:lineRule="exact"/>
        <w:rPr>
          <w:rStyle w:val="19"/>
          <w:rFonts w:ascii="黑体" w:hAnsi="黑体" w:eastAsia="黑体"/>
          <w:b w:val="0"/>
          <w:spacing w:val="-4"/>
          <w:sz w:val="32"/>
          <w:szCs w:val="32"/>
        </w:rPr>
      </w:pPr>
    </w:p>
    <w:p w14:paraId="377DE794">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6508C60D">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64B377F1">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1.项目背景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种子检验、试验项目是保障农业安全生产、推动种业科技创新的重要基础工作。种子作为农业的“芯片”，其质量直接关系到粮食安全和农民收入。根据《中华人民共和国种子法》和《农作物种子质量标准》等法律法规要求，结合巴州种子管理站主要职责“开展农作物种子质量监督检验、农作物品种引进、试验、示范，做好科技服务等工作”，2024年冬春两季在州域内开展农作物种子市场及企业种子质量抽检及室内检验工作，确保农作物种子下地前种子质量达到国家标准，从品种源头上把好种子质量关，有效防止不合格种子进入农业生产环节，保障农民用种安全；在农作物制种关键期要进行田间纯度鉴定，确保种子纯度达到制种要求；品种更新换代需要经过品种引进、对比、示范、推广等过程，因此在州域内开展棉花、小麦等农作物品种试验对良种转化、推广等具有重要意义。</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2.项目主要内容及实施情况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主要内容：为了规范种子市场秩序，有效保障农民用种安全，不断优化种植结构，巴州种子管理站实施种子检验、试验项目。在农业生产关键节点，重点抽查种子经营门店、集中交易市场、企业等，对抽检的样品进行水分、净度、芽率等种子室内检测，从品种源头上把好种子质量关。在棉花、小麦等农作物制种关键期，开展农作物田间检验工作。在全州开展棉花、小麦、玉米等农作物新品种引进、试验、示范，为农民科学选种提供数据支撑。</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情况：在农业生产关键节点，10名人员赴县市开展农作物种子质量抽检工作，重点抽查种子经营门店、集中交易市场、企业等，种子室内检验检测批次120次以上，对抽检的样品进行水分、净度、芽率等指标检测，种子室内检测合格率达100%。完成棉花、小麦等农作物田间检验35万亩；完成在全州开展棉花、小麦、玉米等农作物新品种引进、试验、示范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3.资金投入和使用情况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（1）资金投入情况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该项目年初预算数14.4万元，全年预算数14.4万元，该项目资金已全部落实到位，资金来源为财政拨款。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14.4万元，全年预算数14.4万元，全年执行数14.22万元，其中种子室内检验成本5.32万元，专业技术人员工作经费8.9万元，预算执行率为98.75%，主要用于办公费、印刷费、差旅费、维修（护）费等费用。</w:t>
      </w:r>
    </w:p>
    <w:p w14:paraId="2240C799">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26FC3AD3">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1.总体目标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单位10名专业技术人员利用单位一辆车完成州域内农作物田间检验及室内检验任务。田间检验以棉花为主，面积为35万亩；室内检验以检测农作物种子四项指标为主，2024年安排抽检市场及企业冬春季种子室内检测120余次。保证种子质量，为全州提供优良品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2.阶段性目标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计划第一季度开展春播农作物商品种子质量检验检测工作；开展小麦、孜然品种试验示范播种工作。第二季度开展冬（春）小麦、孜然种子制种田田间检验工作；开展棉花、玉米、辣椒等农作物品种试验示范播种工作。第三季度开展棉花种子制种田田间检验及冬小麦商品种子质量检验检测。第四季度开展农作物冬季商品种子质量检验检测工作；完成小麦、棉花、玉米、辣椒等农作物品种试验示范工作，形成工作报告。</w:t>
      </w:r>
    </w:p>
    <w:p w14:paraId="07DAFB21">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0F8DEC6F">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1D6356B4">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1.绩效评价完整性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本项目预算绩效评价报告在编制过程中，严格遵循相关法规与标准，确保评价内容的全面性与准确性。报告涵盖了项目从预算编制、执行到完成的全过程，对项目的各项绩效指标进行了细致的梳理与评估。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指标体系的构建上，充分考虑了项目的性质、目标以及预期成果，选取了具有代表性和可衡量性的关键指标，涵盖了社会效益、服务对象的满意度等多个维度，力求全方位反映项目的绩效状况。同时，对于每个指标的评价标准和数据来源均进行了明确说明，确保评价结果的客观性和可追溯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数据收集与分析环节，采用了数据采集分析、满意度调查等多种科学合理的方法，广泛收集了种子质量室内检验检测、田间植株农艺性状调查、测产等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2.绩效评价的目的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（1）评估项目实施效果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对项目预算执行情况及各项绩效目标达成程度的系统性分析，全面、客观地评估项目在预定周期内的实施效果，包括保障农民用种安全社会效益，种子企业、经销商、农民等服务对象的满意度等多维度指标，为项目后续的改进与优化提供科学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（2）提升资源利用效率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（3）强化项目管理责任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（4）为决策提供支持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（5）促进项目持续改进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编制以提升项目绩效为核心，旨在通过科学、严谨的评价工作，为项目管理与决策提供全方位、深层次的支持，推动项目在预算约束下实现高质量、可持续发展，充分发挥财政资金的社会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3.绩效评价的对象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对象是种子检验、试验项目及其预算执行情况。该项目由巴州种子管理站负责实施，旨在保证种子质量，保障农民用种安全。项目预算涵盖从2024年1月1日至2024年12月31日的全部资金投入与支出，涉及资金总额为14.4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4.绩效评价的范围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范围广泛而全面，涵盖了从项目立项至评价时点期间的所有关键预算活动和财务流程。本次评价从项目预算编制与执行（包括绩效目标、决策过程）、资金管理、项目实施进度与产出（包括项目实施、项目产出数量、产出质量、产出时效和产出成本）、项目效益四个维度对种子检验、试验项目进行评价，评价核心为资金的支出完成情况和效果。</w:t>
      </w:r>
    </w:p>
    <w:p w14:paraId="7B2CD30C">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03580AC7">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本次项目绩效评价遵循以下基本原则：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（1）科学公正。绩效评价应当运用科学合理的方法，按照规范的程序，对项目绩效进行客观、公正的反映。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（2）统筹兼顾。单位自评、部门评价和财政评价应职责明确，各有侧重，相互衔接。单位自评应由项目单位自主实施，即“谁支出、谁自评”。部门评价和财政评价应在单位自评的基础上开展。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（3）激励约束。绩效评价结果应与预算安排、政策调整、改进管理实质性挂钩，体现奖优罚劣和激励相容导向，有效要安排、低效要压减、无效要问责。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（4）公开透明。绩效评价结果应依法依规公开，并自觉接受社会监督。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绩效评价框架是开展绩效评价的核心。绩效评价框架包括评价准则、关键评价问题、评价指标、数据来源、数据收集方法等。指标体系建立过程如下：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（1）确定评价指标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（2）确定权重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确定各个指标相对于项目总体绩效的权重分值。在绩效评价指标体系中，项目决策权重为20分，项目过程权重为20分，项目产出权重为40分，项目效益权重为20分。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（3）确定指标标准值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指标标准值是绩效评价指标的尺度，既要反映同类项目的先进水平，又要符合项目的实际绩效水平。具体采用计划标准等确定此次绩效评价指标标准值。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绩效评价总分值100分，根据综合评分结果，90（含）-100分为优、80（含）-90分为良、60（含）-80分为中、60分以下为差。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具体评价指标体系详情见附件1</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绩效评价从项目决策、项目过程、项目产出、项目效益四个维度进行评价。评价对象为项目目标实施情况，评价核心为资金的支出完成情况和项目的产出效益。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指标中，既有定性指标又有定量指标，各类指标因考核内容不同和客观标准不同存在较大差异，因此本次项目支出绩效自评采用了比较法。原因是：比较法能通过对年初设置的三级指标内容与完成情况进行对比，可以清楚明了体现出项目实施情况，在此基础上进行评价。按照财政项目支出绩效自评工作的要求，结合我单位实际，组织相关人员根据项目绩效表的指标内容，对此项目所有内容进行核实和考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标准通常包括计划标准、行业标准、历史标准等，用于对绩效指标完成情况进行比较、分析、评价。本次项目支出绩效自评采用计划标准，原因是：该项目根据年初制定的项目实施方案确定项目绩效目标三级指标并量化，以便提高预算编制和预算额度测算准确率，使评价结果更加科学真实。</w:t>
      </w:r>
    </w:p>
    <w:p w14:paraId="78AC90C4">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22C89C05">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1.前期准备与规划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绩效评价工作启动之初，成立了专门的评价工作小组，小组成员由财务人员、项目管理专业人员及相关领域技术骨干组成，确保从多角度、全方位对项目绩效进行评价。同时，明确了评价工作的目标、范围、重点及时间安排，制定了详细的工作计划，为评价工作的顺利开展奠定了坚实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2.指标体系构建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依据项目的性质、目标以及预期成果，构建了科学合理的绩效评价指标体系。该指标体系涵盖了项目决策、项目过程、项目产出、项目效益四个维度，选取了具有代表性和可衡量性的关键指标，并为每个指标设定了明确的评价标准与权重，确保评价结果能够全面、准确地反映项目的绩效状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3.数据收集与整理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广泛收集与项目相关的各类数据，如采集了种子质量室内检验检测、田间植株农艺性状调查、测产等相关数据，调取项目支出凭证，种子企业、经销商、农民等服务对象信息反馈。在数据收集过程中，注重数据的质量与完整性，对缺失或异常的数据进行了合理的处理和补充。随后，对收集到的数据进行了系统的整理与分类，为后续的数据分析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4.数据分析与评估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5.报告撰写与反馈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6.后续跟踪与改进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5CA7BE1D">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744F07A2">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（一）评价情况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综合评价基于对项目各方面绩效的深入分析与评估。从项目目标的达成情况来看，种子检验、试验项目在种子室内检验检测、种子试验等方面表现出色，达到了预期的标准与要求。如种子室内检测合格率指标95%，实际完成100%，有效防止不合格种子进入农业生产环节。同时，通过种子质量室内检验检测、制种田田间检验，进一步规范了种子市场秩序，在保障农民用种安全社会效益方面取得了显著的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在项目管理方面，巴州种子管理站通过有效的规划、组织与协调，项目得以顺利实施，并在预算与时间上保持了良好的控制。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从项目效益的角度来看，本项目不仅实现了预期的社会效益方面产生了积极的影响。具体而言，保障农民用种安全等方面的提升，为项目的利益相关者带来了实实在在的利益。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综上所述，种子检验、试验项目在绩效评价中表现出色，达到了项目的预期目标，并在多个方面取得了显著的成效。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运用绩效评价组制定的评价指标体系以及财政部《项目支出绩效评价管理办法》（财预〔2020〕10号）文件的评分标准，通过数据采集、问卷调查等方式，对本项目进行客观评价，最终评分结果：总得分为99.42分，属于“优”。其中，项目决策类指标权重为20分，得分为20分，得分率为100%。项目过程类指标权重为20分，得分为19.95分，得分率为99.75%。项目产出类指标权重为40分，得分为39.67分，得分率为99.18%。项目效益类指标权重为20分，得分为19.8分，得分率为99%。具体打分情况详见：附件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表1综合评分表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一级指标 权重分 得分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项目过程 20 19.95</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 40 39.67</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项目效益 20 19.8</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合计 100 99.42</w:t>
      </w:r>
    </w:p>
    <w:p w14:paraId="38434D37">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2CF50AA5">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481C6FF8">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（一）项目决策情况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项目决策类指标包括项目立项、绩效目标和资金投入三方面的内容，由6个三级指标构成，权重分值为20分，实际得分20分，得分率为100%。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1.项目立项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（1）立项依据充分性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立项符合《中华人民共和国种子法》《种子质量标准》等国家相关法律法规及种业发展需求，符合现代农业种业发展规划和政策要求，围绕本年度工作重点和工作计划制定经费预算，属于公共财政支持范围。本项目与部门内部其他相关项目不重复。部门发展规划及职能文件等归档完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此项权重分3分，得分3分。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（2）立项程序规范性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集体决策，保障了程序的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此项权重分3分，得分3分。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此项权重分3分，得分3分。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项目设置了明确的预期产出效益和效果，将绩效目标细化分解为具体的绩效指标，绩效目标与项目目标任务数相对应，绩效目标设定的绩效指标清晰、细化、可衡量。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此项权重分3分，得分3分。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（1）预算编制科学性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预算编制过程中，还注重了成本控制与效益最大化的原则。通过优化资源配置、提高资金使用效率等措施，确保项目在有限的预算内取得最大的社会效益，如通过种子质量室内检验检测、制种田田间检验，进一步规范了种子市场秩序，在保障农民用种安全社会效益方面取得了显著的成效。此外，预算编制还充分考虑了风险因素，对可能出现的超支情况进行了预留与规划，以应对项目实施过程中的不确定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本项目的资金分配遵循了公平、公正、透明的原则，确保了项目资源的合理配置与高效利用。在资金分配过程中，我们充分考虑了项目的实际需求与目标，对不同阶段、不同任务的资金进行了科学的规划与安排。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综上所述，本项目的资金分配是合理的、科学的，既符合项目的实际情况，又满足了资金使用的效益最大化要求。资金分配的合理性为项目的成功实施提供了有力的保障，也为项目的绩效评价奠定了坚实的基础。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p>
    <w:p w14:paraId="0813F268">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7A92726D">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项目过程类指标包括资金管理和组织实施两方面的内容，由5个三级指标构成，权重分值为20分，实际得分19.95分，得分率为99.75%。</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本项目总投资14.4万元，财政资金及时足额到位，到位率100%，预算资金按计划进度执行。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预算编制较为详细，项目资金支出总体能够按照预算执行，预算资金支出14.22万元，预算执行率为98.75%。</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此项权重分4分，得分3.95分。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符合国家财经法规和财务管理制度以及有关项目专项资金管理办法的规定，严格按照预期绩效目标执行预算资金。我站制定了相关的制度和管理规定，对项目经费使用进行规范管理，财务制度健全、执行严格。资金的拨付有完整的审批程序和手续，资金使用符合该项目的预算批复规定的用途。资金使用过程中不存在截留、挤占、挪用、虚列支出等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本项目拥有一套完善、健全的管理制度体系，为项目的成功实施提供了坚实的制度保障。项目管理制度的制定紧密结合了项目的特点与实际情况，涵盖了项目的策划、组织、实施、监控与收尾等各个环节。</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在制度设计上，我们注重了制度的科学性与可操作性，确保制度能够切实指导项目的执行与管理。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综上所述，本项目的管理制度是健全的、有效的，既符合项目的实际情况，又满足了项目管理的需要。管理制度的健全性为项目的成功实施提供了有力的保障，也为项目的绩效评价奠定了坚实的基础。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（2）制度执行有效性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在执行过程中，管理制度得到了全面、有效的落实，为确保项目的顺利实施与目标实现提供了坚实的保障。项目单位重视制度执行的重要性，通过明确责任分工、制定详细执行计划、加强监督考核等措施，确保了各项管理制度能够得到有效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在具体执行过程中，项目团队成员严格按照制度要求进行操作。同时，我们还建立了有效的沟通机制与反馈机制，确保项目信息的及时传递与问题的及时解决，进一步提高了制度执行的效率与效果。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综上所述，本项目的管理制度在执行过程中表现出了高度的有效性，既确保了项目的顺利进行，又实现了项目目标的有效达成。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p>
    <w:p w14:paraId="40ED260A">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3026F1A1">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项目产出类指标包括产出数量、产出质量、产出时效、产出成本四方面的内容，由9个三级指标构成，权重分为40分，实际得分39.84分，得分率为99.6%。具体产出指标完成情况如下：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①数量指标：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指标1：种子室内检测检测批次，指标值：≥120次，实际完成值：120次，指标完成率100%。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指标2：保障专业技术人员数量，指标值：≥10人，实际完成值：10人，指标完成率100%。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指标3：公务用车保障数量，指标值：＝1辆，实际完成值：1辆，指标完成率100%。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②质量指标：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指标1：种子室内检测合格率，指标值：≥95%，实际完成值：100%，指标完成率100%。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指标2：种子试验完成率，指标值：≥95%，实际完成值：100%，指标完成率100%。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③时效指标：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指标1：室内检验按期完成率，指标值：≥95%，实际完成值：100%，指标完成率100%。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指标2：工作经费支付及时率，指标值：≥95%，实际完成值：100%，指标完成率100%。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④成本指标：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指标1：种子室内检验成本，指标值：≤5.50万元，实际完成值5.3195万元，指标完成率96.72%，偏差原因：预算设置不合理，汽油款未支付完成。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指标2：专业技术人员工作经费，指标值：≤8.90万元，实际完成值8.9万元，指标完成率100%。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此项权重分10分，得分9.67分。</w:t>
      </w:r>
    </w:p>
    <w:p w14:paraId="1B864FB2">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2A2A82BF">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项目效益类指标包括项目实施效益内容，完成情况如下：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1.实施效益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①社会效益指标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指标1：保障农民用种安全，指标值：有所保障，实际完成值：农民用种安全有所保障，指标完成率98%，偏差原因：部分农民对优质种子的重要性认识不足，选择购买低价种子或者种植自留种。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此项权重分10分，得分9.8分。</w:t>
      </w:r>
    </w:p>
    <w:p w14:paraId="5C7D62A8">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满意度指标值：受检企业满意度，指标值：≥95%，实际完成值100%，指标完成率100%。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p>
    <w:p w14:paraId="4C743A65">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55914E9B">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（一）主要经验及做法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加强领导，落实责任。我站高度重视项目绩效管理工作，成立了以副站长谢庆强为组长，办公室主任巴新鹏为副组长，负责该项目的组织实施，检验室王江华、宋涛、葛素囡、陈玉娜，财务室阿孜古力、马洪霞为成员的领导小组，负责此项目工作的领导、指挥、协调，并明确了各成员工作职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（2）互相协调，齐抓共管。在项目工作领导小组指导下，各成员充分发挥职能作用，在项目实施、资金使用等方面，认真履职，监督到位，形成了齐抓共管的工作氛围，确保了项目建设的有序推进。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严格程序，确保资金效益。项目建设坚持层层审批原则，做到操作程序规范，严格按照资金使用的管理要求执行，严格资金使用范围，保证项目资金专款专用。坚持按照进度5月、9月上报项目绩效监控，严格项目进度，确保了资金使用安全和最大效益的发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相关绩效管理方面专业知识的系统性学习有待加强。各项指标的设置要进一步优化、完善，主要在细化、量化上改进。在绩效自评过程中，由于项目负责人缺乏相关绩效管理专业知识，自评价工作还存在自我审定的局限性，影响评价质量。</w:t>
      </w:r>
    </w:p>
    <w:p w14:paraId="1618EDFF">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3EBFD8A9">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进一步加强对绩效管理工作的组织领导，提高对预算绩效管理工作重要性的认识，总结经验查找问题，抓紧研究制定更全面更完善的绩效评价管理办法。加大全局对全面实施预算绩效管理和绩效管理工作的学习力度，让“花钱必问效，无效必问责”的理念深入工作每个环节</w:t>
      </w:r>
    </w:p>
    <w:p w14:paraId="4FFE1B3D">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14:paraId="49F0E380">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本项目无其他需说明的问题。</w:t>
      </w:r>
    </w:p>
    <w:p w14:paraId="62A189DF">
      <w:pPr>
        <w:spacing w:line="540" w:lineRule="exact"/>
        <w:ind w:firstLine="567"/>
        <w:rPr>
          <w:rStyle w:val="19"/>
          <w:rFonts w:ascii="仿宋" w:hAnsi="仿宋" w:eastAsia="仿宋"/>
          <w:b w:val="0"/>
          <w:spacing w:val="-4"/>
          <w:sz w:val="32"/>
          <w:szCs w:val="32"/>
        </w:rPr>
      </w:pPr>
    </w:p>
    <w:p w14:paraId="49F42F4B">
      <w:pPr>
        <w:spacing w:line="540" w:lineRule="exact"/>
        <w:ind w:firstLine="567"/>
        <w:rPr>
          <w:rStyle w:val="19"/>
          <w:rFonts w:ascii="仿宋" w:hAnsi="仿宋" w:eastAsia="仿宋"/>
          <w:b w:val="0"/>
          <w:spacing w:val="-4"/>
          <w:sz w:val="32"/>
          <w:szCs w:val="32"/>
        </w:rPr>
      </w:pPr>
    </w:p>
    <w:p w14:paraId="781BED19">
      <w:pPr>
        <w:spacing w:line="540" w:lineRule="exact"/>
        <w:ind w:firstLine="567"/>
        <w:rPr>
          <w:rStyle w:val="19"/>
          <w:rFonts w:ascii="仿宋" w:hAnsi="仿宋" w:eastAsia="仿宋"/>
          <w:b w:val="0"/>
          <w:spacing w:val="-4"/>
          <w:sz w:val="32"/>
          <w:szCs w:val="32"/>
        </w:rPr>
      </w:pPr>
    </w:p>
    <w:p w14:paraId="121A9F6B">
      <w:pPr>
        <w:spacing w:line="540" w:lineRule="exact"/>
        <w:ind w:firstLine="567"/>
        <w:rPr>
          <w:rStyle w:val="19"/>
          <w:rFonts w:ascii="仿宋" w:hAnsi="仿宋" w:eastAsia="仿宋"/>
          <w:b w:val="0"/>
          <w:spacing w:val="-4"/>
          <w:sz w:val="32"/>
          <w:szCs w:val="32"/>
        </w:rPr>
      </w:pPr>
    </w:p>
    <w:p w14:paraId="0AA64A68">
      <w:pPr>
        <w:spacing w:line="540" w:lineRule="exact"/>
        <w:ind w:firstLine="567"/>
        <w:rPr>
          <w:rStyle w:val="19"/>
          <w:rFonts w:ascii="仿宋" w:hAnsi="仿宋" w:eastAsia="仿宋"/>
          <w:b w:val="0"/>
          <w:spacing w:val="-4"/>
          <w:sz w:val="32"/>
          <w:szCs w:val="32"/>
        </w:rPr>
      </w:pPr>
    </w:p>
    <w:p w14:paraId="37B1BA7B">
      <w:pPr>
        <w:spacing w:line="540" w:lineRule="exact"/>
        <w:ind w:firstLine="567"/>
        <w:rPr>
          <w:rStyle w:val="19"/>
          <w:rFonts w:ascii="仿宋" w:hAnsi="仿宋" w:eastAsia="仿宋"/>
          <w:b w:val="0"/>
          <w:spacing w:val="-4"/>
          <w:sz w:val="32"/>
          <w:szCs w:val="32"/>
        </w:rPr>
      </w:pPr>
    </w:p>
    <w:p w14:paraId="62701C13">
      <w:pPr>
        <w:spacing w:line="540" w:lineRule="exact"/>
        <w:ind w:firstLine="567"/>
        <w:rPr>
          <w:rStyle w:val="19"/>
          <w:rFonts w:ascii="仿宋" w:hAnsi="仿宋" w:eastAsia="仿宋"/>
          <w:b w:val="0"/>
          <w:spacing w:val="-4"/>
          <w:sz w:val="32"/>
          <w:szCs w:val="32"/>
        </w:rPr>
      </w:pPr>
    </w:p>
    <w:p w14:paraId="453669BA">
      <w:pPr>
        <w:spacing w:line="540" w:lineRule="exact"/>
        <w:ind w:firstLine="567"/>
        <w:rPr>
          <w:rStyle w:val="19"/>
          <w:rFonts w:ascii="仿宋" w:hAnsi="仿宋" w:eastAsia="仿宋"/>
          <w:b w:val="0"/>
          <w:spacing w:val="-4"/>
          <w:sz w:val="32"/>
          <w:szCs w:val="32"/>
        </w:rPr>
      </w:pPr>
    </w:p>
    <w:p w14:paraId="0FBBC89B">
      <w:pPr>
        <w:spacing w:line="540" w:lineRule="exact"/>
        <w:ind w:firstLine="567"/>
        <w:rPr>
          <w:rStyle w:val="19"/>
          <w:rFonts w:ascii="仿宋" w:hAnsi="仿宋" w:eastAsia="仿宋"/>
          <w:b w:val="0"/>
          <w:spacing w:val="-4"/>
          <w:sz w:val="32"/>
          <w:szCs w:val="32"/>
        </w:rPr>
      </w:pPr>
    </w:p>
    <w:p w14:paraId="78676CE3">
      <w:pPr>
        <w:spacing w:line="540" w:lineRule="exact"/>
        <w:ind w:firstLine="567"/>
        <w:rPr>
          <w:rStyle w:val="19"/>
          <w:rFonts w:ascii="仿宋" w:hAnsi="仿宋" w:eastAsia="仿宋"/>
          <w:b w:val="0"/>
          <w:spacing w:val="-4"/>
          <w:sz w:val="32"/>
          <w:szCs w:val="32"/>
        </w:rPr>
      </w:pPr>
    </w:p>
    <w:p w14:paraId="5E7BDFAF">
      <w:pPr>
        <w:spacing w:line="540" w:lineRule="exact"/>
        <w:ind w:firstLine="567"/>
        <w:rPr>
          <w:rStyle w:val="19"/>
          <w:rFonts w:ascii="仿宋" w:hAnsi="仿宋" w:eastAsia="仿宋"/>
          <w:b w:val="0"/>
          <w:spacing w:val="-4"/>
          <w:sz w:val="32"/>
          <w:szCs w:val="32"/>
        </w:rPr>
      </w:pPr>
    </w:p>
    <w:p w14:paraId="24F64A50">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EE57271-1FE6-4D58-9B4A-7631B07023F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2BAB2A72-7714-448B-8624-F74272B8EF9E}"/>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CB12AFFE-928F-432B-A337-8A6CAABD9D71}"/>
  </w:font>
  <w:font w:name="华文中宋">
    <w:panose1 w:val="02010600040101010101"/>
    <w:charset w:val="86"/>
    <w:family w:val="auto"/>
    <w:pitch w:val="default"/>
    <w:sig w:usb0="00000287" w:usb1="080F0000" w:usb2="00000000" w:usb3="00000000" w:csb0="0004009F" w:csb1="DFD70000"/>
    <w:embedRegular r:id="rId4" w:fontKey="{0855AF39-DFE1-417E-9A73-7974E4584318}"/>
  </w:font>
  <w:font w:name="方正小标宋_GBK">
    <w:panose1 w:val="02000000000000000000"/>
    <w:charset w:val="86"/>
    <w:family w:val="script"/>
    <w:pitch w:val="default"/>
    <w:sig w:usb0="A00002BF" w:usb1="38CF7CFA" w:usb2="00082016" w:usb3="00000000" w:csb0="00040001" w:csb1="00000000"/>
    <w:embedRegular r:id="rId5" w:fontKey="{475695DA-0865-4CF1-9A82-2EEAA75B93DD}"/>
  </w:font>
  <w:font w:name="仿宋_GB2312">
    <w:altName w:val="仿宋"/>
    <w:panose1 w:val="02010609030101010101"/>
    <w:charset w:val="86"/>
    <w:family w:val="modern"/>
    <w:pitch w:val="default"/>
    <w:sig w:usb0="00000000" w:usb1="00000000" w:usb2="00000000" w:usb3="00000000" w:csb0="00040000" w:csb1="00000000"/>
    <w:embedRegular r:id="rId6" w:fontKey="{3D865B67-E786-4418-9EE0-C2DB66722C86}"/>
  </w:font>
  <w:font w:name="楷体">
    <w:panose1 w:val="02010609060101010101"/>
    <w:charset w:val="86"/>
    <w:family w:val="modern"/>
    <w:pitch w:val="default"/>
    <w:sig w:usb0="800002BF" w:usb1="38CF7CFA" w:usb2="00000016" w:usb3="00000000" w:csb0="00040001" w:csb1="00000000"/>
    <w:embedRegular r:id="rId7" w:fontKey="{A3C8E750-A087-4494-A3BF-1A264B846EDF}"/>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1299F6DC">
        <w:pPr>
          <w:pStyle w:val="12"/>
          <w:jc w:val="center"/>
        </w:pPr>
        <w:r>
          <w:fldChar w:fldCharType="begin"/>
        </w:r>
        <w:r>
          <w:instrText xml:space="preserve">PAGE   \* MERGEFORMAT</w:instrText>
        </w:r>
        <w:r>
          <w:fldChar w:fldCharType="separate"/>
        </w:r>
        <w:r>
          <w:rPr>
            <w:lang w:val="zh-CN"/>
          </w:rPr>
          <w:t>1</w:t>
        </w:r>
        <w:r>
          <w:fldChar w:fldCharType="end"/>
        </w:r>
      </w:p>
    </w:sdtContent>
  </w:sdt>
  <w:p w14:paraId="33785FBA">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10A3BE2"/>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4ef68a1d-a9aa-4023-b41d-ef1a21998ee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9618</Words>
  <Characters>9923</Characters>
  <Lines>5</Lines>
  <Paragraphs>1</Paragraphs>
  <TotalTime>0</TotalTime>
  <ScaleCrop>false</ScaleCrop>
  <LinksUpToDate>false</LinksUpToDate>
  <CharactersWithSpaces>9951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Qxb</cp:lastModifiedBy>
  <cp:lastPrinted>2018-12-31T10:56:00Z</cp:lastPrinted>
  <dcterms:modified xsi:type="dcterms:W3CDTF">2025-09-22T09:28:20Z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160D1BA1944349B08C48068401F6E698</vt:lpwstr>
  </property>
  <property fmtid="{D5CDD505-2E9C-101B-9397-08002B2CF9AE}" pid="4" name="KSOTemplateDocerSaveRecord">
    <vt:lpwstr>eyJoZGlkIjoiNjhiMzgzMWJiNDVmMjc4YmZhYzYxZmZlMGEwZTI0MDIiLCJ1c2VySWQiOiIxMDczMzg0NjQwIn0=</vt:lpwstr>
  </property>
</Properties>
</file>