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773E0D"/>
    <w:p w14:paraId="022FB361">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8FE205C">
      <w:pPr>
        <w:spacing w:line="540" w:lineRule="exact"/>
        <w:jc w:val="center"/>
        <w:rPr>
          <w:rFonts w:ascii="华文中宋" w:hAnsi="华文中宋" w:eastAsia="华文中宋" w:cs="宋体"/>
          <w:b/>
          <w:kern w:val="0"/>
          <w:sz w:val="52"/>
          <w:szCs w:val="52"/>
        </w:rPr>
      </w:pPr>
    </w:p>
    <w:p w14:paraId="1F657152">
      <w:pPr>
        <w:spacing w:line="540" w:lineRule="exact"/>
        <w:jc w:val="center"/>
        <w:rPr>
          <w:rFonts w:ascii="华文中宋" w:hAnsi="华文中宋" w:eastAsia="华文中宋" w:cs="宋体"/>
          <w:b/>
          <w:kern w:val="0"/>
          <w:sz w:val="52"/>
          <w:szCs w:val="52"/>
        </w:rPr>
      </w:pPr>
    </w:p>
    <w:p w14:paraId="10404D60">
      <w:pPr>
        <w:spacing w:line="540" w:lineRule="exact"/>
        <w:jc w:val="center"/>
        <w:rPr>
          <w:rFonts w:ascii="华文中宋" w:hAnsi="华文中宋" w:eastAsia="华文中宋" w:cs="宋体"/>
          <w:b/>
          <w:kern w:val="0"/>
          <w:sz w:val="52"/>
          <w:szCs w:val="52"/>
        </w:rPr>
      </w:pPr>
    </w:p>
    <w:p w14:paraId="379FB505">
      <w:pPr>
        <w:spacing w:line="540" w:lineRule="exact"/>
        <w:jc w:val="center"/>
        <w:rPr>
          <w:rFonts w:ascii="华文中宋" w:hAnsi="华文中宋" w:eastAsia="华文中宋" w:cs="宋体"/>
          <w:b/>
          <w:kern w:val="0"/>
          <w:sz w:val="52"/>
          <w:szCs w:val="52"/>
        </w:rPr>
      </w:pPr>
    </w:p>
    <w:p w14:paraId="4DEA36FC">
      <w:pPr>
        <w:spacing w:line="540" w:lineRule="exact"/>
        <w:jc w:val="center"/>
        <w:rPr>
          <w:rFonts w:ascii="华文中宋" w:hAnsi="华文中宋" w:eastAsia="华文中宋" w:cs="宋体"/>
          <w:b/>
          <w:kern w:val="0"/>
          <w:sz w:val="52"/>
          <w:szCs w:val="52"/>
        </w:rPr>
      </w:pPr>
    </w:p>
    <w:p w14:paraId="06F64D7B">
      <w:pPr>
        <w:spacing w:line="540" w:lineRule="exact"/>
        <w:jc w:val="center"/>
        <w:rPr>
          <w:rFonts w:ascii="华文中宋" w:hAnsi="华文中宋" w:eastAsia="华文中宋" w:cs="宋体"/>
          <w:b/>
          <w:kern w:val="0"/>
          <w:sz w:val="52"/>
          <w:szCs w:val="52"/>
        </w:rPr>
      </w:pPr>
    </w:p>
    <w:p w14:paraId="6A856879">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094C30BC">
      <w:pPr>
        <w:spacing w:line="540" w:lineRule="exact"/>
        <w:jc w:val="center"/>
        <w:rPr>
          <w:rFonts w:ascii="华文中宋" w:hAnsi="华文中宋" w:eastAsia="华文中宋" w:cs="宋体"/>
          <w:b/>
          <w:kern w:val="0"/>
          <w:sz w:val="52"/>
          <w:szCs w:val="52"/>
        </w:rPr>
      </w:pPr>
    </w:p>
    <w:p w14:paraId="0935F34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E76C848">
      <w:pPr>
        <w:spacing w:line="540" w:lineRule="exact"/>
        <w:jc w:val="center"/>
        <w:rPr>
          <w:rFonts w:hAnsi="宋体" w:eastAsia="仿宋_GB2312" w:cs="宋体"/>
          <w:kern w:val="0"/>
          <w:sz w:val="30"/>
          <w:szCs w:val="30"/>
        </w:rPr>
      </w:pPr>
    </w:p>
    <w:p w14:paraId="7B97A6C5">
      <w:pPr>
        <w:spacing w:line="540" w:lineRule="exact"/>
        <w:jc w:val="center"/>
        <w:rPr>
          <w:rFonts w:hAnsi="宋体" w:eastAsia="仿宋_GB2312" w:cs="宋体"/>
          <w:kern w:val="0"/>
          <w:sz w:val="30"/>
          <w:szCs w:val="30"/>
        </w:rPr>
      </w:pPr>
    </w:p>
    <w:p w14:paraId="3E67293D">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01F2F375">
      <w:pPr>
        <w:spacing w:line="540" w:lineRule="exact"/>
        <w:jc w:val="center"/>
        <w:rPr>
          <w:rFonts w:hAnsi="宋体" w:eastAsia="仿宋_GB2312" w:cs="宋体"/>
          <w:kern w:val="0"/>
          <w:sz w:val="30"/>
          <w:szCs w:val="30"/>
        </w:rPr>
      </w:pPr>
    </w:p>
    <w:p w14:paraId="76368698">
      <w:pPr>
        <w:spacing w:line="540" w:lineRule="exact"/>
        <w:jc w:val="center"/>
        <w:rPr>
          <w:rFonts w:hAnsi="宋体" w:eastAsia="仿宋_GB2312" w:cs="宋体"/>
          <w:kern w:val="0"/>
          <w:sz w:val="30"/>
          <w:szCs w:val="30"/>
        </w:rPr>
      </w:pPr>
    </w:p>
    <w:p w14:paraId="3DFB66B7">
      <w:pPr>
        <w:spacing w:line="540" w:lineRule="exact"/>
        <w:jc w:val="center"/>
        <w:rPr>
          <w:rFonts w:hAnsi="宋体" w:eastAsia="仿宋_GB2312" w:cs="宋体"/>
          <w:kern w:val="0"/>
          <w:sz w:val="30"/>
          <w:szCs w:val="30"/>
        </w:rPr>
      </w:pPr>
    </w:p>
    <w:p w14:paraId="7F5DC9E1">
      <w:pPr>
        <w:spacing w:line="540" w:lineRule="exact"/>
        <w:rPr>
          <w:rFonts w:hAnsi="宋体" w:eastAsia="仿宋_GB2312" w:cs="宋体"/>
          <w:kern w:val="0"/>
          <w:sz w:val="30"/>
          <w:szCs w:val="30"/>
        </w:rPr>
      </w:pPr>
    </w:p>
    <w:p w14:paraId="527799A0">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7C4A6B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2024年巴州党委农村工作会议经费</w:t>
      </w:r>
    </w:p>
    <w:p w14:paraId="4B611371">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农业农村局</w:t>
      </w:r>
    </w:p>
    <w:p w14:paraId="5DB2428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新疆巴音郭楞蒙古自治州农业农村局</w:t>
      </w:r>
    </w:p>
    <w:p w14:paraId="337AED11">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樊爱琴</w:t>
      </w:r>
    </w:p>
    <w:p w14:paraId="180322A3">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2025年03月21日</w:t>
      </w:r>
    </w:p>
    <w:p w14:paraId="77465782">
      <w:pPr>
        <w:spacing w:line="700" w:lineRule="exact"/>
        <w:ind w:firstLine="708" w:firstLineChars="236"/>
        <w:jc w:val="left"/>
        <w:rPr>
          <w:rFonts w:hAnsi="宋体" w:eastAsia="仿宋_GB2312" w:cs="宋体"/>
          <w:kern w:val="0"/>
          <w:sz w:val="30"/>
          <w:szCs w:val="30"/>
        </w:rPr>
      </w:pPr>
    </w:p>
    <w:p w14:paraId="5621259A">
      <w:pPr>
        <w:spacing w:line="540" w:lineRule="exact"/>
        <w:rPr>
          <w:rStyle w:val="19"/>
          <w:rFonts w:ascii="黑体" w:hAnsi="黑体" w:eastAsia="黑体"/>
          <w:b w:val="0"/>
          <w:spacing w:val="-4"/>
          <w:sz w:val="32"/>
          <w:szCs w:val="32"/>
        </w:rPr>
      </w:pPr>
    </w:p>
    <w:p w14:paraId="27CF327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47D4BCB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11FFC45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为贯彻落实中央经济工作会议、中央农村工作会议精神和自治区党委十届十次会议、自治区党委农村工作会议精神，根 据自治州党委十一届九次会议安排部署，学习运用好“千万工程” 蕴含的发展理念、工作方法和推进机制，分析当前“三农”工作面临的形势和任务，研究部署2024年“三农”工作，于2024年2月27日召开自治州党委农村工作会议。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为贯彻落实中央经济工作会议、中央农村工作会议精神和自治区党委十届十次会议、自治区党委农村工作会议精神，根据自治州党委十一届九次会议安排部署，学习运用好“千万工程”蕴含的发展理念、工作方法和推进机制，分析当前“三农”工作面临的形势和任务，研究部署2024年“三农”工作，于2024年2月27日召开自治州党委农村工作会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会议由巴图同志主持会议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第一项：宣读通报。张鑫同志通报2023年度自治区巩固拓展脱贫攻坚成果及自治州粮食生产、河湖长制、林长制考核情况；杨雪莲同志宣读《关于对 2023 年度自治州农业全产业链发展、农产品外销优秀企业和集体的通报》；巴岱同志宣读《关于对2023年度自治州粮食种植模范和基层农业科技先进工作者的通报》。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第二项：颁奖。（分4批）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三项：交流发言。轮台县围绕守牢粮食安全底线和防返贫底线发言；和硕县围绕农业全产业链发展发言；晨光生物科技集团焉耆有限公司围绕加快工业辣椒全链条发展发言；新疆七星羌都集团农牧有限公司围绕循环农业发展发言；巴州疆淘农哥电子商务有限公司围绕农产品销售发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第四项：任广鹏同志讲话。</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项目实施情况：2024年1月至2月，认真贯彻落实中央、自治区党委农村工作会议精神和“一号文件”精神，通过深入调研，形成自治州党委“一号文件”初稿，报州党委审核印发；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2024年2月下旬，州党委召开常委、农村工作领导小组会， 对召开农村工作会议及表彰事宜进行研究审议；2024年2月下旬，州党委财经委员会召开会议，审议通过州党委农村工作会议所需资金方案；2024年2月底，正式召开州党委农村工作会议。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（1）资金投入情况：该项目年初预算数112.84万元，全年预算数112.84万元，实际总投入112.84万元，该项目资金已全部落实到位，资金来源为州财政预算补助资金。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（2）资金使用情况：该项目年初预算数112.84万元，全年预算数112.84万元，全年执行数112.84万元，预算执行率为100%，资金主要用于表彰奖励110.7万元、巴音郭楞宾馆费用1.842万元、奖牌和荣誉证书制作费用2979元。</w:t>
      </w:r>
    </w:p>
    <w:p w14:paraId="5A89C45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272C96B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2024年为深入贯彻落实中央和自治区党委1号文件和农村工作会议精神，总结2023年农业农村工作，于2024年2月召开巴州党委农村工作会议1次，分析当前“三农”工作面临的形势和任务，安排部署2024年“三农”工作，并对2023年度自治州农业全产业链发展先进企业4个、农产品外销优秀企业10个、粮食种植模范18个、基层农业科技先进工作者9人进行表彰和奖励，为保障粮食安全等工作理清思路，为提高粮食产能打下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第一阶段：根据工作需要申报年初预算和工作计划；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第二阶段：根据预算批复，严格按照采购流程购买会议所需用品，及时对接供应商，验收物品，做好正常运行保障工作。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第三阶段：收集原始票据，填写报销单，会计对凭证真实性、合法、有效性核实，领导在报销单上签署意见。</w:t>
      </w:r>
    </w:p>
    <w:p w14:paraId="1A641DC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317FD00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26A289C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党委农村工作会议项目支出绩效评价报告在编制过程中，严格遵循严格遵循《中华人民共和国预算法》、《中华人民共和国政府采购法》和《项目支出绩效评价管理办法》等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经济效益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巴州党委农村工作会议项目支出绩效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巴州党委农村工作会议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通过对巴州党委农村工作会议项目预算执行情况及各项绩效目标达成程度的系统性分析，全面、客观地评估项目在预定周期内的实施效果，包括经济效益、社会效益，为项目后续的改进与优化提供科学依据。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巴州党委农村工作会议项目预算资金的投入与产出关系，识别资金使用过程中的冗余环节与低效领域，挖掘潜在的资源优化配置空间，推动巴州党委农村工作会议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巴州党委农村工作会议项目各参与主体在预算绩效管理中的职责与任务，借助绩效评价结果对项目管理过程进行监督与问责，促使项目管理者增强责任意识，主动优化管理流程，完善内部控制机制，提高项，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州党委农村工作会议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推动机构编制工作项目在实施过程中实施方案，加强过程监控与质量把控，形成项目绩效持续改进的良性循环，不断提升项目整体绩效水平，实现可持续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州党委农村工作会议项目及其预算执行情况。该项目由中共巴音郭楞蒙古自治州党委农村工作领导小组办公室负责实施，旨在为深入贯彻落实中央和自治区党委1号文件和农村工作会议精神，总结2023年农业农村工作，于2024年2月召开巴州党委农村工作会议1次，分析当前“三农”工作面临的形势和任务，安排部署2024年“三农”工作，并对2023年度自治州农业全产业链发展先进企业4个、农产品外销优秀企业10个、粮食种植模范18个、基层农业科技先进工作者9人进行表彰和奖励，为保障粮食安全等工作理清思路，为提高粮食产能打下基础。项目预算涵盖从2024年1月1日至2024年3月31日的全部资金投入与支出，涉及资金总额为112.84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（1）资金管理：此项目资金拨付有完整的审批程序和手续，符合项目预算批复或合同规定的用途，确保资金使用的合规性、高效性和透明度。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（2）项目实施进度与产出：此项目按照年初制定计划顺利推进，各项任务按时完成，以及项目产出的数量、质量和时效性符合预期。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影响：州党委农村工作会议项目资金和财政运行资金的拨付和使用，扎实保障了顺利召开州党委农村工作会议的日常办公和业务工作，分析当前“三农”工作面临的形势和任务，安排部署2024年“三农”工作，促进“三农”工作人员的积极性，为保障粮食安全等工作理清思路，为提高粮食产能打下基础。</w:t>
      </w:r>
    </w:p>
    <w:p w14:paraId="65EE78A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7FDC225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（1）科学公正。本次项目支出绩效评价按照经费使用管理相关要求，运用科学合理的方法，按照项目规范的程序，对项目绩效进行客观、公正的反映。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（2）统筹兼顾。本次项目支出绩效评价由本单位自主实施并积极组织自评，项目负责人或项目成员依据项目年度目标完成项目整体工作内容，按照绩效评价要求完成项目绩效评价，即“谁支出、谁自评”。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本次项目支出绩效评价结果贴合州党委农村工作会议经费项目预算计划、政策调整以及项目改进管理，同时体现奖优罚劣和激励约束，项目绩效评价结果有效可支持安排项目开展，评价结果低效要压减相关项目，评价结果无效要追责问责相关项目负责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（4）公开透明。本次项目支出绩效评价结果由本单位项目管理办公室工作人员和财务人员协助审核，本次项目支出绩效评价结果已依法依规公开，并自觉接受社会监督。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本项目采用比较法和最低成本法，原因是：比较法将项目实施情况与绩效目标、历史情况进行比较，有利于绩效目标实现，最低成本法可以将成本降到最底，用最小的成本办更多的事，使群众满意度提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项目预先制定了详细的目标、计划、预算、定额等标准，在项目的实施过程中严格按照项制定的目标、计划、预算逐步开展工作，并按照预先制定的目标、计划、预算、定额等作为项目的评价标准。</w:t>
      </w:r>
    </w:p>
    <w:p w14:paraId="06C3274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6AA1B4A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1.前期准备。首先于2025年1月成立评价工作组，开展前期调研，其次明确项目绩效目标，设计实用绩效评价指标体系，根据州党委农村工作会议经费项目绩效评价要求，确定项目指标评价范围。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2025年2月，巴州党委农办根据前期准备制定绩效评价方案，根据项目实际情况，设立了包含项目评价思路、评价方法手段、组织实施方案、阶段性进度安排的评价方案，并定期收集相关评价印证资料，包含项目立项依据、相关会议纪要、实施方案、财政资金分配方案、支付管理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分析评价。2025年3月,对定期收集的相关印证资料等内容，根据收集梳理的资料围绕项目立项、资金落实、业务管理、财务管理、项目产出、项目效益等内容，巴州党委农办对照已确定的绩效评价指标进行详细全面的分析评价，逐项打分并形成绩效评价最终结果。</w:t>
      </w:r>
    </w:p>
    <w:p w14:paraId="23862829">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01BA7828">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（一）综合评价情况及评价结论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综合评价情况：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结论：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20分，得分率为100%。项目过程类指标权重为20分，得分为20分，得分率为100%。项目产出类指标权重为40分，得分为40分，得分率为100%。项目效益类指标权重为20分，得分为20分，得分率为100%。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（二）相关评分表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州党委农村工作会议经费项目评价得分情况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3EAB31A8">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5B0AEBA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64EDA6B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中国共产党农村工作条例》、《自治州党委农村工作领导小组工作规则》、《自治州党委农村工作领导小组办公室工作细则》等相关文件实施此项目，围绕本年度工作重点和工作计划制定经费预算，属于公共财政支持范围。符合行业规划要求，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此项权重分5分，得分5分。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州党委农村工作会议经费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州党委农村工作会议经费项目将项目绩效目标细化分解为具体的绩效指标，一级指标共4条，二级指标共6条，三级指标共18条，其中量化指标条数共18条，所有绩效指标均通过清晰、可衡量的指标值予以体现，并且做到了与州党委农村工作会议经费项目目标任务数或计划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编制以项目业务过程为核心，从项目目标出发设定预算内部关联逻辑，确保预算编制承接项目规划，本项目目标存在，路径合理，目标合理，预算额度测算充分且合理，按照预算编制标准编制，预算确定的项目资金量与工作任务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本项目的资金分配遵循了公平、公正、透明的原则，确保了资金分配额度与州党委农村工作会议经费项目实际工作内容相适应，资金分配额度合理，资金分配依据充分。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此项权重分1分，得分1分。</w:t>
      </w:r>
    </w:p>
    <w:p w14:paraId="38474A3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0252F55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本项目总投资112.84万元，财政资金及时足额到位，到位率100%，预算资金按计划进度执行。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预算编制较为详细，项目资金支出总体能够按照预算执行，预算资金支出112.84万元，预算执行率为100%。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国家相关法律法规与财务制度，确保了资金的合规性与安全性。在资金使用过程中，制定了《巴州农业项目监督检查制度》、《巴州农业局系统财务监督检查制度》，按照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制定了《巴州农业农村局财务管理制度》、《巴州农业项目监督检查制度》、《巴州农业局系统财务监督检查制度》、《巴州农业农村局内部控制制度》等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巴州农业项目监督检查制度》、《巴州农业局系统财务监督检查制度》，对资金使用的合法合规性进行监督，年末对资金使用效果进行评价。项目管理、实施人员落实到位，有效按照计划执行。项目执行情况等资料齐全，项目相关手续完备，及时进行归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44DBF5D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1ADD2DE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数量指标完成情况：指标1：召开会议次数，指标值≧1次，实际完成值1次，指标完成率100%；指标2：会议时间，指标值≧0.5天，实际完成值0.5天，指标完成率100%；指标3：参加会议人数≧220人，实际完成值220人，指标完成率100%；指标4：制作奖牌数≧15个，实际完成值15个，指标完成率100%；指标5：制作证书数≧27本，实际完成值27本，指标完成率100%；指标6：制作绶带数≧42条，实际完成值42条，指标完成率100%；指标7：奖励企业个数≧14个，实际完成值14个，指标完成率100%；指标8：奖励人数≧27人，实际完成值27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质量指标完成情况：指标1：会议出勤率，指标值≧99%，实际完成值100%，指标完成率100%；指标2：会务费、制作奖牌证书绶带政府采购率，指标值≧99%，实际完成值100%，指标完成率100%；指标3：奖牌证书绶带验收合格率，指标值≧99%，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3.时效指标完成情况：指标1：会议按期完成时间，指标值2024年2月29日前，实际完成值2024年2月27日，指标完成率100%；指标2：采购完成时间，指标值2024年4月30日前，实际完成值2024年3月29日，指标完成率100%。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经济成本指标完成情况：指标1：奖励资金成本控制数，指标值≦110.7万元，实际完成值110.7万元，指标完成率100%；指标2：会务成本控制数，指标值≦1.84万元，实际完成值1.84万元，指标完成率100%；指标3：奖牌证书绶带采购成本控制数，指标值≦0.3万元，实际完成值0.3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6D1FBE6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0E835950">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1.经济效益指标完成情况：指标1：奖牌证书绶带利用率，指标值≧99%，实际完成值100%，指标完成率100%。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59FEF972">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2.满意度指标完成情况分析：指标1：参会人员满意度，指标值≧99%，实际完成值100%，指标完成率100%。此项权重分10分，得分10分。</w:t>
      </w:r>
    </w:p>
    <w:p w14:paraId="61C354BF">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76AA1F4B">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2.因轮岗、调动、退休等因素使我单位绩效工作人员流动频繁，造成了工作衔接不到位的情况。</w:t>
      </w:r>
    </w:p>
    <w:p w14:paraId="0492D568">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209C4DAD">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1.多进行有关绩效管理工作方面的培训。积极组织第三方开展绩效管理工作培训，进一步夯实业务基础，提高我单位绩效人员水平。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2.专门设定对绩效工作人员定职、定岗、定责等相关制度措施，进一步提升我单位绩效管理工作业务水平，扎实做好绩效管理工作。</w:t>
      </w:r>
    </w:p>
    <w:p w14:paraId="1518A21F">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6CC903E0">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7A3B2E84">
      <w:pPr>
        <w:spacing w:line="540" w:lineRule="exact"/>
        <w:ind w:firstLine="567"/>
        <w:rPr>
          <w:rStyle w:val="19"/>
          <w:rFonts w:ascii="仿宋" w:hAnsi="仿宋" w:eastAsia="仿宋"/>
          <w:b w:val="0"/>
          <w:spacing w:val="-4"/>
          <w:sz w:val="32"/>
          <w:szCs w:val="32"/>
        </w:rPr>
      </w:pPr>
    </w:p>
    <w:p w14:paraId="187C566C">
      <w:pPr>
        <w:spacing w:line="540" w:lineRule="exact"/>
        <w:ind w:firstLine="567"/>
        <w:rPr>
          <w:rStyle w:val="19"/>
          <w:rFonts w:ascii="仿宋" w:hAnsi="仿宋" w:eastAsia="仿宋"/>
          <w:b w:val="0"/>
          <w:spacing w:val="-4"/>
          <w:sz w:val="32"/>
          <w:szCs w:val="32"/>
        </w:rPr>
      </w:pPr>
    </w:p>
    <w:p w14:paraId="2F815070">
      <w:pPr>
        <w:spacing w:line="540" w:lineRule="exact"/>
        <w:ind w:firstLine="567"/>
        <w:rPr>
          <w:rStyle w:val="19"/>
          <w:rFonts w:ascii="仿宋" w:hAnsi="仿宋" w:eastAsia="仿宋"/>
          <w:b w:val="0"/>
          <w:spacing w:val="-4"/>
          <w:sz w:val="32"/>
          <w:szCs w:val="32"/>
        </w:rPr>
      </w:pPr>
    </w:p>
    <w:p w14:paraId="78C454AF">
      <w:pPr>
        <w:spacing w:line="540" w:lineRule="exact"/>
        <w:ind w:firstLine="567"/>
        <w:rPr>
          <w:rStyle w:val="19"/>
          <w:rFonts w:ascii="仿宋" w:hAnsi="仿宋" w:eastAsia="仿宋"/>
          <w:b w:val="0"/>
          <w:spacing w:val="-4"/>
          <w:sz w:val="32"/>
          <w:szCs w:val="32"/>
        </w:rPr>
      </w:pPr>
    </w:p>
    <w:p w14:paraId="4FD7BDED">
      <w:pPr>
        <w:spacing w:line="540" w:lineRule="exact"/>
        <w:ind w:firstLine="567"/>
        <w:rPr>
          <w:rStyle w:val="19"/>
          <w:rFonts w:ascii="仿宋" w:hAnsi="仿宋" w:eastAsia="仿宋"/>
          <w:b w:val="0"/>
          <w:spacing w:val="-4"/>
          <w:sz w:val="32"/>
          <w:szCs w:val="32"/>
        </w:rPr>
      </w:pPr>
    </w:p>
    <w:p w14:paraId="2CA5D255">
      <w:pPr>
        <w:spacing w:line="540" w:lineRule="exact"/>
        <w:ind w:firstLine="567"/>
        <w:rPr>
          <w:rStyle w:val="19"/>
          <w:rFonts w:ascii="仿宋" w:hAnsi="仿宋" w:eastAsia="仿宋"/>
          <w:b w:val="0"/>
          <w:spacing w:val="-4"/>
          <w:sz w:val="32"/>
          <w:szCs w:val="32"/>
        </w:rPr>
      </w:pPr>
    </w:p>
    <w:p w14:paraId="4B204E74">
      <w:pPr>
        <w:spacing w:line="540" w:lineRule="exact"/>
        <w:ind w:firstLine="567"/>
        <w:rPr>
          <w:rStyle w:val="19"/>
          <w:rFonts w:ascii="仿宋" w:hAnsi="仿宋" w:eastAsia="仿宋"/>
          <w:b w:val="0"/>
          <w:spacing w:val="-4"/>
          <w:sz w:val="32"/>
          <w:szCs w:val="32"/>
        </w:rPr>
      </w:pPr>
    </w:p>
    <w:p w14:paraId="03A312F9">
      <w:pPr>
        <w:spacing w:line="540" w:lineRule="exact"/>
        <w:ind w:firstLine="567"/>
        <w:rPr>
          <w:rStyle w:val="19"/>
          <w:rFonts w:ascii="仿宋" w:hAnsi="仿宋" w:eastAsia="仿宋"/>
          <w:b w:val="0"/>
          <w:spacing w:val="-4"/>
          <w:sz w:val="32"/>
          <w:szCs w:val="32"/>
        </w:rPr>
      </w:pPr>
    </w:p>
    <w:p w14:paraId="46285178">
      <w:pPr>
        <w:spacing w:line="540" w:lineRule="exact"/>
        <w:ind w:firstLine="567"/>
        <w:rPr>
          <w:rStyle w:val="19"/>
          <w:rFonts w:ascii="仿宋" w:hAnsi="仿宋" w:eastAsia="仿宋"/>
          <w:b w:val="0"/>
          <w:spacing w:val="-4"/>
          <w:sz w:val="32"/>
          <w:szCs w:val="32"/>
        </w:rPr>
      </w:pPr>
    </w:p>
    <w:p w14:paraId="5C4CB32B">
      <w:pPr>
        <w:spacing w:line="540" w:lineRule="exact"/>
        <w:ind w:firstLine="567"/>
        <w:rPr>
          <w:rStyle w:val="19"/>
          <w:rFonts w:ascii="仿宋" w:hAnsi="仿宋" w:eastAsia="仿宋"/>
          <w:b w:val="0"/>
          <w:spacing w:val="-4"/>
          <w:sz w:val="32"/>
          <w:szCs w:val="32"/>
        </w:rPr>
      </w:pPr>
    </w:p>
    <w:p w14:paraId="2F77361E">
      <w:pPr>
        <w:spacing w:line="540" w:lineRule="exact"/>
        <w:ind w:firstLine="567"/>
        <w:rPr>
          <w:rStyle w:val="19"/>
          <w:rFonts w:ascii="仿宋" w:hAnsi="仿宋" w:eastAsia="仿宋"/>
          <w:b w:val="0"/>
          <w:spacing w:val="-4"/>
          <w:sz w:val="32"/>
          <w:szCs w:val="32"/>
        </w:rPr>
      </w:pPr>
    </w:p>
    <w:p w14:paraId="602438DC">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394165E-6B20-4AC9-969B-020D502DB03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AF497258-F82A-412D-8F25-6711F7F6B563}"/>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00E4A01C-B130-4626-86F2-48D101C862CC}"/>
  </w:font>
  <w:font w:name="华文中宋">
    <w:panose1 w:val="02010600040101010101"/>
    <w:charset w:val="86"/>
    <w:family w:val="auto"/>
    <w:pitch w:val="default"/>
    <w:sig w:usb0="00000287" w:usb1="080F0000" w:usb2="00000000" w:usb3="00000000" w:csb0="0004009F" w:csb1="DFD70000"/>
    <w:embedRegular r:id="rId4" w:fontKey="{6325F380-368A-4878-AEFE-16E7C5F9DA1E}"/>
  </w:font>
  <w:font w:name="方正小标宋_GBK">
    <w:panose1 w:val="02000000000000000000"/>
    <w:charset w:val="86"/>
    <w:family w:val="script"/>
    <w:pitch w:val="default"/>
    <w:sig w:usb0="A00002BF" w:usb1="38CF7CFA" w:usb2="00082016" w:usb3="00000000" w:csb0="00040001" w:csb1="00000000"/>
    <w:embedRegular r:id="rId5" w:fontKey="{39ACB979-AFE0-45A5-BA0F-4648C592851E}"/>
  </w:font>
  <w:font w:name="仿宋_GB2312">
    <w:altName w:val="仿宋"/>
    <w:panose1 w:val="02010609030101010101"/>
    <w:charset w:val="86"/>
    <w:family w:val="modern"/>
    <w:pitch w:val="default"/>
    <w:sig w:usb0="00000000" w:usb1="00000000" w:usb2="00000000" w:usb3="00000000" w:csb0="00040000" w:csb1="00000000"/>
    <w:embedRegular r:id="rId6" w:fontKey="{A3B94B93-2889-4751-952E-D54B2AB0B904}"/>
  </w:font>
  <w:font w:name="楷体">
    <w:panose1 w:val="02010609060101010101"/>
    <w:charset w:val="86"/>
    <w:family w:val="modern"/>
    <w:pitch w:val="default"/>
    <w:sig w:usb0="800002BF" w:usb1="38CF7CFA" w:usb2="00000016" w:usb3="00000000" w:csb0="00040001" w:csb1="00000000"/>
    <w:embedRegular r:id="rId7" w:fontKey="{CBD53702-4202-4AC7-A596-2F600A67172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46A6B031">
        <w:pPr>
          <w:pStyle w:val="12"/>
          <w:jc w:val="center"/>
        </w:pPr>
        <w:r>
          <w:fldChar w:fldCharType="begin"/>
        </w:r>
        <w:r>
          <w:instrText xml:space="preserve">PAGE   \* MERGEFORMAT</w:instrText>
        </w:r>
        <w:r>
          <w:fldChar w:fldCharType="separate"/>
        </w:r>
        <w:r>
          <w:rPr>
            <w:lang w:val="zh-CN"/>
          </w:rPr>
          <w:t>1</w:t>
        </w:r>
        <w:r>
          <w:fldChar w:fldCharType="end"/>
        </w:r>
      </w:p>
    </w:sdtContent>
  </w:sdt>
  <w:p w14:paraId="47E7E031">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DE63761"/>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47b6a733-d44e-4523-8331-aa4505b049b3}">
  <ds:schemaRefs/>
</ds:datastoreItem>
</file>

<file path=docProps/app.xml><?xml version="1.0" encoding="utf-8"?>
<Properties xmlns="http://schemas.openxmlformats.org/officeDocument/2006/extended-properties" xmlns:vt="http://schemas.openxmlformats.org/officeDocument/2006/docPropsVTypes">
  <Template>Normal.dotm</Template>
  <Pages>18</Pages>
  <Words>8739</Words>
  <Characters>9141</Characters>
  <Lines>5</Lines>
  <Paragraphs>1</Paragraphs>
  <TotalTime>0</TotalTime>
  <ScaleCrop>false</ScaleCrop>
  <LinksUpToDate>false</LinksUpToDate>
  <CharactersWithSpaces>9175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2025-09-22T02:54:56Z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