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巴音郭楞蒙古自治州农业综合行政执法支队2024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E70BB94">
      <w:r>
        <w:br w:type="page"/>
      </w:r>
    </w:p>
    <w:p w14:paraId="5C8B98CA">
      <w:pPr>
        <w:spacing w:line="640" w:lineRule="exact"/>
        <w:jc w:val="center"/>
        <w:outlineLvl w:val="1"/>
      </w:pPr>
      <w:r>
        <w:rPr>
          <w:rFonts w:ascii="黑体" w:hAnsi="黑体" w:eastAsia="黑体"/>
          <w:sz w:val="32"/>
        </w:rPr>
        <w:t>第一部分 单位概况</w:t>
      </w:r>
    </w:p>
    <w:p w14:paraId="49D87B5C">
      <w:pPr>
        <w:spacing w:line="640" w:lineRule="exact"/>
        <w:ind w:firstLine="640"/>
        <w:jc w:val="both"/>
        <w:outlineLvl w:val="2"/>
      </w:pPr>
      <w:r>
        <w:rPr>
          <w:rFonts w:ascii="黑体" w:hAnsi="黑体" w:eastAsia="黑体"/>
          <w:sz w:val="32"/>
        </w:rPr>
        <w:t>一、主要职能</w:t>
      </w:r>
    </w:p>
    <w:p w14:paraId="3B86F08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依法负责查处通过公路、铁路、航空进出动物及动物产品违反相关法律、法规和规章赋予的行政处罚及与行政处罚相关的行政检查、行政强制执法工作。</w:t>
      </w:r>
    </w:p>
    <w:p w14:paraId="168F9B2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依法负责查处全州农作物种子违反相关法律、法规和规章赋予的行政处罚及与行政处罚相关的行政检查、行政强制执法工作。</w:t>
      </w:r>
    </w:p>
    <w:p w14:paraId="448674C6">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依法负责查处全州农业机械及大型机械违反相关法律、法规和规章赋予的行政处罚及与行政处罚相关的行政检查、行政强制执法工作。</w:t>
      </w:r>
    </w:p>
    <w:p w14:paraId="49795BC2">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依法负责查处全州农药、肥料生产、经营及使用方面违反相关法律、法规和规章赋予的行政处罚及与行政处罚相关的行政检查、行政强制执法工作。</w:t>
      </w:r>
    </w:p>
    <w:p w14:paraId="153B7048">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依法负责查处全州农产品质量安全违反相关法律、法规和规章赋予的行政处罚及与行政处罚相关的行政检查、行政强制执法工作。</w:t>
      </w:r>
    </w:p>
    <w:p w14:paraId="1EC5ADE8">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依法负责查处全州农业植物违反相关法律、法规和规章赋予的行政处罚及与行政处罚相关的行政检查、行政强制执法工作。</w:t>
      </w:r>
    </w:p>
    <w:p w14:paraId="08E4AC93">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依法负责查处全州动物卫生违反相关法律、法规和规章赋予的行政处罚及与行政处罚相关的行政检查、行政强制执法工作；依法负责查处全州动物诊疗、兽医从业违反相关法律、法规和规章赋予的行政处罚及与行政处罚相关的行政检查、行政强制执法工作。</w:t>
      </w:r>
    </w:p>
    <w:p w14:paraId="2936F1C5">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依法负责查处全州兽药、饲料和饲料添加剂、种畜禽等方面违反相关法律、法规和规章赋予的行政处罚及与行政处罚相关的行政检查、行政强制执法工作；依法负责查处本辖区畜禽屠宰违禁物质、药物残留、肉品品质和疫病防控等违反相关法律、法规和规章赋予的行政处罚及与行政处罚相关的行政检查、行政强制执法工作；依法组织实施非法屠宰的查处。</w:t>
      </w:r>
    </w:p>
    <w:p w14:paraId="03F539CC">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依法负责查处全州重大动物疫情扑灭和染疫动物及动物产品无害化处理，病死及死因不明动物无害化处理违反相关法律、法规和规章赋予的行政处罚及与行政处罚相关的行政检查、行政强制执法工作。</w:t>
      </w:r>
    </w:p>
    <w:p w14:paraId="69D5B12C">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依法负责查处全州兽医病原微生物实验室方面违反相关法律、法规和规章赋予的行政处罚及与行政处罚相关的行政检查、行政强制执法工作。</w:t>
      </w:r>
    </w:p>
    <w:p w14:paraId="731A4272">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依法负责查处全州渔业生产违反相关法律、法规和规章赋予的行政处罚及与行政处罚相关的行政检查、行政强制执法工作；依法查处违法捕捉、驯养、出售、收购、运输国家保护水生野生动物等行为；依法负责查处水产养殖过程中兽药使用违反相关法律、法规和规章赋予的行政处罚及与行政处罚相关的行政检查、行政强制执法工作；依法负责查处渔业资源增殖、保护工作违反相关法律、法规和规章赋予的行政处罚及与行政处罚相关的行政检查、行政强制执法工作。</w:t>
      </w:r>
    </w:p>
    <w:p w14:paraId="1F949D35">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完成自治州党委、自治州人民政府及州农业农村局交办的其他事务。</w:t>
      </w:r>
    </w:p>
    <w:p w14:paraId="396617A7">
      <w:pPr>
        <w:spacing w:line="640" w:lineRule="exact"/>
        <w:ind w:firstLine="640"/>
        <w:jc w:val="both"/>
        <w:outlineLvl w:val="2"/>
      </w:pPr>
      <w:r>
        <w:rPr>
          <w:rFonts w:ascii="黑体" w:hAnsi="黑体" w:eastAsia="黑体"/>
          <w:sz w:val="32"/>
        </w:rPr>
        <w:t>二、机构设置及人员情况</w:t>
      </w:r>
    </w:p>
    <w:p w14:paraId="23BA284C">
      <w:pPr>
        <w:spacing w:line="580" w:lineRule="exact"/>
        <w:ind w:firstLine="640"/>
        <w:jc w:val="both"/>
      </w:pPr>
      <w:r>
        <w:rPr>
          <w:rFonts w:ascii="仿宋_GB2312" w:hAnsi="仿宋_GB2312" w:eastAsia="仿宋_GB2312"/>
          <w:sz w:val="32"/>
        </w:rPr>
        <w:t>巴音郭楞蒙古自治州农业综合行政执法支队2024年度，实有人数41人，其中：在职人员29人，增加3人；离休人员0人，增加0人；退休人员12人,增加0人。</w:t>
      </w:r>
    </w:p>
    <w:p w14:paraId="0EAFBD1D">
      <w:pPr>
        <w:spacing w:line="580" w:lineRule="exact"/>
        <w:ind w:firstLine="640"/>
        <w:jc w:val="both"/>
      </w:pPr>
      <w:r>
        <w:rPr>
          <w:rFonts w:ascii="仿宋_GB2312" w:hAnsi="仿宋_GB2312" w:eastAsia="仿宋_GB2312"/>
          <w:sz w:val="32"/>
        </w:rPr>
        <w:t>巴音郭楞蒙古自治州农业综合行政执法支队无下属预算单位，下设5个科室，分别是：综合科、法制科、执法一科、执法二科、执法三科。</w:t>
      </w:r>
    </w:p>
    <w:p w14:paraId="5489576B">
      <w:r>
        <w:br w:type="page"/>
      </w:r>
    </w:p>
    <w:p w14:paraId="0BF9210D">
      <w:pPr>
        <w:spacing w:line="240" w:lineRule="auto"/>
        <w:jc w:val="center"/>
        <w:outlineLvl w:val="1"/>
      </w:pPr>
      <w:r>
        <w:rPr>
          <w:rFonts w:ascii="黑体" w:hAnsi="黑体" w:eastAsia="黑体"/>
          <w:sz w:val="32"/>
        </w:rPr>
        <w:t>第二部分 部门决算情况说明</w:t>
      </w:r>
    </w:p>
    <w:p w14:paraId="015CBDA2">
      <w:pPr>
        <w:spacing w:line="640" w:lineRule="exact"/>
        <w:ind w:firstLine="640"/>
        <w:jc w:val="both"/>
        <w:outlineLvl w:val="2"/>
      </w:pPr>
      <w:r>
        <w:rPr>
          <w:rFonts w:ascii="黑体" w:hAnsi="黑体" w:eastAsia="黑体"/>
          <w:sz w:val="32"/>
        </w:rPr>
        <w:t>一、收入支出决算总体情况说明</w:t>
      </w:r>
    </w:p>
    <w:p w14:paraId="0CC07266">
      <w:pPr>
        <w:spacing w:line="580" w:lineRule="exact"/>
        <w:ind w:firstLine="640"/>
        <w:jc w:val="both"/>
      </w:pPr>
      <w:r>
        <w:rPr>
          <w:rFonts w:ascii="仿宋_GB2312" w:hAnsi="仿宋_GB2312" w:eastAsia="仿宋_GB2312"/>
          <w:b/>
          <w:sz w:val="32"/>
        </w:rPr>
        <w:t>2024年度收入总计584.67万元，</w:t>
      </w:r>
      <w:r>
        <w:rPr>
          <w:rFonts w:ascii="仿宋_GB2312" w:hAnsi="仿宋_GB2312" w:eastAsia="仿宋_GB2312"/>
          <w:b w:val="0"/>
          <w:sz w:val="32"/>
        </w:rPr>
        <w:t>其中：本年收入合计584.67万元，使用非财政拨款结余（含专用结余）0.00万元，年初结转和结余0.00万元。</w:t>
      </w:r>
    </w:p>
    <w:p w14:paraId="7EE0A4E0">
      <w:pPr>
        <w:spacing w:line="580" w:lineRule="exact"/>
        <w:ind w:firstLine="640"/>
        <w:jc w:val="both"/>
      </w:pPr>
      <w:r>
        <w:rPr>
          <w:rFonts w:ascii="仿宋_GB2312" w:hAnsi="仿宋_GB2312" w:eastAsia="仿宋_GB2312"/>
          <w:b/>
          <w:sz w:val="32"/>
        </w:rPr>
        <w:t>2024年度支出总计584.67万元，</w:t>
      </w:r>
      <w:r>
        <w:rPr>
          <w:rFonts w:ascii="仿宋_GB2312" w:hAnsi="仿宋_GB2312" w:eastAsia="仿宋_GB2312"/>
          <w:b w:val="0"/>
          <w:sz w:val="32"/>
        </w:rPr>
        <w:t>其中：本年支出合计584.67万元，结余分配0.00万元，年末结转和结余0.00万元。</w:t>
      </w:r>
    </w:p>
    <w:p w14:paraId="6E8B148F">
      <w:pPr>
        <w:spacing w:line="580" w:lineRule="exact"/>
        <w:ind w:firstLine="640"/>
        <w:jc w:val="both"/>
      </w:pPr>
      <w:r>
        <w:rPr>
          <w:rFonts w:ascii="仿宋_GB2312" w:hAnsi="仿宋_GB2312" w:eastAsia="仿宋_GB2312"/>
          <w:b w:val="0"/>
          <w:sz w:val="32"/>
        </w:rPr>
        <w:t>收入支出总体与上年相比，增加30.57万元，增长5.52%，主要原因是：本年在职人员增加，在职人员工资调增、社保、公积金基数调增，人员经费增加。本年增加农产品质量安全项目。</w:t>
      </w:r>
    </w:p>
    <w:p w14:paraId="36B4A760">
      <w:pPr>
        <w:spacing w:line="640" w:lineRule="exact"/>
        <w:ind w:firstLine="640"/>
        <w:jc w:val="both"/>
        <w:outlineLvl w:val="2"/>
      </w:pPr>
      <w:r>
        <w:rPr>
          <w:rFonts w:ascii="黑体" w:hAnsi="黑体" w:eastAsia="黑体"/>
          <w:sz w:val="32"/>
        </w:rPr>
        <w:t>二、收入决算情况说明</w:t>
      </w:r>
    </w:p>
    <w:p w14:paraId="0A9B0B1F">
      <w:pPr>
        <w:spacing w:line="580" w:lineRule="exact"/>
        <w:ind w:firstLine="640"/>
        <w:jc w:val="both"/>
      </w:pPr>
      <w:r>
        <w:rPr>
          <w:rFonts w:ascii="仿宋_GB2312" w:hAnsi="仿宋_GB2312" w:eastAsia="仿宋_GB2312"/>
          <w:b/>
          <w:sz w:val="32"/>
        </w:rPr>
        <w:t>本年收入584.67万元，</w:t>
      </w:r>
      <w:r>
        <w:rPr>
          <w:rFonts w:ascii="仿宋_GB2312" w:hAnsi="仿宋_GB2312" w:eastAsia="仿宋_GB2312"/>
          <w:b w:val="0"/>
          <w:sz w:val="32"/>
        </w:rPr>
        <w:t>其中：财政拨款收入584.67万元，占100.00%；上级补助收入0.00万元，占0.00%；事业收入0.00万元，占0.00%；经营收入0.00万元，占0.00%；附属单位上缴收入0.00万元，占0.00%；其他收入0.00万元，占0.00%。</w:t>
      </w:r>
    </w:p>
    <w:p w14:paraId="0FEF3955">
      <w:pPr>
        <w:spacing w:line="640" w:lineRule="exact"/>
        <w:ind w:firstLine="640"/>
        <w:jc w:val="both"/>
        <w:outlineLvl w:val="2"/>
      </w:pPr>
      <w:r>
        <w:rPr>
          <w:rFonts w:ascii="黑体" w:hAnsi="黑体" w:eastAsia="黑体"/>
          <w:sz w:val="32"/>
        </w:rPr>
        <w:t>三、支出决算情况说明</w:t>
      </w:r>
    </w:p>
    <w:p w14:paraId="2D8A9758">
      <w:pPr>
        <w:spacing w:line="580" w:lineRule="exact"/>
        <w:ind w:firstLine="640"/>
        <w:jc w:val="both"/>
      </w:pPr>
      <w:r>
        <w:rPr>
          <w:rFonts w:ascii="仿宋_GB2312" w:hAnsi="仿宋_GB2312" w:eastAsia="仿宋_GB2312"/>
          <w:b/>
          <w:sz w:val="32"/>
        </w:rPr>
        <w:t>本年支出584.67万元，</w:t>
      </w:r>
      <w:r>
        <w:rPr>
          <w:rFonts w:ascii="仿宋_GB2312" w:hAnsi="仿宋_GB2312" w:eastAsia="仿宋_GB2312"/>
          <w:b w:val="0"/>
          <w:sz w:val="32"/>
        </w:rPr>
        <w:t>其中：基本支出506.74万元，占86.67%；项目支出77.93万元，占13.33%；上缴上级支出0.00万元，占0.00%；经营支出0.00万元，占0.00%；对附属单位补助支出0.00万元，占0.00%。</w:t>
      </w:r>
    </w:p>
    <w:p w14:paraId="6F4C9179">
      <w:pPr>
        <w:spacing w:line="640" w:lineRule="exact"/>
        <w:ind w:firstLine="640"/>
        <w:jc w:val="both"/>
        <w:outlineLvl w:val="2"/>
      </w:pPr>
      <w:r>
        <w:rPr>
          <w:rFonts w:ascii="黑体" w:hAnsi="黑体" w:eastAsia="黑体"/>
          <w:sz w:val="32"/>
        </w:rPr>
        <w:t>四、财政拨款收入支出决算总体情况说明</w:t>
      </w:r>
    </w:p>
    <w:p w14:paraId="6607B9AD">
      <w:pPr>
        <w:spacing w:line="580" w:lineRule="exact"/>
        <w:ind w:firstLine="640"/>
        <w:jc w:val="both"/>
      </w:pPr>
      <w:r>
        <w:rPr>
          <w:rFonts w:ascii="仿宋_GB2312" w:hAnsi="仿宋_GB2312" w:eastAsia="仿宋_GB2312"/>
          <w:b/>
          <w:sz w:val="32"/>
        </w:rPr>
        <w:t>2024年度财政拨款收入总计584.67万元，</w:t>
      </w:r>
      <w:r>
        <w:rPr>
          <w:rFonts w:ascii="仿宋_GB2312" w:hAnsi="仿宋_GB2312" w:eastAsia="仿宋_GB2312"/>
          <w:b w:val="0"/>
          <w:sz w:val="32"/>
        </w:rPr>
        <w:t>其中：年初财政拨款结转和结余0.00万元，本年财政拨款收入584.67万元。</w:t>
      </w:r>
      <w:r>
        <w:rPr>
          <w:rFonts w:ascii="仿宋_GB2312" w:hAnsi="仿宋_GB2312" w:eastAsia="仿宋_GB2312"/>
          <w:b/>
          <w:sz w:val="32"/>
        </w:rPr>
        <w:t>财政拨款支出总计584.67万元，</w:t>
      </w:r>
      <w:r>
        <w:rPr>
          <w:rFonts w:ascii="仿宋_GB2312" w:hAnsi="仿宋_GB2312" w:eastAsia="仿宋_GB2312"/>
          <w:b w:val="0"/>
          <w:sz w:val="32"/>
        </w:rPr>
        <w:t>其中：年末财政拨款结转和结余0.00万元，本年财政拨款支出584.67万元。</w:t>
      </w:r>
    </w:p>
    <w:p w14:paraId="500C60D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增加30.57万元，增长5.52%，主要原因是：本年在职人员增加，在职人员工资调增、社保、公积金基数调增，人员经费增加。本年增加农产品质量安全项目。</w:t>
      </w:r>
      <w:r>
        <w:rPr>
          <w:rFonts w:ascii="仿宋_GB2312" w:hAnsi="仿宋_GB2312" w:eastAsia="仿宋_GB2312"/>
          <w:b/>
          <w:sz w:val="32"/>
        </w:rPr>
        <w:t>与年初预算相比，</w:t>
      </w:r>
      <w:r>
        <w:rPr>
          <w:rFonts w:ascii="仿宋_GB2312" w:hAnsi="仿宋_GB2312" w:eastAsia="仿宋_GB2312"/>
          <w:b w:val="0"/>
          <w:sz w:val="32"/>
        </w:rPr>
        <w:t>年初预算数580.14万元，决算数584.67万元，预决算差异率0.78%，主要原因是：本年在职人员增加，年中追加人员经费及人员工资、社保、公积金基数调增部分资金，导致预决算存在差异。</w:t>
      </w:r>
    </w:p>
    <w:p w14:paraId="7755ED99">
      <w:pPr>
        <w:spacing w:line="640" w:lineRule="exact"/>
        <w:ind w:firstLine="640"/>
        <w:jc w:val="both"/>
        <w:outlineLvl w:val="2"/>
      </w:pPr>
      <w:r>
        <w:rPr>
          <w:rFonts w:ascii="黑体" w:hAnsi="黑体" w:eastAsia="黑体"/>
          <w:sz w:val="32"/>
        </w:rPr>
        <w:t>五、一般公共预算财政拨款支出决算情况说明</w:t>
      </w:r>
    </w:p>
    <w:p w14:paraId="3DBC4258">
      <w:pPr>
        <w:spacing w:line="640" w:lineRule="exact"/>
        <w:ind w:firstLine="640"/>
        <w:jc w:val="both"/>
        <w:outlineLvl w:val="3"/>
      </w:pPr>
      <w:r>
        <w:rPr>
          <w:rFonts w:ascii="楷体_GB2312" w:hAnsi="楷体_GB2312" w:eastAsia="楷体_GB2312"/>
          <w:b/>
          <w:sz w:val="32"/>
        </w:rPr>
        <w:t>（一）一般公共预算财政拨款支出决算总体情况</w:t>
      </w:r>
    </w:p>
    <w:p w14:paraId="720FCAE4">
      <w:pPr>
        <w:spacing w:line="580" w:lineRule="exact"/>
        <w:ind w:firstLine="640"/>
        <w:jc w:val="both"/>
      </w:pPr>
      <w:r>
        <w:rPr>
          <w:rFonts w:ascii="仿宋_GB2312" w:hAnsi="仿宋_GB2312" w:eastAsia="仿宋_GB2312"/>
          <w:b/>
          <w:sz w:val="32"/>
        </w:rPr>
        <w:t>2024年度一般公共预算财政拨款支出584.67万元，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增加30.57万元，增长5.52%，主要原因是：本年在职人员增加，在职人员工资调增、社保、公积金基数调增，人员经费增加。本年增加农产品质量安全项目。</w:t>
      </w:r>
      <w:r>
        <w:rPr>
          <w:rFonts w:ascii="仿宋_GB2312" w:hAnsi="仿宋_GB2312" w:eastAsia="仿宋_GB2312"/>
          <w:b/>
          <w:sz w:val="32"/>
        </w:rPr>
        <w:t>与年初预算相比,</w:t>
      </w:r>
      <w:r>
        <w:rPr>
          <w:rFonts w:ascii="仿宋_GB2312" w:hAnsi="仿宋_GB2312" w:eastAsia="仿宋_GB2312"/>
          <w:b w:val="0"/>
          <w:sz w:val="32"/>
        </w:rPr>
        <w:t>年初预算数580.14万元，决算数584.67万元，预决算差异率0.78%，主要原因是：本年在职人员增加，年中追加人员经费及人员工资、社保、公积金基数调增部分资金，导致预决算存在差异。</w:t>
      </w:r>
    </w:p>
    <w:p w14:paraId="2BEE0648">
      <w:pPr>
        <w:spacing w:line="640" w:lineRule="exact"/>
        <w:ind w:firstLine="640"/>
        <w:jc w:val="both"/>
        <w:outlineLvl w:val="3"/>
      </w:pPr>
      <w:r>
        <w:rPr>
          <w:rFonts w:ascii="楷体_GB2312" w:hAnsi="楷体_GB2312" w:eastAsia="楷体_GB2312"/>
          <w:b/>
          <w:sz w:val="32"/>
        </w:rPr>
        <w:t>（二）一般公共预算财政拨款支出决算结构情况</w:t>
      </w:r>
    </w:p>
    <w:p w14:paraId="4F174527">
      <w:pPr>
        <w:spacing w:line="580" w:lineRule="exact"/>
        <w:ind w:firstLine="640"/>
        <w:jc w:val="both"/>
      </w:pPr>
      <w:r>
        <w:rPr>
          <w:rFonts w:ascii="仿宋_GB2312" w:hAnsi="仿宋_GB2312" w:eastAsia="仿宋_GB2312"/>
          <w:b w:val="0"/>
          <w:sz w:val="32"/>
        </w:rPr>
        <w:t>1.教育支出(类)1.43万元,占0.24%。</w:t>
      </w:r>
    </w:p>
    <w:p w14:paraId="1AB2475F">
      <w:pPr>
        <w:spacing w:line="580" w:lineRule="exact"/>
        <w:ind w:firstLine="640"/>
        <w:jc w:val="both"/>
      </w:pPr>
      <w:r>
        <w:rPr>
          <w:rFonts w:ascii="仿宋_GB2312" w:hAnsi="仿宋_GB2312" w:eastAsia="仿宋_GB2312"/>
          <w:b w:val="0"/>
          <w:sz w:val="32"/>
        </w:rPr>
        <w:t>2.社会保障和就业支出(类)63.12万元,占10.80%。</w:t>
      </w:r>
    </w:p>
    <w:p w14:paraId="623F5AFE">
      <w:pPr>
        <w:spacing w:line="580" w:lineRule="exact"/>
        <w:ind w:firstLine="640"/>
        <w:jc w:val="both"/>
      </w:pPr>
      <w:r>
        <w:rPr>
          <w:rFonts w:ascii="仿宋_GB2312" w:hAnsi="仿宋_GB2312" w:eastAsia="仿宋_GB2312"/>
          <w:b w:val="0"/>
          <w:sz w:val="32"/>
        </w:rPr>
        <w:t>3.卫生健康支出(类)30.17万元,占5.16%。</w:t>
      </w:r>
    </w:p>
    <w:p w14:paraId="66C6949E">
      <w:pPr>
        <w:spacing w:line="580" w:lineRule="exact"/>
        <w:ind w:firstLine="640"/>
        <w:jc w:val="both"/>
      </w:pPr>
      <w:r>
        <w:rPr>
          <w:rFonts w:ascii="仿宋_GB2312" w:hAnsi="仿宋_GB2312" w:eastAsia="仿宋_GB2312"/>
          <w:b w:val="0"/>
          <w:sz w:val="32"/>
        </w:rPr>
        <w:t>4.农林水支出(类)450.27万元,占77.01%。</w:t>
      </w:r>
    </w:p>
    <w:p w14:paraId="4CD22AD2">
      <w:pPr>
        <w:spacing w:line="580" w:lineRule="exact"/>
        <w:ind w:firstLine="640"/>
        <w:jc w:val="both"/>
      </w:pPr>
      <w:r>
        <w:rPr>
          <w:rFonts w:ascii="仿宋_GB2312" w:hAnsi="仿宋_GB2312" w:eastAsia="仿宋_GB2312"/>
          <w:b w:val="0"/>
          <w:sz w:val="32"/>
        </w:rPr>
        <w:t>5.住房保障支出(类)39.69万元,占6.79%。</w:t>
      </w:r>
    </w:p>
    <w:p w14:paraId="39B973E4">
      <w:pPr>
        <w:spacing w:line="640" w:lineRule="exact"/>
        <w:ind w:firstLine="640"/>
        <w:jc w:val="both"/>
        <w:outlineLvl w:val="3"/>
      </w:pPr>
      <w:r>
        <w:rPr>
          <w:rFonts w:ascii="楷体_GB2312" w:hAnsi="楷体_GB2312" w:eastAsia="楷体_GB2312"/>
          <w:b/>
          <w:sz w:val="32"/>
        </w:rPr>
        <w:t>（三）一般公共预算财政拨款支出决算具体情况</w:t>
      </w:r>
    </w:p>
    <w:p w14:paraId="3018A0BB">
      <w:pPr>
        <w:spacing w:line="580" w:lineRule="exact"/>
        <w:ind w:firstLine="640"/>
        <w:jc w:val="both"/>
      </w:pPr>
      <w:r>
        <w:rPr>
          <w:rFonts w:ascii="仿宋_GB2312" w:hAnsi="仿宋_GB2312" w:eastAsia="仿宋_GB2312"/>
          <w:b w:val="0"/>
          <w:sz w:val="32"/>
        </w:rPr>
        <w:t>1.教育支出(类)进修及培训(款)培训支出(项):支出决算数为1.43万元，比上年决算增加0.46万元，增长47.42%,主要原因是：本年在职人员出疆培训</w:t>
      </w:r>
      <w:r>
        <w:rPr>
          <w:rFonts w:hint="eastAsia" w:ascii="仿宋_GB2312" w:hAnsi="仿宋_GB2312" w:eastAsia="仿宋_GB2312"/>
          <w:b w:val="0"/>
          <w:sz w:val="32"/>
          <w:lang w:val="en-US" w:eastAsia="zh-CN"/>
        </w:rPr>
        <w:t>人次增加</w:t>
      </w:r>
      <w:r>
        <w:rPr>
          <w:rFonts w:ascii="仿宋_GB2312" w:hAnsi="仿宋_GB2312" w:eastAsia="仿宋_GB2312"/>
          <w:b w:val="0"/>
          <w:sz w:val="32"/>
        </w:rPr>
        <w:t>，导致培训费较上年增加。</w:t>
      </w:r>
    </w:p>
    <w:p w14:paraId="33AC0E84">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2.社会保障和就业支出(类)行政事业单位养老支出(款)行政单位离退休(项):支出决算数为10.88万元，比上年决算增加1.87万元，增长20.75%,主要原因是：本年增加退休人员基础绩效奖，退休费支出增加。</w:t>
      </w:r>
    </w:p>
    <w:p w14:paraId="7F40A0E5">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万元，比上年决算增加1.00万元，增长100.00%,主要原因是：本年功能科目调整，事业单位离退休上年度在行政运行科目列支，本年单独列支，导致经费较上年增加。</w:t>
      </w:r>
    </w:p>
    <w:p w14:paraId="088251FD">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51.25万元，比上年决算增加6.85万元，增长15.43%,主要原因是：本年在职人员增加，在职人员工资基数调增，养老缴费基数上涨，相应支出增加。</w:t>
      </w:r>
    </w:p>
    <w:p w14:paraId="7EBBAE55">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7.45万元，下降100.00%,主要原因是：本年无新增退休人员，单位职业年金缴费支出减少。</w:t>
      </w:r>
    </w:p>
    <w:p w14:paraId="57A0A51A">
      <w:pPr>
        <w:spacing w:line="580" w:lineRule="exact"/>
        <w:ind w:firstLine="640"/>
        <w:jc w:val="both"/>
      </w:pPr>
      <w:r>
        <w:rPr>
          <w:rFonts w:ascii="仿宋_GB2312" w:hAnsi="仿宋_GB2312" w:eastAsia="仿宋_GB2312"/>
          <w:b w:val="0"/>
          <w:sz w:val="32"/>
        </w:rPr>
        <w:t>6.卫生健康支出(类)行政事业单位医疗(款)行政单位医疗(项):支出决算数为16.22万元，比上年决算增加3.39万元，增长26.42%,主要原因是：本年在职人员增加，行政单位医疗支出较上年增加。</w:t>
      </w:r>
    </w:p>
    <w:p w14:paraId="234D6F7C">
      <w:pPr>
        <w:spacing w:line="580" w:lineRule="exact"/>
        <w:ind w:firstLine="640"/>
        <w:jc w:val="both"/>
      </w:pPr>
      <w:r>
        <w:rPr>
          <w:rFonts w:ascii="仿宋_GB2312" w:hAnsi="仿宋_GB2312" w:eastAsia="仿宋_GB2312"/>
          <w:b w:val="0"/>
          <w:sz w:val="32"/>
        </w:rPr>
        <w:t>7.卫生健康支出(类)行政事业单位医疗(款)事业单位医疗(项):支出决算数为6.24万元，比上年决算减少0.52万元，下降7.69%,主要原因是：本年</w:t>
      </w:r>
      <w:r>
        <w:rPr>
          <w:rFonts w:hint="eastAsia" w:ascii="仿宋_GB2312" w:hAnsi="仿宋_GB2312" w:eastAsia="仿宋_GB2312"/>
          <w:b w:val="0"/>
          <w:sz w:val="32"/>
          <w:lang w:val="en-US" w:eastAsia="zh-CN"/>
        </w:rPr>
        <w:t>事业</w:t>
      </w:r>
      <w:r>
        <w:rPr>
          <w:rFonts w:ascii="仿宋_GB2312" w:hAnsi="仿宋_GB2312" w:eastAsia="仿宋_GB2312"/>
          <w:b w:val="0"/>
          <w:sz w:val="32"/>
        </w:rPr>
        <w:t>在职人员调入调出，人员职级不同，工资基数不同，导致</w:t>
      </w:r>
      <w:r>
        <w:rPr>
          <w:rFonts w:hint="eastAsia" w:ascii="仿宋_GB2312" w:hAnsi="仿宋_GB2312" w:eastAsia="仿宋_GB2312"/>
          <w:b w:val="0"/>
          <w:sz w:val="32"/>
          <w:lang w:val="en-US" w:eastAsia="zh-CN"/>
        </w:rPr>
        <w:t>事业单位医疗缴费</w:t>
      </w:r>
      <w:r>
        <w:rPr>
          <w:rFonts w:ascii="仿宋_GB2312" w:hAnsi="仿宋_GB2312" w:eastAsia="仿宋_GB2312"/>
          <w:b w:val="0"/>
          <w:sz w:val="32"/>
        </w:rPr>
        <w:t>较上年减少。</w:t>
      </w:r>
    </w:p>
    <w:p w14:paraId="1838FBBF">
      <w:pPr>
        <w:spacing w:line="580" w:lineRule="exact"/>
        <w:ind w:firstLine="640"/>
        <w:jc w:val="both"/>
      </w:pPr>
      <w:r>
        <w:rPr>
          <w:rFonts w:ascii="仿宋_GB2312" w:hAnsi="仿宋_GB2312" w:eastAsia="仿宋_GB2312"/>
          <w:b w:val="0"/>
          <w:sz w:val="32"/>
        </w:rPr>
        <w:t>8.卫生健康支出(类)行政事业单位医疗(款)公务员医疗补助(项):支出决算数为6.95万元，比上年决算增加1.27万元，增长22.36%,主要原因是：本年在职人员增加，公务员医疗补助较上年增加。</w:t>
      </w:r>
    </w:p>
    <w:p w14:paraId="3F03D224">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0.77万元，比上年决算减少0.15万元，下降16.30%,主要原因是：因退休人员医疗保险制度改革，退休人员基本医疗不再由单位缴纳，导致经费较上年减少。</w:t>
      </w:r>
    </w:p>
    <w:p w14:paraId="503F24D0">
      <w:pPr>
        <w:spacing w:line="580" w:lineRule="exact"/>
        <w:ind w:firstLine="640"/>
        <w:jc w:val="both"/>
      </w:pPr>
      <w:r>
        <w:rPr>
          <w:rFonts w:ascii="仿宋_GB2312" w:hAnsi="仿宋_GB2312" w:eastAsia="仿宋_GB2312"/>
          <w:b w:val="0"/>
          <w:sz w:val="32"/>
        </w:rPr>
        <w:t>10.农林水支出(类)农业农村(款)行政运行(项):支出决算数为271.08万元，比上年决算增加20.32万元，增长8.10%,主要原因是：本年新增在职人员，在职人员工资调增，导致相关人员经费较上年有所增加。</w:t>
      </w:r>
    </w:p>
    <w:p w14:paraId="0337A197">
      <w:pPr>
        <w:spacing w:line="580" w:lineRule="exact"/>
        <w:ind w:firstLine="640"/>
        <w:jc w:val="both"/>
      </w:pPr>
      <w:r>
        <w:rPr>
          <w:rFonts w:ascii="仿宋_GB2312" w:hAnsi="仿宋_GB2312" w:eastAsia="仿宋_GB2312"/>
          <w:b w:val="0"/>
          <w:sz w:val="32"/>
        </w:rPr>
        <w:t>11.农林水支出(类)农业农村(款)事业运行(项):支出决算数为101.26万元，比上年决算减少10.99万元，下降9.79%,主要原因是：本年</w:t>
      </w:r>
      <w:r>
        <w:rPr>
          <w:rFonts w:hint="eastAsia" w:ascii="仿宋_GB2312" w:hAnsi="仿宋_GB2312" w:eastAsia="仿宋_GB2312"/>
          <w:b w:val="0"/>
          <w:sz w:val="32"/>
          <w:lang w:val="en-US" w:eastAsia="zh-CN"/>
        </w:rPr>
        <w:t>事业</w:t>
      </w:r>
      <w:r>
        <w:rPr>
          <w:rFonts w:ascii="仿宋_GB2312" w:hAnsi="仿宋_GB2312" w:eastAsia="仿宋_GB2312"/>
          <w:b w:val="0"/>
          <w:sz w:val="32"/>
        </w:rPr>
        <w:t>在职人员调入调出，人员职级不同，工资基数不同，导致人员经费较上年减少。</w:t>
      </w:r>
    </w:p>
    <w:p w14:paraId="4819A437">
      <w:pPr>
        <w:spacing w:line="580" w:lineRule="exact"/>
        <w:ind w:firstLine="640"/>
        <w:jc w:val="both"/>
      </w:pPr>
      <w:r>
        <w:rPr>
          <w:rFonts w:ascii="仿宋_GB2312" w:hAnsi="仿宋_GB2312" w:eastAsia="仿宋_GB2312"/>
          <w:b w:val="0"/>
          <w:sz w:val="32"/>
        </w:rPr>
        <w:t>12.农林水支出(类)农业农村(款)农产品质量安全(项):支出决算数为10万元，比上年决算增加10.00万元，增长100.00%,主要原因是：本年新增农产品质量安全项目，导致经费较上年增加。</w:t>
      </w:r>
    </w:p>
    <w:p w14:paraId="26FA0484">
      <w:pPr>
        <w:spacing w:line="580" w:lineRule="exact"/>
        <w:ind w:firstLine="640"/>
        <w:jc w:val="both"/>
      </w:pPr>
      <w:r>
        <w:rPr>
          <w:rFonts w:ascii="仿宋_GB2312" w:hAnsi="仿宋_GB2312" w:eastAsia="仿宋_GB2312"/>
          <w:b w:val="0"/>
          <w:sz w:val="32"/>
        </w:rPr>
        <w:t>13.农林水支出(类)农业农村(款)其他农业农村支出(项):支出决算数为67.93万元，比上年决算减少2.99万元，下降4.22%,主要原因是：本年农业综合行政执法运行及大型工程机械设备监管平台环境租赁费较上年减少。</w:t>
      </w:r>
    </w:p>
    <w:p w14:paraId="018C67B6">
      <w:pPr>
        <w:spacing w:line="580" w:lineRule="exact"/>
        <w:ind w:firstLine="640"/>
        <w:jc w:val="both"/>
      </w:pPr>
      <w:r>
        <w:rPr>
          <w:rFonts w:ascii="仿宋_GB2312" w:hAnsi="仿宋_GB2312" w:eastAsia="仿宋_GB2312"/>
          <w:b w:val="0"/>
          <w:sz w:val="32"/>
        </w:rPr>
        <w:t>14.住房保障支出(类)住房改革支出(款)住房公积金(项):支出决算数为39.69万元，比上年决算增加7.55万元，增长23.49%,主要原因是：本年在职人员增加，在职人员工资基数调增，公积金缴费基数上涨，相应支出增加。</w:t>
      </w:r>
    </w:p>
    <w:p w14:paraId="270C83B3">
      <w:pPr>
        <w:spacing w:line="640" w:lineRule="exact"/>
        <w:ind w:firstLine="640"/>
        <w:jc w:val="both"/>
        <w:outlineLvl w:val="2"/>
      </w:pPr>
      <w:r>
        <w:rPr>
          <w:rFonts w:ascii="黑体" w:hAnsi="黑体" w:eastAsia="黑体"/>
          <w:sz w:val="32"/>
        </w:rPr>
        <w:t>六、一般公共预算财政拨款基本支出决算情况说明</w:t>
      </w:r>
    </w:p>
    <w:p w14:paraId="1938AE8B">
      <w:pPr>
        <w:spacing w:line="580" w:lineRule="exact"/>
        <w:ind w:firstLine="640"/>
        <w:jc w:val="both"/>
      </w:pPr>
      <w:r>
        <w:rPr>
          <w:rFonts w:ascii="仿宋_GB2312" w:hAnsi="仿宋_GB2312" w:eastAsia="仿宋_GB2312"/>
          <w:b w:val="0"/>
          <w:sz w:val="32"/>
        </w:rPr>
        <w:t>2024年度一般公共预算财政拨款基本支出506.74万元，其中：</w:t>
      </w:r>
      <w:r>
        <w:rPr>
          <w:rFonts w:ascii="仿宋_GB2312" w:hAnsi="仿宋_GB2312" w:eastAsia="仿宋_GB2312"/>
          <w:b/>
          <w:sz w:val="32"/>
        </w:rPr>
        <w:t>人员经费480.00万元，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包括：基本工资、津贴补贴、奖金、伙食补助费、机关事业单位基本养老保险缴费、职工基本医疗保险缴费、公务员医疗补助缴费、其他社会保障缴费、住房公积金、退休费、奖励金。</w:t>
      </w:r>
    </w:p>
    <w:p w14:paraId="1BA3BD10">
      <w:pPr>
        <w:spacing w:line="580" w:lineRule="exact"/>
        <w:ind w:firstLine="640"/>
        <w:jc w:val="both"/>
      </w:pPr>
      <w:r>
        <w:rPr>
          <w:rFonts w:ascii="仿宋_GB2312" w:hAnsi="仿宋_GB2312" w:eastAsia="仿宋_GB2312"/>
          <w:b/>
          <w:sz w:val="32"/>
        </w:rPr>
        <w:t>公用经费26.74万元，</w:t>
      </w:r>
      <w:r>
        <w:rPr>
          <w:rFonts w:ascii="仿宋_GB2312" w:hAnsi="仿宋_GB2312" w:eastAsia="仿宋_GB2312"/>
          <w:b w:val="0"/>
          <w:sz w:val="32"/>
        </w:rPr>
        <w:t>包括：办公费、水费、电费、邮电费、取暖费、物业管理费、差旅费、维修（护）费、培训费、公务接待费、劳务费、工会经费、福利费、公务用车运行维护费、其他商品和服务支出。</w:t>
      </w:r>
    </w:p>
    <w:p w14:paraId="5277837E">
      <w:pPr>
        <w:spacing w:line="640" w:lineRule="exact"/>
        <w:ind w:firstLine="640"/>
        <w:jc w:val="both"/>
        <w:outlineLvl w:val="2"/>
      </w:pPr>
      <w:r>
        <w:rPr>
          <w:rFonts w:ascii="黑体" w:hAnsi="黑体" w:eastAsia="黑体"/>
          <w:sz w:val="32"/>
        </w:rPr>
        <w:t>七、政府性基金预算财政拨款收入支出决算情况说明</w:t>
      </w:r>
    </w:p>
    <w:p w14:paraId="70D87D8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7812160">
      <w:pPr>
        <w:spacing w:line="640" w:lineRule="exact"/>
        <w:ind w:firstLine="640"/>
        <w:jc w:val="both"/>
        <w:outlineLvl w:val="2"/>
      </w:pPr>
      <w:r>
        <w:rPr>
          <w:rFonts w:ascii="黑体" w:hAnsi="黑体" w:eastAsia="黑体"/>
          <w:sz w:val="32"/>
        </w:rPr>
        <w:t>八、国有资本经营预算财政拨款收入支出决算情况说明</w:t>
      </w:r>
    </w:p>
    <w:p w14:paraId="1576891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CE35270">
      <w:pPr>
        <w:spacing w:line="640" w:lineRule="exact"/>
        <w:ind w:firstLine="640"/>
        <w:jc w:val="both"/>
        <w:outlineLvl w:val="2"/>
      </w:pPr>
      <w:r>
        <w:rPr>
          <w:rFonts w:ascii="黑体" w:hAnsi="黑体" w:eastAsia="黑体"/>
          <w:sz w:val="32"/>
        </w:rPr>
        <w:t>九、财政拨款“三公”经费支出决算情况说明</w:t>
      </w:r>
    </w:p>
    <w:p w14:paraId="5E7DC550">
      <w:pPr>
        <w:spacing w:line="580" w:lineRule="exact"/>
        <w:ind w:firstLine="640"/>
        <w:jc w:val="both"/>
      </w:pPr>
      <w:r>
        <w:rPr>
          <w:rFonts w:ascii="仿宋_GB2312" w:hAnsi="仿宋_GB2312" w:eastAsia="仿宋_GB2312"/>
          <w:b/>
          <w:sz w:val="32"/>
        </w:rPr>
        <w:t>2024年度财政拨款“三公”经费支出8.35万元，</w:t>
      </w:r>
      <w:r>
        <w:rPr>
          <w:rFonts w:ascii="仿宋_GB2312" w:hAnsi="仿宋_GB2312" w:eastAsia="仿宋_GB2312"/>
          <w:b w:val="0"/>
          <w:sz w:val="32"/>
        </w:rPr>
        <w:t>比上年减少0.38万元，下降4.35%，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8.32万元，占99.64%，比上年减少0.24万元，下降2.80%，主要原因是：严格落实中央八项规定精神，厉行节约，减少公务用车运行维护费。公务接待费支出0.03万元，占0.36%，比上年减少0.14万元，下降82.35%，主要原因是：严格落实中央八项规定精神，厉行节约，减少公务接待费。</w:t>
      </w:r>
    </w:p>
    <w:p w14:paraId="5F33B2C1">
      <w:pPr>
        <w:spacing w:line="580" w:lineRule="exact"/>
        <w:ind w:firstLine="640"/>
        <w:jc w:val="both"/>
      </w:pPr>
      <w:r>
        <w:rPr>
          <w:rFonts w:ascii="仿宋_GB2312" w:hAnsi="仿宋_GB2312" w:eastAsia="仿宋_GB2312"/>
          <w:b/>
          <w:sz w:val="32"/>
        </w:rPr>
        <w:t>具体情况如下：</w:t>
      </w:r>
    </w:p>
    <w:p w14:paraId="22CC877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9D3D8E3">
      <w:pPr>
        <w:spacing w:line="580" w:lineRule="exact"/>
        <w:ind w:firstLine="640"/>
        <w:jc w:val="both"/>
      </w:pPr>
      <w:r>
        <w:rPr>
          <w:rFonts w:ascii="仿宋_GB2312" w:hAnsi="仿宋_GB2312" w:eastAsia="仿宋_GB2312"/>
          <w:b w:val="0"/>
          <w:sz w:val="32"/>
        </w:rPr>
        <w:t>公务用车购置及运行维护费8.32万元，其中：公务用车购置费0.00万元，公务用车运行维护费8.32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28762CDE">
      <w:pPr>
        <w:spacing w:line="580" w:lineRule="exact"/>
        <w:ind w:firstLine="640"/>
        <w:jc w:val="both"/>
      </w:pPr>
      <w:r>
        <w:rPr>
          <w:rFonts w:ascii="仿宋_GB2312" w:hAnsi="仿宋_GB2312" w:eastAsia="仿宋_GB2312"/>
          <w:b w:val="0"/>
          <w:sz w:val="32"/>
        </w:rPr>
        <w:t>公务接待费0.03万元，开支内容包括因工作检查，接待上级领导产生的就餐费。单位全年安排的国内公务接待1批次，4人次。</w:t>
      </w:r>
    </w:p>
    <w:p w14:paraId="099DAEB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8.35万元，决算数8.35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8.32万元，决算数8.32万元，预决算差异率0.00%，主要原因是：严格按照预算执行，预决算无差异。公务接待费全年预算数0.03万元，决算数0.03万元，预决算差异率0.00%，主要原因是：严格按照预算执行，预决算无差异。</w:t>
      </w:r>
    </w:p>
    <w:p w14:paraId="587A0B1D">
      <w:pPr>
        <w:spacing w:line="640" w:lineRule="exact"/>
        <w:ind w:firstLine="640"/>
        <w:jc w:val="both"/>
        <w:outlineLvl w:val="2"/>
      </w:pPr>
      <w:r>
        <w:rPr>
          <w:rFonts w:ascii="黑体" w:hAnsi="黑体" w:eastAsia="黑体"/>
          <w:sz w:val="32"/>
        </w:rPr>
        <w:t>十、其他重要事项的情况说明</w:t>
      </w:r>
    </w:p>
    <w:p w14:paraId="16E3FD2B">
      <w:pPr>
        <w:spacing w:line="640" w:lineRule="exact"/>
        <w:ind w:firstLine="640"/>
        <w:jc w:val="both"/>
        <w:outlineLvl w:val="3"/>
      </w:pPr>
      <w:r>
        <w:rPr>
          <w:rFonts w:ascii="楷体_GB2312" w:hAnsi="楷体_GB2312" w:eastAsia="楷体_GB2312"/>
          <w:b/>
          <w:sz w:val="32"/>
        </w:rPr>
        <w:t>（一）机关运行经费及公用经费支出情况</w:t>
      </w:r>
    </w:p>
    <w:p w14:paraId="4175DCC2">
      <w:pPr>
        <w:spacing w:line="580" w:lineRule="exact"/>
        <w:ind w:firstLine="640"/>
        <w:jc w:val="both"/>
      </w:pPr>
      <w:r>
        <w:rPr>
          <w:rFonts w:ascii="仿宋_GB2312" w:hAnsi="仿宋_GB2312" w:eastAsia="仿宋_GB2312"/>
          <w:b w:val="0"/>
          <w:sz w:val="32"/>
        </w:rPr>
        <w:t>2024年度巴音郭楞蒙古自治州农业综合行政执法支队（行政单位和参照公务员法管理事业单位）机关运行经费支出26.74万元，比上年增加2.27万元，增长9.28%，主要原因是：本年在职人员增加，办公费用增加。</w:t>
      </w:r>
    </w:p>
    <w:p w14:paraId="15054232">
      <w:pPr>
        <w:spacing w:line="640" w:lineRule="exact"/>
        <w:ind w:firstLine="640"/>
        <w:jc w:val="both"/>
        <w:outlineLvl w:val="3"/>
      </w:pPr>
      <w:r>
        <w:rPr>
          <w:rFonts w:ascii="楷体_GB2312" w:hAnsi="楷体_GB2312" w:eastAsia="楷体_GB2312"/>
          <w:b/>
          <w:sz w:val="32"/>
        </w:rPr>
        <w:t>（二）政府采购情况</w:t>
      </w:r>
    </w:p>
    <w:p w14:paraId="0A812212">
      <w:pPr>
        <w:spacing w:line="580" w:lineRule="exact"/>
        <w:ind w:firstLine="640"/>
        <w:jc w:val="both"/>
      </w:pPr>
      <w:r>
        <w:rPr>
          <w:rFonts w:ascii="仿宋_GB2312" w:hAnsi="仿宋_GB2312" w:eastAsia="仿宋_GB2312"/>
          <w:b w:val="0"/>
          <w:sz w:val="32"/>
        </w:rPr>
        <w:t>2024年度政府采购支出总额7.62万元，其中：政府采购货物支出3.32万元、政府采购工程支出0.00万元、政府采购服务支出4.30万元。</w:t>
      </w:r>
    </w:p>
    <w:p w14:paraId="5F8EF80A">
      <w:pPr>
        <w:spacing w:line="580" w:lineRule="exact"/>
        <w:ind w:firstLine="640"/>
        <w:jc w:val="both"/>
      </w:pPr>
      <w:r>
        <w:rPr>
          <w:rFonts w:ascii="仿宋_GB2312" w:hAnsi="仿宋_GB2312" w:eastAsia="仿宋_GB2312"/>
          <w:b w:val="0"/>
          <w:sz w:val="32"/>
        </w:rPr>
        <w:t>授予中小企业合同金额6.65万元，占政府采购支出总额的87.27%，其中：授予小微企业合同金额6.19万元，占政府采购支出总额的81.23%。</w:t>
      </w:r>
    </w:p>
    <w:p w14:paraId="435F46ED">
      <w:pPr>
        <w:spacing w:line="640" w:lineRule="exact"/>
        <w:ind w:firstLine="640"/>
        <w:jc w:val="both"/>
        <w:outlineLvl w:val="3"/>
      </w:pPr>
      <w:r>
        <w:rPr>
          <w:rFonts w:ascii="楷体_GB2312" w:hAnsi="楷体_GB2312" w:eastAsia="楷体_GB2312"/>
          <w:b/>
          <w:sz w:val="32"/>
        </w:rPr>
        <w:t>（三）国有资产占用情况说明</w:t>
      </w:r>
    </w:p>
    <w:p w14:paraId="4C2179C7">
      <w:pPr>
        <w:spacing w:line="580" w:lineRule="exact"/>
        <w:ind w:firstLine="640"/>
        <w:jc w:val="both"/>
      </w:pPr>
      <w:r>
        <w:rPr>
          <w:rFonts w:ascii="仿宋_GB2312" w:hAnsi="仿宋_GB2312" w:eastAsia="仿宋_GB2312"/>
          <w:b w:val="0"/>
          <w:sz w:val="32"/>
        </w:rPr>
        <w:t>截至2024年12月31日，房屋81.00平方米，价值1.93万元。车辆4辆，价值68.75万元，其中：副部（省）级及以上领导用车0辆、主要负责人用车0辆、机要通信用车0辆、应急保障用车0辆、执法执勤用车1辆、特种专业技术用车1辆、离退休干部服务用车0辆、其他用车2辆，其他用车主要是：单位业务用车。单价100万元（含）以上设备（不含车辆）0台（套）。</w:t>
      </w:r>
    </w:p>
    <w:p w14:paraId="43EC0833">
      <w:pPr>
        <w:spacing w:line="640" w:lineRule="exact"/>
        <w:ind w:firstLine="640"/>
        <w:jc w:val="both"/>
        <w:outlineLvl w:val="2"/>
      </w:pPr>
      <w:r>
        <w:rPr>
          <w:rFonts w:ascii="黑体" w:hAnsi="黑体" w:eastAsia="黑体"/>
          <w:sz w:val="32"/>
        </w:rPr>
        <w:t>十一、预算绩效的情况说明</w:t>
      </w:r>
    </w:p>
    <w:p w14:paraId="67AB856F">
      <w:pPr>
        <w:spacing w:line="580" w:lineRule="exact"/>
        <w:ind w:firstLine="640"/>
        <w:jc w:val="both"/>
      </w:pPr>
      <w:r>
        <w:rPr>
          <w:rFonts w:ascii="仿宋_GB2312" w:hAnsi="仿宋_GB2312" w:eastAsia="仿宋_GB2312"/>
          <w:b w:val="0"/>
          <w:sz w:val="32"/>
        </w:rPr>
        <w:t>根据预算绩效管理要求，本单位预算绩效评价项目2个，全年预算数78.10万元，全年执行数77.93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加强财政资金使用效益跟踪“回头看”，对资金绩效运行状况，及时预控、查找资金使用和管理过程中的薄弱环节，加快资金拨付进度，确保后续绩效目标的有效实现提供有力支撑。具体附项目支出绩效自评表和评价报告。</w:t>
      </w:r>
    </w:p>
    <w:p w14:paraId="5EA776B1">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776"/>
        <w:gridCol w:w="696"/>
        <w:gridCol w:w="630"/>
        <w:gridCol w:w="631"/>
      </w:tblGrid>
      <w:tr w14:paraId="5A259E01">
        <w:tblPrEx>
          <w:tblCellMar>
            <w:top w:w="0" w:type="dxa"/>
            <w:left w:w="108" w:type="dxa"/>
            <w:bottom w:w="0" w:type="dxa"/>
            <w:right w:w="108" w:type="dxa"/>
          </w:tblCellMar>
        </w:tblPrEx>
        <w:tc>
          <w:tcPr>
            <w:tcW w:w="8848" w:type="dxa"/>
            <w:gridSpan w:val="14"/>
            <w:vAlign w:val="center"/>
          </w:tcPr>
          <w:p w14:paraId="2A32AA0B">
            <w:pPr>
              <w:jc w:val="center"/>
            </w:pPr>
            <w:r>
              <w:rPr>
                <w:rFonts w:ascii="宋体" w:hAnsi="宋体" w:eastAsia="宋体"/>
                <w:sz w:val="24"/>
              </w:rPr>
              <w:t>项目支出绩效自评表</w:t>
            </w:r>
          </w:p>
        </w:tc>
      </w:tr>
      <w:tr w14:paraId="71A0813F">
        <w:tblPrEx>
          <w:tblCellMar>
            <w:top w:w="0" w:type="dxa"/>
            <w:left w:w="108" w:type="dxa"/>
            <w:bottom w:w="0" w:type="dxa"/>
            <w:right w:w="108" w:type="dxa"/>
          </w:tblCellMar>
        </w:tblPrEx>
        <w:tc>
          <w:tcPr>
            <w:tcW w:w="8848" w:type="dxa"/>
            <w:gridSpan w:val="14"/>
            <w:vAlign w:val="center"/>
          </w:tcPr>
          <w:p w14:paraId="48B19629">
            <w:pPr>
              <w:jc w:val="center"/>
            </w:pPr>
            <w:r>
              <w:rPr>
                <w:rFonts w:ascii="宋体" w:hAnsi="宋体" w:eastAsia="宋体"/>
                <w:sz w:val="24"/>
              </w:rPr>
              <w:t>(2024年度)</w:t>
            </w:r>
          </w:p>
        </w:tc>
      </w:tr>
      <w:tr w14:paraId="71ACB9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2E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DF1A49">
            <w:pPr>
              <w:jc w:val="center"/>
            </w:pPr>
            <w:r>
              <w:rPr>
                <w:rFonts w:ascii="宋体" w:hAnsi="宋体" w:eastAsia="宋体"/>
                <w:sz w:val="16"/>
              </w:rPr>
              <w:t>农业综合行政执法运行及大型工程机械设备监管平台环境租赁费</w:t>
            </w:r>
          </w:p>
        </w:tc>
      </w:tr>
      <w:tr w14:paraId="7057D5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D4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41736">
            <w:pPr>
              <w:jc w:val="center"/>
            </w:pPr>
            <w:r>
              <w:rPr>
                <w:rFonts w:ascii="宋体" w:hAnsi="宋体" w:eastAsia="宋体"/>
                <w:sz w:val="16"/>
              </w:rPr>
              <w:t>巴音郭楞蒙古自治州农业综合行政执法支队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41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88B23A">
            <w:pPr>
              <w:jc w:val="center"/>
            </w:pPr>
            <w:r>
              <w:rPr>
                <w:rFonts w:ascii="宋体" w:hAnsi="宋体" w:eastAsia="宋体"/>
                <w:sz w:val="16"/>
              </w:rPr>
              <w:t>巴音郭楞蒙古自治州农业综合行政执法支队</w:t>
            </w:r>
          </w:p>
        </w:tc>
      </w:tr>
      <w:tr w14:paraId="7B495F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4048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D5D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44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323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80F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24B1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A9E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E6AE">
            <w:pPr>
              <w:jc w:val="center"/>
            </w:pPr>
            <w:r>
              <w:rPr>
                <w:rFonts w:ascii="宋体" w:hAnsi="宋体" w:eastAsia="宋体"/>
                <w:sz w:val="16"/>
              </w:rPr>
              <w:t>得分</w:t>
            </w:r>
          </w:p>
        </w:tc>
      </w:tr>
      <w:tr w14:paraId="514A45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FB9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D15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6619">
            <w:pPr>
              <w:jc w:val="center"/>
            </w:pPr>
            <w:r>
              <w:rPr>
                <w:rFonts w:ascii="宋体" w:hAnsi="宋体" w:eastAsia="宋体"/>
                <w:sz w:val="16"/>
              </w:rPr>
              <w:t>68.10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9048">
            <w:pPr>
              <w:jc w:val="center"/>
            </w:pPr>
            <w:r>
              <w:rPr>
                <w:rFonts w:ascii="宋体" w:hAnsi="宋体" w:eastAsia="宋体"/>
                <w:sz w:val="16"/>
              </w:rPr>
              <w:t>68.10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20DCE">
            <w:pPr>
              <w:jc w:val="center"/>
            </w:pPr>
            <w:r>
              <w:rPr>
                <w:rFonts w:ascii="宋体" w:hAnsi="宋体" w:eastAsia="宋体"/>
                <w:sz w:val="16"/>
              </w:rPr>
              <w:t>67.93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DA2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69680">
            <w:pPr>
              <w:jc w:val="center"/>
            </w:pPr>
            <w:r>
              <w:rPr>
                <w:rFonts w:ascii="宋体" w:hAnsi="宋体" w:eastAsia="宋体"/>
                <w:sz w:val="16"/>
              </w:rPr>
              <w:t>99.75%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0BDC">
            <w:pPr>
              <w:jc w:val="center"/>
            </w:pPr>
            <w:r>
              <w:rPr>
                <w:rFonts w:ascii="宋体" w:hAnsi="宋体" w:eastAsia="宋体"/>
                <w:sz w:val="16"/>
              </w:rPr>
              <w:t>10.00</w:t>
            </w:r>
          </w:p>
        </w:tc>
      </w:tr>
      <w:tr w14:paraId="20D58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95F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CD2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99ADD">
            <w:pPr>
              <w:jc w:val="center"/>
            </w:pPr>
            <w:r>
              <w:rPr>
                <w:rFonts w:ascii="宋体" w:hAnsi="宋体" w:eastAsia="宋体"/>
                <w:sz w:val="16"/>
              </w:rPr>
              <w:t>68.10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AE4D">
            <w:pPr>
              <w:jc w:val="center"/>
            </w:pPr>
            <w:r>
              <w:rPr>
                <w:rFonts w:ascii="宋体" w:hAnsi="宋体" w:eastAsia="宋体"/>
                <w:sz w:val="16"/>
              </w:rPr>
              <w:t>68.10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96953">
            <w:pPr>
              <w:jc w:val="center"/>
            </w:pPr>
            <w:r>
              <w:rPr>
                <w:rFonts w:ascii="宋体" w:hAnsi="宋体" w:eastAsia="宋体"/>
                <w:sz w:val="16"/>
              </w:rPr>
              <w:t>67.93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7B7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0C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B4C5">
            <w:pPr>
              <w:jc w:val="center"/>
            </w:pPr>
            <w:r>
              <w:rPr>
                <w:rFonts w:ascii="宋体" w:hAnsi="宋体" w:eastAsia="宋体"/>
                <w:sz w:val="16"/>
              </w:rPr>
              <w:t>-</w:t>
            </w:r>
          </w:p>
        </w:tc>
      </w:tr>
      <w:tr w14:paraId="7C331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C5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A21D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BF0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B62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87D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9E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5A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7084">
            <w:pPr>
              <w:jc w:val="center"/>
            </w:pPr>
            <w:r>
              <w:rPr>
                <w:rFonts w:ascii="宋体" w:hAnsi="宋体" w:eastAsia="宋体"/>
                <w:sz w:val="16"/>
              </w:rPr>
              <w:t>-</w:t>
            </w:r>
          </w:p>
        </w:tc>
      </w:tr>
      <w:tr w14:paraId="021159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483C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CA76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BD70A">
            <w:pPr>
              <w:jc w:val="center"/>
            </w:pPr>
            <w:r>
              <w:rPr>
                <w:rFonts w:ascii="宋体" w:hAnsi="宋体" w:eastAsia="宋体"/>
                <w:sz w:val="16"/>
              </w:rPr>
              <w:t>总体目标完成情况</w:t>
            </w:r>
          </w:p>
        </w:tc>
      </w:tr>
      <w:tr w14:paraId="0DB25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D9B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1D59D">
            <w:pPr>
              <w:jc w:val="both"/>
            </w:pPr>
            <w:r>
              <w:rPr>
                <w:rFonts w:ascii="宋体" w:hAnsi="宋体" w:eastAsia="宋体"/>
                <w:sz w:val="16"/>
              </w:rPr>
              <w:t>通过开展全州农业执法工作坚持突出重点和整体推进相结合，日常执法和专项执法相结合，以种子、农药、肥料、渔业、兽药饲料、农机为重点，强化执法力度提升监管水平。2024年计划开展农资联合指导服务3次，开展农机安全指导服务3次；畜牧兽医领域指导服务3次；开展渔业执法指导服务3次；完成执法指导服务小结12份；开展培训2次，提高全员执法检查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02DBF8">
            <w:pPr>
              <w:jc w:val="both"/>
            </w:pPr>
            <w:r>
              <w:rPr>
                <w:rFonts w:ascii="宋体" w:hAnsi="宋体" w:eastAsia="宋体"/>
                <w:sz w:val="16"/>
              </w:rPr>
              <w:t>开展农资联合指导服务3次，开展农机安全指导服务3次；畜牧兽医领域指导服务3次；开展渔业执法指导服务3次；完成执法指导服务小结12份；开展培训2次，提高全员执法检查水平。</w:t>
            </w:r>
          </w:p>
        </w:tc>
      </w:tr>
      <w:tr w14:paraId="6B5DF3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DEE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D7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36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88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864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FE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E2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887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40C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2C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BE3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69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E45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A51D">
            <w:pPr>
              <w:jc w:val="center"/>
            </w:pPr>
            <w:r>
              <w:rPr>
                <w:rFonts w:ascii="宋体" w:hAnsi="宋体" w:eastAsia="宋体"/>
                <w:sz w:val="16"/>
              </w:rPr>
              <w:t>偏差原因分析及改进措施</w:t>
            </w:r>
          </w:p>
        </w:tc>
      </w:tr>
      <w:tr w14:paraId="60A8E3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6C0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259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A24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2C72">
            <w:pPr>
              <w:jc w:val="center"/>
            </w:pPr>
            <w:r>
              <w:rPr>
                <w:rFonts w:ascii="宋体" w:hAnsi="宋体" w:eastAsia="宋体"/>
                <w:sz w:val="16"/>
              </w:rPr>
              <w:t>执法检查频次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6753">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5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5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02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1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A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766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9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91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1292">
            <w:pPr>
              <w:jc w:val="center"/>
            </w:pPr>
          </w:p>
        </w:tc>
      </w:tr>
      <w:tr w14:paraId="2EADC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D3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3A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A3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40BD">
            <w:pPr>
              <w:jc w:val="center"/>
            </w:pPr>
            <w:r>
              <w:rPr>
                <w:rFonts w:ascii="宋体" w:hAnsi="宋体" w:eastAsia="宋体"/>
                <w:sz w:val="16"/>
              </w:rPr>
              <w:t>完成执法检查报告数量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0476">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7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4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5C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C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F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08DD">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9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8A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355C">
            <w:pPr>
              <w:jc w:val="center"/>
            </w:pPr>
          </w:p>
        </w:tc>
      </w:tr>
      <w:tr w14:paraId="7A4DE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97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DF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273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85E1">
            <w:pPr>
              <w:jc w:val="center"/>
            </w:pPr>
            <w:r>
              <w:rPr>
                <w:rFonts w:ascii="宋体" w:hAnsi="宋体" w:eastAsia="宋体"/>
                <w:sz w:val="16"/>
              </w:rPr>
              <w:t>执法人员培训次数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0BC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5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0C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9F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7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B4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8E3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C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B7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5EC0">
            <w:pPr>
              <w:jc w:val="center"/>
            </w:pPr>
          </w:p>
        </w:tc>
      </w:tr>
      <w:tr w14:paraId="4B227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EC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DB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AB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96D7">
            <w:pPr>
              <w:jc w:val="center"/>
            </w:pPr>
            <w:r>
              <w:rPr>
                <w:rFonts w:ascii="宋体" w:hAnsi="宋体" w:eastAsia="宋体"/>
                <w:sz w:val="16"/>
              </w:rPr>
              <w:t>执法人员培训人数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7D82">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D2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E9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2C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B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5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9F77">
            <w:pPr>
              <w:jc w:val="center"/>
            </w:pPr>
            <w:r>
              <w:rPr>
                <w:rFonts w:ascii="宋体" w:hAnsi="宋体" w:eastAsia="宋体"/>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6EC8">
            <w:pPr>
              <w:jc w:val="center"/>
            </w:pPr>
            <w:r>
              <w:rPr>
                <w:rFonts w:ascii="宋体" w:hAnsi="宋体" w:eastAsia="宋体"/>
                <w:sz w:val="16"/>
              </w:rPr>
              <w:t>400%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9D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787E">
            <w:pPr>
              <w:jc w:val="center"/>
            </w:pPr>
            <w:r>
              <w:rPr>
                <w:rFonts w:ascii="宋体" w:hAnsi="宋体" w:eastAsia="宋体"/>
                <w:sz w:val="16"/>
              </w:rPr>
              <w:t>积极参加者比计划数多。下次制定绩效目标时会更贴合实际，减少误差。</w:t>
            </w:r>
          </w:p>
        </w:tc>
      </w:tr>
      <w:tr w14:paraId="71E31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C7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38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F0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1ED0">
            <w:pPr>
              <w:jc w:val="center"/>
            </w:pPr>
            <w:r>
              <w:rPr>
                <w:rFonts w:ascii="宋体" w:hAnsi="宋体" w:eastAsia="宋体"/>
                <w:sz w:val="16"/>
              </w:rPr>
              <w:t>执法人员培训天数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1415">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76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A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E6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7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A4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0ADE">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767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0E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026D">
            <w:pPr>
              <w:jc w:val="center"/>
            </w:pPr>
            <w:r>
              <w:rPr>
                <w:rFonts w:ascii="宋体" w:hAnsi="宋体" w:eastAsia="宋体"/>
                <w:sz w:val="16"/>
              </w:rPr>
              <w:t>学习内容较多，达到60学时，两天内学不完，没有假期，利用工作间隙学习。下次制定目标时会尽量符合实际，减少偏差。</w:t>
            </w:r>
          </w:p>
        </w:tc>
      </w:tr>
      <w:tr w14:paraId="5CF28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4F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79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7F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D6FD">
            <w:pPr>
              <w:jc w:val="center"/>
            </w:pPr>
            <w:r>
              <w:rPr>
                <w:rFonts w:ascii="宋体" w:hAnsi="宋体" w:eastAsia="宋体"/>
                <w:sz w:val="16"/>
              </w:rPr>
              <w:t>租赁平台环境数量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032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D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6C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83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9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7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4DB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5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27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5C71">
            <w:pPr>
              <w:jc w:val="center"/>
            </w:pPr>
          </w:p>
        </w:tc>
      </w:tr>
      <w:tr w14:paraId="492E4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8C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AC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04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6627">
            <w:pPr>
              <w:jc w:val="center"/>
            </w:pPr>
            <w:r>
              <w:rPr>
                <w:rFonts w:ascii="宋体" w:hAnsi="宋体" w:eastAsia="宋体"/>
                <w:sz w:val="16"/>
              </w:rPr>
              <w:t>开展执法检查种类数量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EEA1">
            <w:pPr>
              <w:jc w:val="center"/>
            </w:pPr>
            <w:r>
              <w:rPr>
                <w:rFonts w:ascii="宋体" w:hAnsi="宋体" w:eastAsia="宋体"/>
                <w:sz w:val="16"/>
              </w:rPr>
              <w:t>&gt;=4种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52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77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C2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43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7E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504A">
            <w:pPr>
              <w:jc w:val="center"/>
            </w:pPr>
            <w:r>
              <w:rPr>
                <w:rFonts w:ascii="宋体" w:hAnsi="宋体" w:eastAsia="宋体"/>
                <w:sz w:val="16"/>
              </w:rPr>
              <w: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7C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E0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D7A1">
            <w:pPr>
              <w:jc w:val="center"/>
            </w:pPr>
          </w:p>
        </w:tc>
      </w:tr>
      <w:tr w14:paraId="7B304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67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4DA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622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8DD3">
            <w:pPr>
              <w:jc w:val="center"/>
            </w:pPr>
            <w:r>
              <w:rPr>
                <w:rFonts w:ascii="宋体" w:hAnsi="宋体" w:eastAsia="宋体"/>
                <w:sz w:val="16"/>
              </w:rPr>
              <w:t>县市农资市场抽查覆盖率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73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4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A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E6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0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8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FD31">
            <w:pPr>
              <w:jc w:val="center"/>
            </w:pPr>
            <w:r>
              <w:rPr>
                <w:rFonts w:ascii="宋体" w:hAnsi="宋体" w:eastAsia="宋体"/>
                <w:sz w:val="16"/>
              </w:rPr>
              <w:t>=78.33%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1B08">
            <w:pPr>
              <w:jc w:val="center"/>
            </w:pPr>
            <w:r>
              <w:rPr>
                <w:rFonts w:ascii="宋体" w:hAnsi="宋体" w:eastAsia="宋体"/>
                <w:sz w:val="16"/>
              </w:rPr>
              <w:t>82.46%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AC19">
            <w:pPr>
              <w:jc w:val="center"/>
            </w:pPr>
            <w:r>
              <w:rPr>
                <w:rFonts w:ascii="宋体" w:hAnsi="宋体" w:eastAsia="宋体"/>
                <w:sz w:val="16"/>
              </w:rPr>
              <w:t>1.68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5F4E">
            <w:pPr>
              <w:jc w:val="center"/>
            </w:pPr>
            <w:r>
              <w:rPr>
                <w:rFonts w:ascii="宋体" w:hAnsi="宋体" w:eastAsia="宋体"/>
                <w:sz w:val="16"/>
              </w:rPr>
              <w:t>1.执法力量与监管体量不匹配，目前支队执法一科在编人员5人，在春耕备耕关键期（3-5月）同时承担种子质量抽检投诉处理等专项工作，客观上存在巡查盲区。2.偏远乡镇难度覆盖较大，且末若羌等县部分乡镇距县城超过200公里，受制于车辆维护经费和恶劣天气影响，全年对塔中镇、瓦石峡镇等6个偏远乡镇仅完成一轮次检查，较计划</w:t>
            </w:r>
            <w:r>
              <w:rPr>
                <w:rFonts w:hint="eastAsia" w:ascii="宋体" w:hAnsi="宋体"/>
                <w:sz w:val="16"/>
                <w:lang w:eastAsia="zh-CN"/>
              </w:rPr>
              <w:t>少留</w:t>
            </w:r>
            <w:r>
              <w:rPr>
                <w:rFonts w:ascii="宋体" w:hAnsi="宋体" w:eastAsia="宋体"/>
                <w:sz w:val="16"/>
              </w:rPr>
              <w:t>一轮次。以后会根据上年情况和当年工作要求，设计可完成的绩效目标，减少偏差。</w:t>
            </w:r>
          </w:p>
        </w:tc>
      </w:tr>
      <w:tr w14:paraId="565CB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FE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1C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8E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5817">
            <w:pPr>
              <w:jc w:val="center"/>
            </w:pPr>
            <w:r>
              <w:rPr>
                <w:rFonts w:ascii="宋体" w:hAnsi="宋体" w:eastAsia="宋体"/>
                <w:sz w:val="16"/>
              </w:rPr>
              <w:t>平台环境租赁费支付准确率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0F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E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E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D3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5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E0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2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F7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C7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91B0">
            <w:pPr>
              <w:jc w:val="center"/>
            </w:pPr>
          </w:p>
        </w:tc>
      </w:tr>
      <w:tr w14:paraId="6DCFD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F6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5B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24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97B4">
            <w:pPr>
              <w:jc w:val="center"/>
            </w:pPr>
            <w:r>
              <w:rPr>
                <w:rFonts w:ascii="宋体" w:hAnsi="宋体" w:eastAsia="宋体"/>
                <w:sz w:val="16"/>
              </w:rPr>
              <w:t>执法人员培训出勤率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CE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B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C2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31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A6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0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0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3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68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206E">
            <w:pPr>
              <w:jc w:val="center"/>
            </w:pPr>
          </w:p>
        </w:tc>
      </w:tr>
      <w:tr w14:paraId="3DD04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E2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82B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416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49BB">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0C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01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6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54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9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F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D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9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0B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C0DA">
            <w:pPr>
              <w:jc w:val="center"/>
            </w:pPr>
          </w:p>
        </w:tc>
      </w:tr>
      <w:tr w14:paraId="2FF21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F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77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20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B51D">
            <w:pPr>
              <w:jc w:val="center"/>
            </w:pPr>
            <w:r>
              <w:rPr>
                <w:rFonts w:ascii="宋体" w:hAnsi="宋体" w:eastAsia="宋体"/>
                <w:sz w:val="16"/>
              </w:rPr>
              <w:t>平台环境租赁费支付及时率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1B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B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B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F4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7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8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6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6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97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9303">
            <w:pPr>
              <w:jc w:val="center"/>
            </w:pPr>
          </w:p>
        </w:tc>
      </w:tr>
      <w:tr w14:paraId="47B4E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AD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B9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E7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3F47">
            <w:pPr>
              <w:jc w:val="center"/>
            </w:pPr>
            <w:r>
              <w:rPr>
                <w:rFonts w:ascii="宋体" w:hAnsi="宋体" w:eastAsia="宋体"/>
                <w:sz w:val="16"/>
              </w:rPr>
              <w:t>执法人员培训按期完成率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22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A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6F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EA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9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9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0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7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76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437F">
            <w:pPr>
              <w:jc w:val="center"/>
            </w:pPr>
          </w:p>
        </w:tc>
      </w:tr>
      <w:tr w14:paraId="4DD97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73F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D3C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06D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CE79">
            <w:pPr>
              <w:jc w:val="center"/>
            </w:pPr>
            <w:r>
              <w:rPr>
                <w:rFonts w:ascii="宋体" w:hAnsi="宋体" w:eastAsia="宋体"/>
                <w:sz w:val="16"/>
              </w:rPr>
              <w:t>人均培训成本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D195">
            <w:pPr>
              <w:jc w:val="center"/>
            </w:pPr>
            <w:r>
              <w:rPr>
                <w:rFonts w:ascii="宋体" w:hAnsi="宋体" w:eastAsia="宋体"/>
                <w:sz w:val="16"/>
              </w:rPr>
              <w:t>&lt;=222.22元/人/天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0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A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E9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1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72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ED74">
            <w:pPr>
              <w:jc w:val="center"/>
            </w:pPr>
            <w:r>
              <w:rPr>
                <w:rFonts w:ascii="宋体" w:hAnsi="宋体" w:eastAsia="宋体"/>
                <w:sz w:val="16"/>
              </w:rPr>
              <w:t>=5.56元/人/天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C37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7E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0859">
            <w:pPr>
              <w:jc w:val="center"/>
            </w:pPr>
            <w:r>
              <w:rPr>
                <w:rFonts w:ascii="宋体" w:hAnsi="宋体" w:eastAsia="宋体"/>
                <w:sz w:val="16"/>
              </w:rPr>
              <w:t>积极参加培训人员比计划数多，培训费用固定，人均成本减少。下次设计绩效目标时会多与业务部门沟通，保证按计划实施。</w:t>
            </w:r>
          </w:p>
        </w:tc>
      </w:tr>
      <w:tr w14:paraId="682FE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B9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91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A1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AFA5">
            <w:pPr>
              <w:jc w:val="center"/>
            </w:pPr>
            <w:r>
              <w:rPr>
                <w:rFonts w:ascii="宋体" w:hAnsi="宋体" w:eastAsia="宋体"/>
                <w:sz w:val="16"/>
              </w:rPr>
              <w:t>平台环境租赁费控制数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DC39">
            <w:pPr>
              <w:jc w:val="center"/>
            </w:pPr>
            <w:r>
              <w:rPr>
                <w:rFonts w:ascii="宋体" w:hAnsi="宋体" w:eastAsia="宋体"/>
                <w:sz w:val="16"/>
              </w:rPr>
              <w:t>&lt;=30.60万元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B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FA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28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E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7A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0039">
            <w:pPr>
              <w:jc w:val="center"/>
            </w:pPr>
            <w:r>
              <w:rPr>
                <w:rFonts w:ascii="宋体" w:hAnsi="宋体" w:eastAsia="宋体"/>
                <w:sz w:val="16"/>
              </w:rPr>
              <w:t>=30.6万元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9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D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794E">
            <w:pPr>
              <w:jc w:val="center"/>
            </w:pPr>
          </w:p>
        </w:tc>
      </w:tr>
      <w:tr w14:paraId="27FC5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D9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3E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02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B82B">
            <w:pPr>
              <w:jc w:val="center"/>
            </w:pPr>
            <w:r>
              <w:rPr>
                <w:rFonts w:ascii="宋体" w:hAnsi="宋体" w:eastAsia="宋体"/>
                <w:sz w:val="16"/>
              </w:rPr>
              <w:t>执法检查工作经费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4A20">
            <w:pPr>
              <w:jc w:val="center"/>
            </w:pPr>
            <w:r>
              <w:rPr>
                <w:rFonts w:ascii="宋体" w:hAnsi="宋体" w:eastAsia="宋体"/>
                <w:sz w:val="16"/>
              </w:rPr>
              <w:t>&lt;=35.50万元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F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1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16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6F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F9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9A5C">
            <w:pPr>
              <w:jc w:val="center"/>
            </w:pPr>
            <w:r>
              <w:rPr>
                <w:rFonts w:ascii="宋体" w:hAnsi="宋体" w:eastAsia="宋体"/>
                <w:sz w:val="16"/>
              </w:rPr>
              <w:t>=35.33万元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A84B">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9C43">
            <w:pPr>
              <w:jc w:val="center"/>
            </w:pPr>
            <w:r>
              <w:rPr>
                <w:rFonts w:ascii="宋体" w:hAnsi="宋体" w:eastAsia="宋体"/>
                <w:sz w:val="16"/>
              </w:rPr>
              <w:t>4.94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EB64">
            <w:pPr>
              <w:jc w:val="center"/>
            </w:pPr>
            <w:r>
              <w:rPr>
                <w:rFonts w:ascii="宋体" w:hAnsi="宋体" w:eastAsia="宋体"/>
                <w:sz w:val="16"/>
              </w:rPr>
              <w:t>厉行节约，</w:t>
            </w:r>
            <w:r>
              <w:rPr>
                <w:rFonts w:hint="eastAsia" w:ascii="宋体" w:hAnsi="宋体"/>
                <w:sz w:val="16"/>
                <w:lang w:eastAsia="zh-CN"/>
              </w:rPr>
              <w:t>减少</w:t>
            </w:r>
            <w:r>
              <w:rPr>
                <w:rFonts w:ascii="宋体" w:hAnsi="宋体" w:eastAsia="宋体"/>
                <w:sz w:val="16"/>
              </w:rPr>
              <w:t>开支。以后执行项目尽量把资金完全使用完。</w:t>
            </w:r>
          </w:p>
        </w:tc>
      </w:tr>
      <w:tr w14:paraId="17745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41A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62C8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A6A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D247">
            <w:pPr>
              <w:jc w:val="center"/>
            </w:pPr>
            <w:r>
              <w:rPr>
                <w:rFonts w:ascii="宋体" w:hAnsi="宋体" w:eastAsia="宋体"/>
                <w:sz w:val="16"/>
              </w:rPr>
              <w:t>执法检查结果公开率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A4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A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72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74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9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54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8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6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9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5F56">
            <w:pPr>
              <w:jc w:val="center"/>
            </w:pPr>
          </w:p>
        </w:tc>
      </w:tr>
      <w:tr w14:paraId="0AEFA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04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F0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AC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F38B">
            <w:pPr>
              <w:jc w:val="center"/>
            </w:pPr>
            <w:r>
              <w:rPr>
                <w:rFonts w:ascii="宋体" w:hAnsi="宋体" w:eastAsia="宋体"/>
                <w:sz w:val="16"/>
              </w:rPr>
              <w:t>执法检查问题落实整改率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F0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9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3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9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A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28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A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F4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34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C284">
            <w:pPr>
              <w:jc w:val="center"/>
            </w:pPr>
          </w:p>
        </w:tc>
      </w:tr>
      <w:tr w14:paraId="49886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2CE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7737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6B1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6EE3">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9F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F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3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3A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5A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08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F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A4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00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5A47">
            <w:pPr>
              <w:jc w:val="center"/>
            </w:pPr>
          </w:p>
        </w:tc>
      </w:tr>
      <w:tr w14:paraId="0C34D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6D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D9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54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0A84">
            <w:pPr>
              <w:jc w:val="center"/>
            </w:pPr>
            <w:r>
              <w:rPr>
                <w:rFonts w:ascii="宋体" w:hAnsi="宋体" w:eastAsia="宋体"/>
                <w:sz w:val="16"/>
              </w:rPr>
              <w:t>执法检查人员被投诉次数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C281">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3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6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BF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AF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4A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5E3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5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4E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C20B">
            <w:pPr>
              <w:jc w:val="center"/>
            </w:pPr>
          </w:p>
        </w:tc>
      </w:tr>
      <w:tr w14:paraId="7F83A3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F14C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8A1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89C6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A9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F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217B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460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746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B31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6834">
            <w:pPr>
              <w:jc w:val="center"/>
            </w:pPr>
            <w:r>
              <w:rPr>
                <w:rFonts w:ascii="宋体" w:hAnsi="宋体" w:eastAsia="宋体"/>
                <w:sz w:val="16"/>
              </w:rPr>
              <w:t>87.62分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60545"/>
        </w:tc>
      </w:tr>
    </w:tbl>
    <w:p w14:paraId="130CAA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1A8180A5">
        <w:tblPrEx>
          <w:tblCellMar>
            <w:top w:w="0" w:type="dxa"/>
            <w:left w:w="108" w:type="dxa"/>
            <w:bottom w:w="0" w:type="dxa"/>
            <w:right w:w="108" w:type="dxa"/>
          </w:tblCellMar>
        </w:tblPrEx>
        <w:tc>
          <w:tcPr>
            <w:tcW w:w="8848" w:type="dxa"/>
            <w:gridSpan w:val="14"/>
            <w:vAlign w:val="center"/>
          </w:tcPr>
          <w:p w14:paraId="7C7A0E43">
            <w:pPr>
              <w:jc w:val="center"/>
            </w:pPr>
            <w:r>
              <w:rPr>
                <w:rFonts w:ascii="宋体" w:hAnsi="宋体" w:eastAsia="宋体"/>
                <w:sz w:val="24"/>
              </w:rPr>
              <w:t>项目支出绩效自评表</w:t>
            </w:r>
          </w:p>
        </w:tc>
      </w:tr>
      <w:tr w14:paraId="0CADB754">
        <w:tblPrEx>
          <w:tblCellMar>
            <w:top w:w="0" w:type="dxa"/>
            <w:left w:w="108" w:type="dxa"/>
            <w:bottom w:w="0" w:type="dxa"/>
            <w:right w:w="108" w:type="dxa"/>
          </w:tblCellMar>
        </w:tblPrEx>
        <w:tc>
          <w:tcPr>
            <w:tcW w:w="8848" w:type="dxa"/>
            <w:gridSpan w:val="14"/>
            <w:vAlign w:val="center"/>
          </w:tcPr>
          <w:p w14:paraId="2FEF3EE4">
            <w:pPr>
              <w:jc w:val="center"/>
            </w:pPr>
            <w:r>
              <w:rPr>
                <w:rFonts w:ascii="宋体" w:hAnsi="宋体" w:eastAsia="宋体"/>
                <w:sz w:val="24"/>
              </w:rPr>
              <w:t>(2024年度)</w:t>
            </w:r>
          </w:p>
        </w:tc>
      </w:tr>
      <w:tr w14:paraId="062002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5E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C929A3">
            <w:pPr>
              <w:jc w:val="center"/>
            </w:pPr>
            <w:r>
              <w:rPr>
                <w:rFonts w:ascii="宋体" w:hAnsi="宋体" w:eastAsia="宋体"/>
                <w:sz w:val="16"/>
              </w:rPr>
              <w:t>农产品质量安全项目</w:t>
            </w:r>
          </w:p>
        </w:tc>
      </w:tr>
      <w:tr w14:paraId="7161AF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7B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6310F">
            <w:pPr>
              <w:jc w:val="center"/>
            </w:pPr>
            <w:r>
              <w:rPr>
                <w:rFonts w:ascii="宋体" w:hAnsi="宋体" w:eastAsia="宋体"/>
                <w:sz w:val="16"/>
              </w:rPr>
              <w:t>巴音郭楞蒙古自治州农业综合行政执法支队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E2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DEEAA">
            <w:pPr>
              <w:jc w:val="center"/>
            </w:pPr>
            <w:r>
              <w:rPr>
                <w:rFonts w:ascii="宋体" w:hAnsi="宋体" w:eastAsia="宋体"/>
                <w:sz w:val="16"/>
              </w:rPr>
              <w:t>巴音郭楞蒙古自治州农业综合行政执法支队</w:t>
            </w:r>
          </w:p>
        </w:tc>
      </w:tr>
      <w:tr w14:paraId="698D0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D297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D55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780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0ED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245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FE09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8E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31D1">
            <w:pPr>
              <w:jc w:val="center"/>
            </w:pPr>
            <w:r>
              <w:rPr>
                <w:rFonts w:ascii="宋体" w:hAnsi="宋体" w:eastAsia="宋体"/>
                <w:sz w:val="16"/>
              </w:rPr>
              <w:t>得分</w:t>
            </w:r>
          </w:p>
        </w:tc>
      </w:tr>
      <w:tr w14:paraId="0C8D6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0CC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F3E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AFF8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0F1B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E81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046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8C2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CBF5">
            <w:pPr>
              <w:jc w:val="center"/>
            </w:pPr>
            <w:r>
              <w:rPr>
                <w:rFonts w:ascii="宋体" w:hAnsi="宋体" w:eastAsia="宋体"/>
                <w:sz w:val="16"/>
              </w:rPr>
              <w:t>10.00</w:t>
            </w:r>
          </w:p>
        </w:tc>
      </w:tr>
      <w:tr w14:paraId="1E6D4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58A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925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93CD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879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DEA0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9E1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7A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DC14">
            <w:pPr>
              <w:jc w:val="center"/>
            </w:pPr>
            <w:r>
              <w:rPr>
                <w:rFonts w:ascii="宋体" w:hAnsi="宋体" w:eastAsia="宋体"/>
                <w:sz w:val="16"/>
              </w:rPr>
              <w:t>-</w:t>
            </w:r>
          </w:p>
        </w:tc>
      </w:tr>
      <w:tr w14:paraId="00A84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940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07DB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056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5D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9A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E1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5E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3938">
            <w:pPr>
              <w:jc w:val="center"/>
            </w:pPr>
            <w:r>
              <w:rPr>
                <w:rFonts w:ascii="宋体" w:hAnsi="宋体" w:eastAsia="宋体"/>
                <w:sz w:val="16"/>
              </w:rPr>
              <w:t>-</w:t>
            </w:r>
          </w:p>
        </w:tc>
      </w:tr>
      <w:tr w14:paraId="2DACF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98D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9147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4BD1FF">
            <w:pPr>
              <w:jc w:val="center"/>
            </w:pPr>
            <w:r>
              <w:rPr>
                <w:rFonts w:ascii="宋体" w:hAnsi="宋体" w:eastAsia="宋体"/>
                <w:sz w:val="16"/>
              </w:rPr>
              <w:t>总体目标完成情况</w:t>
            </w:r>
          </w:p>
        </w:tc>
      </w:tr>
      <w:tr w14:paraId="5B944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C2C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7C4EC">
            <w:pPr>
              <w:jc w:val="both"/>
            </w:pPr>
            <w:r>
              <w:rPr>
                <w:rFonts w:ascii="宋体" w:hAnsi="宋体" w:eastAsia="宋体"/>
                <w:sz w:val="16"/>
              </w:rPr>
              <w:t>按照《关于印发2024年自治区农产品质量安全项目实施方案的通知》(新农办质函</w:t>
            </w:r>
            <w:r>
              <w:rPr>
                <w:rFonts w:hint="eastAsia" w:ascii="宋体" w:hAnsi="宋体"/>
                <w:sz w:val="16"/>
                <w:lang w:eastAsia="zh-CN"/>
              </w:rPr>
              <w:t>〔2024〕162号</w:t>
            </w:r>
            <w:r>
              <w:rPr>
                <w:rFonts w:ascii="宋体" w:hAnsi="宋体" w:eastAsia="宋体"/>
                <w:sz w:val="16"/>
              </w:rPr>
              <w:t>)，通过开展农产品质量安全专项执法行动、业务培训和执法装备配备等工作，达到提高我州农业执法人员业务素质，规范农业执法程序，全面提升农业执法形象和办案能力的效果。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303D9">
            <w:pPr>
              <w:jc w:val="both"/>
            </w:pPr>
            <w:r>
              <w:rPr>
                <w:rFonts w:ascii="宋体" w:hAnsi="宋体" w:eastAsia="宋体"/>
                <w:sz w:val="16"/>
              </w:rPr>
              <w:t>开展农产品质量安全监管</w:t>
            </w:r>
            <w:r>
              <w:rPr>
                <w:rFonts w:hint="eastAsia" w:ascii="宋体" w:hAnsi="宋体"/>
                <w:sz w:val="16"/>
                <w:lang w:eastAsia="zh-CN"/>
              </w:rPr>
              <w:t>专项执法行动</w:t>
            </w:r>
            <w:r>
              <w:rPr>
                <w:rFonts w:ascii="宋体" w:hAnsi="宋体" w:eastAsia="宋体"/>
                <w:sz w:val="16"/>
              </w:rPr>
              <w:t>1次、农产品质量安全领域重大案件专项执法检查1次、业务培训21天和完成执法装备配备8台等工作。达到提高我州农业执法人员业务素质，规范农业执法程序，全面提升农业执法形象和办案能力的效果。</w:t>
            </w:r>
          </w:p>
        </w:tc>
      </w:tr>
      <w:tr w14:paraId="334BC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40C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B3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01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A2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8D5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C9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9F7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D5B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BFA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D5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C9D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CB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E37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F528">
            <w:pPr>
              <w:jc w:val="center"/>
            </w:pPr>
            <w:r>
              <w:rPr>
                <w:rFonts w:ascii="宋体" w:hAnsi="宋体" w:eastAsia="宋体"/>
                <w:sz w:val="16"/>
              </w:rPr>
              <w:t>偏差原因分析及改进措施</w:t>
            </w:r>
          </w:p>
        </w:tc>
      </w:tr>
      <w:tr w14:paraId="12D912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1CE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B32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76B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DFC9">
            <w:pPr>
              <w:jc w:val="center"/>
            </w:pPr>
            <w:r>
              <w:rPr>
                <w:rFonts w:ascii="宋体" w:hAnsi="宋体" w:eastAsia="宋体"/>
                <w:sz w:val="16"/>
              </w:rPr>
              <w:t>农产品质量安全监管专项执法次数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7F6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6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E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FB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E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3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757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5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64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8F29">
            <w:pPr>
              <w:jc w:val="center"/>
            </w:pPr>
          </w:p>
        </w:tc>
      </w:tr>
      <w:tr w14:paraId="7106C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D7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FD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F6A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C009">
            <w:pPr>
              <w:jc w:val="center"/>
            </w:pPr>
            <w:r>
              <w:rPr>
                <w:rFonts w:ascii="宋体" w:hAnsi="宋体" w:eastAsia="宋体"/>
                <w:sz w:val="16"/>
              </w:rPr>
              <w:t>农产品质量安全领域重大案件专项执法检查次数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399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0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1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9E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6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A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D77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C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08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46A8">
            <w:pPr>
              <w:jc w:val="center"/>
            </w:pPr>
          </w:p>
        </w:tc>
      </w:tr>
      <w:tr w14:paraId="610EA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AA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C9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12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2E42">
            <w:pPr>
              <w:jc w:val="center"/>
            </w:pPr>
            <w:r>
              <w:rPr>
                <w:rFonts w:ascii="宋体" w:hAnsi="宋体" w:eastAsia="宋体"/>
                <w:sz w:val="16"/>
              </w:rPr>
              <w:t>农业执法人员培训次数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493A">
            <w:pPr>
              <w:jc w:val="center"/>
            </w:pPr>
            <w:r>
              <w:rPr>
                <w:rFonts w:ascii="宋体" w:hAnsi="宋体" w:eastAsia="宋体"/>
                <w:sz w:val="16"/>
              </w:rPr>
              <w:t>&gt;=2期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D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9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82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2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1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14E7">
            <w:pPr>
              <w:jc w:val="center"/>
            </w:pPr>
            <w:r>
              <w:rPr>
                <w:rFonts w:ascii="宋体" w:hAnsi="宋体" w:eastAsia="宋体"/>
                <w:sz w:val="16"/>
              </w:rPr>
              <w: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945E">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ACE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6657">
            <w:pPr>
              <w:jc w:val="center"/>
            </w:pPr>
            <w:r>
              <w:rPr>
                <w:rFonts w:ascii="宋体" w:hAnsi="宋体" w:eastAsia="宋体"/>
                <w:sz w:val="16"/>
              </w:rPr>
              <w:t>由于培训费用略有剩余，有一次培训费是用该项目和另一个项目的经费。所以培训次数超出。以后会按计划执行，缩小误差。钱</w:t>
            </w:r>
          </w:p>
        </w:tc>
      </w:tr>
      <w:tr w14:paraId="6C04C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BB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76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90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89C1">
            <w:pPr>
              <w:jc w:val="center"/>
            </w:pPr>
            <w:r>
              <w:rPr>
                <w:rFonts w:ascii="宋体" w:hAnsi="宋体" w:eastAsia="宋体"/>
                <w:sz w:val="16"/>
              </w:rPr>
              <w:t>执法装备配备总数量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A044">
            <w:pPr>
              <w:jc w:val="center"/>
            </w:pPr>
            <w:r>
              <w:rPr>
                <w:rFonts w:ascii="宋体" w:hAnsi="宋体" w:eastAsia="宋体"/>
                <w:sz w:val="16"/>
              </w:rPr>
              <w:t>&gt;=7台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2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C2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92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D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E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3990">
            <w:pPr>
              <w:jc w:val="center"/>
            </w:pPr>
            <w:r>
              <w:rPr>
                <w:rFonts w:ascii="宋体" w:hAnsi="宋体" w:eastAsia="宋体"/>
                <w:sz w:val="16"/>
              </w:rPr>
              <w:t>=8台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B1A8">
            <w:pPr>
              <w:jc w:val="center"/>
            </w:pPr>
            <w:r>
              <w:rPr>
                <w:rFonts w:ascii="宋体" w:hAnsi="宋体" w:eastAsia="宋体"/>
                <w:sz w:val="16"/>
              </w:rPr>
              <w:t>114.29%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EAB7">
            <w:pPr>
              <w:jc w:val="center"/>
            </w:pPr>
            <w:r>
              <w:rPr>
                <w:rFonts w:ascii="宋体" w:hAnsi="宋体" w:eastAsia="宋体"/>
                <w:sz w:val="16"/>
              </w:rPr>
              <w:t>2.57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9A89">
            <w:pPr>
              <w:jc w:val="center"/>
            </w:pPr>
            <w:r>
              <w:rPr>
                <w:rFonts w:ascii="宋体" w:hAnsi="宋体" w:eastAsia="宋体"/>
                <w:sz w:val="16"/>
              </w:rPr>
              <w:t>同一办公软件采购了两次。以后执行计划时按制定的计划实施，减少偏差。</w:t>
            </w:r>
          </w:p>
        </w:tc>
      </w:tr>
      <w:tr w14:paraId="4B3FD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E2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DF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9E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EA47">
            <w:pPr>
              <w:jc w:val="center"/>
            </w:pPr>
            <w:r>
              <w:rPr>
                <w:rFonts w:ascii="宋体" w:hAnsi="宋体" w:eastAsia="宋体"/>
                <w:sz w:val="16"/>
              </w:rPr>
              <w:t>农业执法人员培训人数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474F">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A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7A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E5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5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5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A782">
            <w:pPr>
              <w:jc w:val="center"/>
            </w:pPr>
            <w:r>
              <w:rPr>
                <w:rFonts w:ascii="宋体" w:hAnsi="宋体" w:eastAsia="宋体"/>
                <w:sz w:val="16"/>
              </w:rPr>
              <w:t>=260人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8850">
            <w:pPr>
              <w:jc w:val="center"/>
            </w:pPr>
            <w:r>
              <w:rPr>
                <w:rFonts w:ascii="宋体" w:hAnsi="宋体" w:eastAsia="宋体"/>
                <w:sz w:val="16"/>
              </w:rPr>
              <w:t>288.88%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02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E64F">
            <w:pPr>
              <w:jc w:val="center"/>
            </w:pPr>
            <w:r>
              <w:rPr>
                <w:rFonts w:ascii="宋体" w:hAnsi="宋体" w:eastAsia="宋体"/>
                <w:sz w:val="16"/>
              </w:rPr>
              <w:t>积极参加者比计划数多。下次制定绩效目标时会更贴合实际，减少误差。</w:t>
            </w:r>
          </w:p>
        </w:tc>
      </w:tr>
      <w:tr w14:paraId="42A45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D7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97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B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22D5">
            <w:pPr>
              <w:jc w:val="center"/>
            </w:pPr>
            <w:r>
              <w:rPr>
                <w:rFonts w:ascii="宋体" w:hAnsi="宋体" w:eastAsia="宋体"/>
                <w:sz w:val="16"/>
              </w:rPr>
              <w:t>农业执法人员培训天数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6A5D">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B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0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D95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6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6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E999">
            <w:pPr>
              <w:jc w:val="center"/>
            </w:pPr>
            <w:r>
              <w:rPr>
                <w:rFonts w:ascii="宋体" w:hAnsi="宋体" w:eastAsia="宋体"/>
                <w:sz w:val="16"/>
              </w:rPr>
              <w:t>=21天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8AE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C3E3">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BACD">
            <w:pPr>
              <w:jc w:val="center"/>
            </w:pPr>
            <w:r>
              <w:rPr>
                <w:rFonts w:ascii="宋体" w:hAnsi="宋体" w:eastAsia="宋体"/>
                <w:sz w:val="16"/>
              </w:rPr>
              <w:t>学习内容较多，达到60学时，两天内学不完，没有假期，利用工作间隙学习。下次制定目标时会尽量符合实际，减少偏差。</w:t>
            </w:r>
          </w:p>
        </w:tc>
      </w:tr>
      <w:tr w14:paraId="009BB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73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C10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B24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4FCF">
            <w:pPr>
              <w:jc w:val="center"/>
            </w:pPr>
            <w:r>
              <w:rPr>
                <w:rFonts w:ascii="宋体" w:hAnsi="宋体" w:eastAsia="宋体"/>
                <w:sz w:val="16"/>
              </w:rPr>
              <w:t>执法装备配备质量合格率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C8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1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93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64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A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6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81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B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55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53FE">
            <w:pPr>
              <w:jc w:val="center"/>
            </w:pPr>
          </w:p>
        </w:tc>
      </w:tr>
      <w:tr w14:paraId="39BBE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FB4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2A5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2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7F47">
            <w:pPr>
              <w:jc w:val="center"/>
            </w:pPr>
            <w:r>
              <w:rPr>
                <w:rFonts w:ascii="宋体" w:hAnsi="宋体" w:eastAsia="宋体"/>
                <w:sz w:val="16"/>
              </w:rPr>
              <w:t>农产品质量安全监管专项执法覆盖率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D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1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0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77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A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3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D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9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4E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6503">
            <w:pPr>
              <w:jc w:val="center"/>
            </w:pPr>
          </w:p>
        </w:tc>
      </w:tr>
      <w:tr w14:paraId="27838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9B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6E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27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4506">
            <w:pPr>
              <w:jc w:val="center"/>
            </w:pPr>
            <w:r>
              <w:rPr>
                <w:rFonts w:ascii="宋体" w:hAnsi="宋体" w:eastAsia="宋体"/>
                <w:sz w:val="16"/>
              </w:rPr>
              <w:t>农业执法人员培训出勤率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F5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4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35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FC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6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B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5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A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DE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5EAB">
            <w:pPr>
              <w:jc w:val="center"/>
            </w:pPr>
          </w:p>
        </w:tc>
      </w:tr>
      <w:tr w14:paraId="02755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D3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90B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0DC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A599">
            <w:pPr>
              <w:jc w:val="center"/>
            </w:pPr>
            <w:r>
              <w:rPr>
                <w:rFonts w:ascii="宋体" w:hAnsi="宋体" w:eastAsia="宋体"/>
                <w:sz w:val="16"/>
              </w:rPr>
              <w:t>农产品质量安全监管专项执法按时完成率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7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B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3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95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4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8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2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D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03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AAE1">
            <w:pPr>
              <w:jc w:val="center"/>
            </w:pPr>
          </w:p>
        </w:tc>
      </w:tr>
      <w:tr w14:paraId="0F820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C9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79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BF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28D7">
            <w:pPr>
              <w:jc w:val="center"/>
            </w:pPr>
            <w:r>
              <w:rPr>
                <w:rFonts w:ascii="宋体" w:hAnsi="宋体" w:eastAsia="宋体"/>
                <w:sz w:val="16"/>
              </w:rPr>
              <w:t>农产品质量安全领域重大案件专项执法检查按时完成率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2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D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7C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4E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0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32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9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7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4D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4812">
            <w:pPr>
              <w:jc w:val="center"/>
            </w:pPr>
          </w:p>
        </w:tc>
      </w:tr>
      <w:tr w14:paraId="68682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A2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D3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F9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EE22">
            <w:pPr>
              <w:jc w:val="center"/>
            </w:pPr>
            <w:r>
              <w:rPr>
                <w:rFonts w:ascii="宋体" w:hAnsi="宋体" w:eastAsia="宋体"/>
                <w:sz w:val="16"/>
              </w:rPr>
              <w:t>农业执法人员培训按期完成率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2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E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1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6D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9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2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3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8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BD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6808">
            <w:pPr>
              <w:jc w:val="center"/>
            </w:pPr>
          </w:p>
        </w:tc>
      </w:tr>
      <w:tr w14:paraId="4CB43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0B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1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31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C0CE">
            <w:pPr>
              <w:jc w:val="center"/>
            </w:pPr>
            <w:r>
              <w:rPr>
                <w:rFonts w:ascii="宋体" w:hAnsi="宋体" w:eastAsia="宋体"/>
                <w:sz w:val="16"/>
              </w:rPr>
              <w:t>执法装备配备及时率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5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8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15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8C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6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0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B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9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8A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ADAF">
            <w:pPr>
              <w:jc w:val="center"/>
            </w:pPr>
          </w:p>
        </w:tc>
      </w:tr>
      <w:tr w14:paraId="040ED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290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EEF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98A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0594">
            <w:pPr>
              <w:jc w:val="center"/>
            </w:pPr>
            <w:r>
              <w:rPr>
                <w:rFonts w:ascii="宋体" w:hAnsi="宋体" w:eastAsia="宋体"/>
                <w:sz w:val="16"/>
              </w:rPr>
              <w:t>农产品质量安全监管专项执法经费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EF2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2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A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78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9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9E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CE7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6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13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A0D3">
            <w:pPr>
              <w:jc w:val="center"/>
            </w:pPr>
            <w:r>
              <w:rPr>
                <w:rFonts w:ascii="宋体" w:hAnsi="宋体" w:eastAsia="宋体"/>
                <w:sz w:val="16"/>
              </w:rPr>
              <w:t>出差经费略微超出，以后制定经费时尽量减少误差。</w:t>
            </w:r>
          </w:p>
        </w:tc>
      </w:tr>
      <w:tr w14:paraId="603D4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A9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F4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F1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E13A">
            <w:pPr>
              <w:jc w:val="center"/>
            </w:pPr>
            <w:r>
              <w:rPr>
                <w:rFonts w:ascii="宋体" w:hAnsi="宋体" w:eastAsia="宋体"/>
                <w:sz w:val="16"/>
              </w:rPr>
              <w:t>执法装备配备经费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7FD0">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C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EE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78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F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88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9850">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B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14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558E">
            <w:pPr>
              <w:jc w:val="center"/>
            </w:pPr>
          </w:p>
        </w:tc>
      </w:tr>
      <w:tr w14:paraId="1D832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DA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CA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62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FD82">
            <w:pPr>
              <w:jc w:val="center"/>
            </w:pPr>
            <w:r>
              <w:rPr>
                <w:rFonts w:ascii="宋体" w:hAnsi="宋体" w:eastAsia="宋体"/>
                <w:sz w:val="16"/>
              </w:rPr>
              <w:t>农业执法人员培训成本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FC9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0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39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58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AC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E4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564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1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52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687A">
            <w:pPr>
              <w:jc w:val="center"/>
            </w:pPr>
          </w:p>
        </w:tc>
      </w:tr>
      <w:tr w14:paraId="43D8F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FF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08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E1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A629">
            <w:pPr>
              <w:jc w:val="center"/>
            </w:pPr>
            <w:r>
              <w:rPr>
                <w:rFonts w:ascii="宋体" w:hAnsi="宋体" w:eastAsia="宋体"/>
                <w:sz w:val="16"/>
              </w:rPr>
              <w:t>农产品质量安全领域重大案件专项执法检查成本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BCB2">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E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5E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29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9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E6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251B">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9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20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4E4B">
            <w:pPr>
              <w:jc w:val="center"/>
            </w:pPr>
            <w:r>
              <w:rPr>
                <w:rFonts w:ascii="宋体" w:hAnsi="宋体" w:eastAsia="宋体"/>
                <w:sz w:val="16"/>
              </w:rPr>
              <w:t>出差经费略微超出，以后制定经费时尽量减少误差。</w:t>
            </w:r>
          </w:p>
        </w:tc>
      </w:tr>
      <w:tr w14:paraId="33E15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474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C120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09A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F615">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A35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1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5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1D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C6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FC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C45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F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5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AB89">
            <w:pPr>
              <w:jc w:val="center"/>
            </w:pPr>
          </w:p>
        </w:tc>
      </w:tr>
      <w:tr w14:paraId="305CB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85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F5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5D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F443">
            <w:pPr>
              <w:jc w:val="center"/>
            </w:pPr>
            <w:r>
              <w:rPr>
                <w:rFonts w:ascii="宋体" w:hAnsi="宋体" w:eastAsia="宋体"/>
                <w:sz w:val="16"/>
              </w:rPr>
              <w:t>重大农产品质量安全事件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22CA">
            <w:pPr>
              <w:jc w:val="center"/>
            </w:pPr>
            <w:r>
              <w:rPr>
                <w:rFonts w:ascii="宋体" w:hAnsi="宋体" w:eastAsia="宋体"/>
                <w:sz w:val="16"/>
              </w:rPr>
              <w:t>确保不发生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F3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56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17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B4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8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CEFC">
            <w:pPr>
              <w:jc w:val="center"/>
            </w:pPr>
            <w:r>
              <w:rPr>
                <w:rFonts w:ascii="宋体" w:hAnsi="宋体" w:eastAsia="宋体"/>
                <w:sz w:val="16"/>
              </w:rPr>
              <w:t>确保不发生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C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A7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1C1F">
            <w:pPr>
              <w:jc w:val="center"/>
            </w:pPr>
          </w:p>
        </w:tc>
      </w:tr>
      <w:tr w14:paraId="4884F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24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B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09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621E">
            <w:pPr>
              <w:jc w:val="center"/>
            </w:pPr>
            <w:r>
              <w:rPr>
                <w:rFonts w:ascii="宋体" w:hAnsi="宋体" w:eastAsia="宋体"/>
                <w:sz w:val="16"/>
              </w:rPr>
              <w:t>农产品质量安全监管专项执法被投诉次数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F49D">
            <w:pPr>
              <w:jc w:val="center"/>
            </w:pPr>
            <w:r>
              <w:rPr>
                <w:rFonts w:ascii="宋体" w:hAnsi="宋体" w:eastAsia="宋体"/>
                <w:sz w:val="16"/>
              </w:rPr>
              <w:t>&lt;=0次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D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4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E4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CC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1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C445">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C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2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089B">
            <w:pPr>
              <w:jc w:val="center"/>
            </w:pPr>
          </w:p>
        </w:tc>
      </w:tr>
      <w:tr w14:paraId="0748EC9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9F96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481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402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CCA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9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85F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A31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A9B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FA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1E59">
            <w:pPr>
              <w:jc w:val="center"/>
            </w:pPr>
            <w:r>
              <w:rPr>
                <w:rFonts w:ascii="宋体" w:hAnsi="宋体" w:eastAsia="宋体"/>
                <w:sz w:val="16"/>
              </w:rPr>
              <w:t>94.92分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DC7D2E"/>
        </w:tc>
      </w:tr>
    </w:tbl>
    <w:p w14:paraId="68513050">
      <w:r>
        <w:br w:type="page"/>
      </w:r>
    </w:p>
    <w:p w14:paraId="4AC2D8A3">
      <w:pPr>
        <w:spacing w:line="640" w:lineRule="exact"/>
        <w:ind w:firstLine="640"/>
        <w:jc w:val="both"/>
        <w:outlineLvl w:val="2"/>
      </w:pPr>
      <w:r>
        <w:rPr>
          <w:rFonts w:ascii="黑体" w:hAnsi="黑体" w:eastAsia="黑体"/>
          <w:sz w:val="32"/>
        </w:rPr>
        <w:t>十二、其他需说明的事项</w:t>
      </w:r>
    </w:p>
    <w:p w14:paraId="48856B26">
      <w:pPr>
        <w:spacing w:line="580" w:lineRule="exact"/>
        <w:ind w:firstLine="640"/>
        <w:jc w:val="both"/>
      </w:pPr>
      <w:r>
        <w:rPr>
          <w:rFonts w:ascii="仿宋_GB2312" w:hAnsi="仿宋_GB2312" w:eastAsia="仿宋_GB2312"/>
          <w:b w:val="0"/>
          <w:sz w:val="32"/>
        </w:rPr>
        <w:t>本年度本单位整体绩效自评表由主管部门编报并公开。</w:t>
      </w:r>
    </w:p>
    <w:p w14:paraId="27F5A755">
      <w:r>
        <w:br w:type="page"/>
      </w:r>
    </w:p>
    <w:p w14:paraId="5A362F68">
      <w:pPr>
        <w:spacing w:line="240" w:lineRule="auto"/>
        <w:jc w:val="center"/>
        <w:outlineLvl w:val="1"/>
      </w:pPr>
      <w:r>
        <w:rPr>
          <w:rFonts w:ascii="黑体" w:hAnsi="黑体" w:eastAsia="黑体"/>
          <w:sz w:val="32"/>
        </w:rPr>
        <w:t>第三部分 专业名词解释</w:t>
      </w:r>
    </w:p>
    <w:p w14:paraId="75F3A50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8ED25E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054056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E31F3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6A9A9D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77C4CB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709A2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8C2E70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EE464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0DEEAD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D6CDC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01847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C0106A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1A349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B0F443B">
      <w:r>
        <w:br w:type="page"/>
      </w:r>
    </w:p>
    <w:p w14:paraId="188E545D">
      <w:pPr>
        <w:spacing w:line="240" w:lineRule="auto"/>
        <w:jc w:val="center"/>
        <w:outlineLvl w:val="1"/>
      </w:pPr>
      <w:r>
        <w:rPr>
          <w:rFonts w:ascii="黑体" w:hAnsi="黑体" w:eastAsia="黑体"/>
          <w:sz w:val="32"/>
        </w:rPr>
        <w:t>第四部分 部门决算报表（见附表）</w:t>
      </w:r>
    </w:p>
    <w:p w14:paraId="11B594C3">
      <w:pPr>
        <w:spacing w:line="240" w:lineRule="auto"/>
        <w:ind w:firstLine="640"/>
        <w:jc w:val="both"/>
      </w:pPr>
      <w:r>
        <w:rPr>
          <w:rFonts w:ascii="仿宋_GB2312" w:hAnsi="仿宋_GB2312" w:eastAsia="仿宋_GB2312"/>
          <w:b w:val="0"/>
          <w:sz w:val="32"/>
        </w:rPr>
        <w:t>一、《收入支出决算总表》</w:t>
      </w:r>
    </w:p>
    <w:p w14:paraId="0C36EF0A">
      <w:pPr>
        <w:spacing w:line="240" w:lineRule="auto"/>
        <w:ind w:firstLine="640"/>
        <w:jc w:val="both"/>
      </w:pPr>
      <w:r>
        <w:rPr>
          <w:rFonts w:ascii="仿宋_GB2312" w:hAnsi="仿宋_GB2312" w:eastAsia="仿宋_GB2312"/>
          <w:b w:val="0"/>
          <w:sz w:val="32"/>
        </w:rPr>
        <w:t>二、《收入决算表》</w:t>
      </w:r>
    </w:p>
    <w:p w14:paraId="2A8F43A9">
      <w:pPr>
        <w:spacing w:line="240" w:lineRule="auto"/>
        <w:ind w:firstLine="640"/>
        <w:jc w:val="both"/>
      </w:pPr>
      <w:r>
        <w:rPr>
          <w:rFonts w:ascii="仿宋_GB2312" w:hAnsi="仿宋_GB2312" w:eastAsia="仿宋_GB2312"/>
          <w:b w:val="0"/>
          <w:sz w:val="32"/>
        </w:rPr>
        <w:t>三、《支出决算表》</w:t>
      </w:r>
    </w:p>
    <w:p w14:paraId="631E4E98">
      <w:pPr>
        <w:spacing w:line="240" w:lineRule="auto"/>
        <w:ind w:firstLine="640"/>
        <w:jc w:val="both"/>
      </w:pPr>
      <w:r>
        <w:rPr>
          <w:rFonts w:ascii="仿宋_GB2312" w:hAnsi="仿宋_GB2312" w:eastAsia="仿宋_GB2312"/>
          <w:b w:val="0"/>
          <w:sz w:val="32"/>
        </w:rPr>
        <w:t>四、《财政拨款收入支出决算总表》</w:t>
      </w:r>
    </w:p>
    <w:p w14:paraId="2E385524">
      <w:pPr>
        <w:spacing w:line="240" w:lineRule="auto"/>
        <w:ind w:firstLine="640"/>
        <w:jc w:val="both"/>
      </w:pPr>
      <w:r>
        <w:rPr>
          <w:rFonts w:ascii="仿宋_GB2312" w:hAnsi="仿宋_GB2312" w:eastAsia="仿宋_GB2312"/>
          <w:b w:val="0"/>
          <w:sz w:val="32"/>
        </w:rPr>
        <w:t>五、《一般公共预算财政拨款支出决算表》</w:t>
      </w:r>
    </w:p>
    <w:p w14:paraId="45E95CB8">
      <w:pPr>
        <w:spacing w:line="240" w:lineRule="auto"/>
        <w:ind w:firstLine="640"/>
        <w:jc w:val="both"/>
      </w:pPr>
      <w:r>
        <w:rPr>
          <w:rFonts w:ascii="仿宋_GB2312" w:hAnsi="仿宋_GB2312" w:eastAsia="仿宋_GB2312"/>
          <w:b w:val="0"/>
          <w:sz w:val="32"/>
        </w:rPr>
        <w:t>六、《一般公共预算财政拨款基本支出决算表》</w:t>
      </w:r>
    </w:p>
    <w:p w14:paraId="5DADB5C4">
      <w:pPr>
        <w:spacing w:line="240" w:lineRule="auto"/>
        <w:ind w:firstLine="640"/>
        <w:jc w:val="both"/>
      </w:pPr>
      <w:r>
        <w:rPr>
          <w:rFonts w:ascii="仿宋_GB2312" w:hAnsi="仿宋_GB2312" w:eastAsia="仿宋_GB2312"/>
          <w:b w:val="0"/>
          <w:sz w:val="32"/>
        </w:rPr>
        <w:t>七、《政府性基金预算财政拨款收入支出决算表》</w:t>
      </w:r>
    </w:p>
    <w:p w14:paraId="19AC3CAE">
      <w:pPr>
        <w:spacing w:line="240" w:lineRule="auto"/>
        <w:ind w:firstLine="640"/>
        <w:jc w:val="both"/>
      </w:pPr>
      <w:r>
        <w:rPr>
          <w:rFonts w:ascii="仿宋_GB2312" w:hAnsi="仿宋_GB2312" w:eastAsia="仿宋_GB2312"/>
          <w:b w:val="0"/>
          <w:sz w:val="32"/>
        </w:rPr>
        <w:t>八、《国有资本经营预算财政拨款收入支出决算表》</w:t>
      </w:r>
    </w:p>
    <w:p w14:paraId="406D5231">
      <w:pPr>
        <w:spacing w:line="240" w:lineRule="auto"/>
        <w:ind w:firstLine="640"/>
        <w:jc w:val="both"/>
      </w:pPr>
      <w:r>
        <w:rPr>
          <w:rFonts w:ascii="仿宋_GB2312" w:hAnsi="仿宋_GB2312" w:eastAsia="仿宋_GB2312"/>
          <w:b w:val="0"/>
          <w:sz w:val="32"/>
        </w:rPr>
        <w:t>九、《财政拨款“三公”经费支出决算表》</w:t>
      </w:r>
    </w:p>
    <w:p w14:paraId="7BD2F5FE">
      <w:pPr>
        <w:spacing w:line="240" w:lineRule="auto"/>
        <w:ind w:firstLine="640"/>
        <w:jc w:val="both"/>
      </w:pPr>
    </w:p>
    <w:p w14:paraId="75CF7600">
      <w:pPr>
        <w:spacing w:line="240" w:lineRule="auto"/>
        <w:ind w:firstLine="640"/>
        <w:jc w:val="both"/>
      </w:pPr>
    </w:p>
    <w:p w14:paraId="1F3664B0">
      <w:pPr>
        <w:spacing w:line="240" w:lineRule="auto"/>
        <w:ind w:firstLine="640"/>
        <w:jc w:val="both"/>
      </w:pPr>
    </w:p>
    <w:p w14:paraId="512DEC88">
      <w:pPr>
        <w:spacing w:line="240" w:lineRule="auto"/>
        <w:ind w:firstLine="640"/>
        <w:jc w:val="both"/>
      </w:pPr>
    </w:p>
    <w:p w14:paraId="128B7A1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7548A3"/>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93448E"/>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20659F"/>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6121</Words>
  <Characters>6853</Characters>
  <Lines>0</Lines>
  <Paragraphs>0</Paragraphs>
  <TotalTime>3</TotalTime>
  <ScaleCrop>false</ScaleCrop>
  <LinksUpToDate>false</LinksUpToDate>
  <CharactersWithSpaces>6861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2025-09-12T07:52:13Z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