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5D881F"/>
    <w:p w14:paraId="19ADB231">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0F032813">
      <w:pPr>
        <w:spacing w:line="540" w:lineRule="exact"/>
        <w:jc w:val="center"/>
        <w:rPr>
          <w:rFonts w:ascii="华文中宋" w:hAnsi="华文中宋" w:eastAsia="华文中宋" w:cs="宋体"/>
          <w:b/>
          <w:kern w:val="0"/>
          <w:sz w:val="52"/>
          <w:szCs w:val="52"/>
        </w:rPr>
      </w:pPr>
    </w:p>
    <w:p w14:paraId="07369DFC">
      <w:pPr>
        <w:spacing w:line="540" w:lineRule="exact"/>
        <w:jc w:val="center"/>
        <w:rPr>
          <w:rFonts w:ascii="华文中宋" w:hAnsi="华文中宋" w:eastAsia="华文中宋" w:cs="宋体"/>
          <w:b/>
          <w:kern w:val="0"/>
          <w:sz w:val="52"/>
          <w:szCs w:val="52"/>
        </w:rPr>
      </w:pPr>
    </w:p>
    <w:p w14:paraId="60DE4BCB">
      <w:pPr>
        <w:spacing w:line="540" w:lineRule="exact"/>
        <w:jc w:val="center"/>
        <w:rPr>
          <w:rFonts w:ascii="华文中宋" w:hAnsi="华文中宋" w:eastAsia="华文中宋" w:cs="宋体"/>
          <w:b/>
          <w:kern w:val="0"/>
          <w:sz w:val="52"/>
          <w:szCs w:val="52"/>
        </w:rPr>
      </w:pPr>
    </w:p>
    <w:p w14:paraId="4AF7E7A1">
      <w:pPr>
        <w:spacing w:line="540" w:lineRule="exact"/>
        <w:jc w:val="center"/>
        <w:rPr>
          <w:rFonts w:ascii="华文中宋" w:hAnsi="华文中宋" w:eastAsia="华文中宋" w:cs="宋体"/>
          <w:b/>
          <w:kern w:val="0"/>
          <w:sz w:val="52"/>
          <w:szCs w:val="52"/>
        </w:rPr>
      </w:pPr>
    </w:p>
    <w:p w14:paraId="5467F400">
      <w:pPr>
        <w:spacing w:line="540" w:lineRule="exact"/>
        <w:jc w:val="center"/>
        <w:rPr>
          <w:rFonts w:ascii="华文中宋" w:hAnsi="华文中宋" w:eastAsia="华文中宋" w:cs="宋体"/>
          <w:b/>
          <w:kern w:val="0"/>
          <w:sz w:val="52"/>
          <w:szCs w:val="52"/>
        </w:rPr>
      </w:pPr>
    </w:p>
    <w:p w14:paraId="56111101">
      <w:pPr>
        <w:spacing w:line="540" w:lineRule="exact"/>
        <w:jc w:val="center"/>
        <w:rPr>
          <w:rFonts w:ascii="华文中宋" w:hAnsi="华文中宋" w:eastAsia="华文中宋" w:cs="宋体"/>
          <w:b/>
          <w:kern w:val="0"/>
          <w:sz w:val="52"/>
          <w:szCs w:val="52"/>
        </w:rPr>
      </w:pPr>
    </w:p>
    <w:p w14:paraId="09E27CA1">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40778CAB">
      <w:pPr>
        <w:spacing w:line="540" w:lineRule="exact"/>
        <w:jc w:val="center"/>
        <w:rPr>
          <w:rFonts w:ascii="华文中宋" w:hAnsi="华文中宋" w:eastAsia="华文中宋" w:cs="宋体"/>
          <w:b/>
          <w:kern w:val="0"/>
          <w:sz w:val="52"/>
          <w:szCs w:val="52"/>
        </w:rPr>
      </w:pPr>
    </w:p>
    <w:p w14:paraId="2A0E11D3">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6B080E6D">
      <w:pPr>
        <w:spacing w:line="540" w:lineRule="exact"/>
        <w:jc w:val="center"/>
        <w:rPr>
          <w:rFonts w:hAnsi="宋体" w:eastAsia="仿宋_GB2312" w:cs="宋体"/>
          <w:kern w:val="0"/>
          <w:sz w:val="30"/>
          <w:szCs w:val="30"/>
        </w:rPr>
      </w:pPr>
    </w:p>
    <w:p w14:paraId="355EC802">
      <w:pPr>
        <w:spacing w:line="540" w:lineRule="exact"/>
        <w:jc w:val="center"/>
        <w:rPr>
          <w:rFonts w:hAnsi="宋体" w:eastAsia="仿宋_GB2312" w:cs="宋体"/>
          <w:kern w:val="0"/>
          <w:sz w:val="30"/>
          <w:szCs w:val="30"/>
        </w:rPr>
      </w:pPr>
    </w:p>
    <w:p w14:paraId="4E5B1DDE">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3C4B8EAE">
      <w:pPr>
        <w:spacing w:line="540" w:lineRule="exact"/>
        <w:jc w:val="center"/>
        <w:rPr>
          <w:rFonts w:hAnsi="宋体" w:eastAsia="仿宋_GB2312" w:cs="宋体"/>
          <w:kern w:val="0"/>
          <w:sz w:val="30"/>
          <w:szCs w:val="30"/>
        </w:rPr>
      </w:pPr>
    </w:p>
    <w:p w14:paraId="6297A76E">
      <w:pPr>
        <w:spacing w:line="540" w:lineRule="exact"/>
        <w:jc w:val="center"/>
        <w:rPr>
          <w:rFonts w:hAnsi="宋体" w:eastAsia="仿宋_GB2312" w:cs="宋体"/>
          <w:kern w:val="0"/>
          <w:sz w:val="30"/>
          <w:szCs w:val="30"/>
        </w:rPr>
      </w:pPr>
    </w:p>
    <w:p w14:paraId="6BFE586C">
      <w:pPr>
        <w:spacing w:line="540" w:lineRule="exact"/>
        <w:jc w:val="center"/>
        <w:rPr>
          <w:rFonts w:hAnsi="宋体" w:eastAsia="仿宋_GB2312" w:cs="宋体"/>
          <w:kern w:val="0"/>
          <w:sz w:val="30"/>
          <w:szCs w:val="30"/>
        </w:rPr>
      </w:pPr>
    </w:p>
    <w:p w14:paraId="72A44741">
      <w:pPr>
        <w:spacing w:line="540" w:lineRule="exact"/>
        <w:rPr>
          <w:rFonts w:hAnsi="宋体" w:eastAsia="仿宋_GB2312" w:cs="宋体"/>
          <w:kern w:val="0"/>
          <w:sz w:val="30"/>
          <w:szCs w:val="30"/>
        </w:rPr>
      </w:pPr>
    </w:p>
    <w:p w14:paraId="5F0FB1CF">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3A37F814">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农业综合行政执法运行及大型工程机械设备监管平台环境租赁费</w:t>
      </w:r>
    </w:p>
    <w:p w14:paraId="1BCD1256">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lang w:eastAsia="zh-CN"/>
        </w:rPr>
        <w:t>巴音郭楞蒙古自治州</w:t>
      </w:r>
      <w:r>
        <w:rPr>
          <w:rStyle w:val="19"/>
          <w:rFonts w:hint="eastAsia" w:ascii="楷体" w:hAnsi="楷体" w:eastAsia="楷体"/>
          <w:spacing w:val="-4"/>
          <w:sz w:val="28"/>
          <w:szCs w:val="28"/>
        </w:rPr>
        <w:t>农业综合行政执法支队</w:t>
      </w:r>
    </w:p>
    <w:p w14:paraId="12FC60E5">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巴音郭楞蒙古自治州农业综合行政执法支队</w:t>
      </w:r>
    </w:p>
    <w:p w14:paraId="38AADB1E">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高怀礼</w:t>
      </w:r>
    </w:p>
    <w:p w14:paraId="7AE7A419">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2025年03月19日</w:t>
      </w:r>
    </w:p>
    <w:p w14:paraId="595A4F89">
      <w:pPr>
        <w:spacing w:line="700" w:lineRule="exact"/>
        <w:ind w:firstLine="708" w:firstLineChars="236"/>
        <w:jc w:val="left"/>
        <w:rPr>
          <w:rFonts w:hAnsi="宋体" w:eastAsia="仿宋_GB2312" w:cs="宋体"/>
          <w:kern w:val="0"/>
          <w:sz w:val="30"/>
          <w:szCs w:val="30"/>
        </w:rPr>
      </w:pPr>
    </w:p>
    <w:p w14:paraId="3E98CF6E">
      <w:pPr>
        <w:spacing w:line="540" w:lineRule="exact"/>
        <w:rPr>
          <w:rStyle w:val="19"/>
          <w:rFonts w:ascii="黑体" w:hAnsi="黑体" w:eastAsia="黑体"/>
          <w:b w:val="0"/>
          <w:spacing w:val="-4"/>
          <w:sz w:val="32"/>
          <w:szCs w:val="32"/>
        </w:rPr>
      </w:pPr>
    </w:p>
    <w:p w14:paraId="5EE52C12">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44A557B4">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053B32A2">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关于开展自治区农业综合行政执法能力提升行动的通知》，文号：新农办执【2020】95号；《自治区大型工程机械设备和车辆安全监管办法》（政府令【2017】第204号）、新疆维吾尔自治区大型工程机械设备和车辆安全监管平台项目合同，开展农业执法工作，提高全员执法检查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项目主要内容：通过开展全州农业执法工作坚持突出重点和整体推进相结合，日常执法和专项执法相结合，以种子、农药、肥料、渔业、兽药饲料、农机为重点，强化执法力度提升监管水平。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根据自治区农业农村厅下发的《关于做好2024年自治区农业综合行政执法工作的通知》要求，截至目前完成情况，开展农资联合指导服务3次，开展农机安全指导服务3次；畜牧兽医领域指导服务3次；开展渔业执法指导服务3次；完成执法指导服务小结12份；开展培训2次，提高全员执法检查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该项目年初预算数68.1万元，全年预算数68.1万元，该项目资金已全部落实到位，资金来源为财政拨款。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该项目年初预算数68.1万元，全年预算数68.1万元，，全年执行数67.93万元，预算执行率为99.75%，主要用于：平台环境租赁费30.6万元，培训费2万元，执法检查工作经费35.33万元。</w:t>
      </w:r>
    </w:p>
    <w:p w14:paraId="252D0A0B">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08BF3709">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开展全州农业执法工作坚持突出重点和整体推进相结合，日常执法和专项执法相结合，以种子、农药、肥料、渔业、兽药饲料、农机为重点，强化执法力度提升监管水平。2024年计划开展农资联合指导服务3次，开展农机安全指导服务3次；畜牧兽医领域指导服务3次；开展渔业执法指导服务3次；完成执法指导服务小结12份；开展培训2次，提高全员执法检查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认真贯彻落实国家和自治区农业农村工作会议精神，全面推进农业农村法治建设，持续深化农业综合执法改革，不断提升执法能力，强化涉农领域执法，严厉打击违法行为，保障农业生产和农产品质量安全，根据自治区农业农村厅下发的《关于做好2024年自治区农业综合行政执法工作的通知》要求，在五月前，计划开展春季农资打假专项行动1次，兽药、饲料、畜产品质量安全监督抽检1次、农机安全生产执法检查2次、兵地联合执法检查1次，立案调查5起。通过5次执法检查，切实维护农民合法权益和农业生产安全，全面完成农业高质量发展和加快建设农业强州提供有力的法治保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八月前，计划开展打击肉类产品违法犯罪专项检查1次、养殖屠宰环节专项检查1次、若羌县安全生产帮扶指导工作1次、水产养殖重点品种药物残留执法检查1次、立案调查8起。通过7次执法检查，切实维护农民合法权益和农业生产安全，全面完成农业高质量发展和加快建设农业强州提供有力的法治保障。</w:t>
      </w:r>
    </w:p>
    <w:p w14:paraId="0C4D5DC6">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16857F21">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3F5E4AD4">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编制过程中，严格遵循项目相关法规与标准，确保评价内容的全面性与准确性。报告涵盖了项目从预算编制、执行到完成的全过程，对农业综合行政执法运行及大型工程机械设备监管平台环境租赁费项目的各项绩效指标进行了详细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充分考虑了农业综合行政执法运行及大型工程机械设备监管平台环境租赁费项目涉及农业生产、通过开展全州农业执法工作坚持突出重点和整体推进相结合，日常执法和专项执法相结合，以种子、农药、肥料、渔业、兽药饲料、农机为重点，达到强化执法力度提升监管水平的目的，选取了具有代表性和可衡量性的关键指标，从社会效益维度，反映项目的绩效状况。同时，对于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多种科学合理的方法，实地调研、问卷调查和数据分析，广泛收集了与农业综合行政执法运行及大型工程机械设备监管平台环境租赁费项目相关的业务数据和资金数据，通过第三方审核，以确保评价结论的科学性和可靠性。此外，还对数据的质量和完整性进行了严格把控，对于未完成的绩效指标进行了合理的说明，保证了评价数据的真实性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撰写报告时，按照统一的格式和规范进行编排，使内容层次分明。首先对农业综合行政执法运行及大型工程机械设备监管平台环境租赁费项目的背景、目标和预算安排进行了简要介绍，为后续的绩效评价提供了必要的背景信息；之后详细说明绩效评价的指标体系、评价方法和数据来源，为评价过程的透明性和可复现性奠定了基础；然后对各项绩效指标的完成情况进行了逐一分析和评价，根据项目在实施过程中存在的问题和不足，提出相应的改进建议；综合总结整个项目的绩效状况，明确给出评价结论和后续工作的建议，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内容、方法和数据等方面均具备较高的完整性，真实、客观地反映项目的绩效情况，为项目管理决策提供了有价值的参考依据。在之后的工作中，我们将持续完善绩效目标及绩效评价体系，提升评价工作的质量和水平，以便更好地管理和优化项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通过对项目预算执行率及制定的各项绩效目标达成程度的系统性分析，全面、客观地评估项目在全年内的实施效果，从社会效益维度指标，为本项目后续的改进与优化提供科学依据。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深入剖析项目预算资金的投入与执法效益关系，识别资金使用过程中低效益的领域，推动项目在有限的预算资源下切实维护农民合法权益和农业生产安全，确保财政资金的合理、高效运用。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明确项目各参与科室人员在预算绩效管理中的职责与任务，根据绩效评价结果对项目管理过程进行监督与问责，促使项目管理者增强责任意识，督促项目依据绩效目标计划推进，提高项目管理水平与执行力。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项目主管部门、财政部门及部门相关决策层提供详实、准确的绩效评价信息，辅助其在项目审批、预算安排等关键决策环节做出更加科学、合理的判断，促进项目资金合理分配给培训、租赁环境平台、执法检查经费三方面，推动项目管理体系的不断完善与升级，提升资金分配的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基于绩效评价发现的项目总体偏差率较大，提出根据上年情况和当年工作要求，设计可完成的绩效目标，不断提升项目整体绩效水平，降低项目总体偏差率，实现项目长期稳定发展的目标。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编制以提升项目绩效为核心，旨在通过科学、严谨的评价工作，为项目管理与决策提供全方位、深层次的支持，推动项目在预算约束下实现高质量、可持续发展，充分发挥财政资金的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农业综合行政执法运行及大型工程机械设备监管平台环境租赁费及其预算执行情况。该项目由巴州农业综合行政执法支队负责实施，旨在通过开展全州农业执法工作坚持突出重点和整体推进相结合，日常执法和专项执法相结合，以种子、农药、肥料、渔业、兽药饲料、农机为重点，强化执法力度提升监管水平。项目预算涵盖从2024年1月1日至2024年12月21日的全部资金投入与支出，涉及资金总额为67.93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（1）项目预算编制与执行：项目预算的编制依据是一些法规及合同，合理编制项目绩效目标，实际执行情况与项目计划有所偏差。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（2）资金管理：深入分析项目资金在培训、租赁平台、执法检查三方面的使用情况，监管资金的使用情况，确保资金使用的合规性、高效性和透明度。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（3）项目实施进度与产出：评估项目是否按照五月及八月计划顺利推进，培训任务、租赁平台任务和执法检查任务是否按时完成，以及执法检查的数量、购买设备的质量和任务完成的时效性是否符合预期。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（4）社会效益影响：考察项目对农业高质量发展和加快建设农业强州方面的影响。</w:t>
      </w:r>
    </w:p>
    <w:p w14:paraId="62C4104C">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1975721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（1）科学公正。绩效评价应当运用科学合理的方法，按照规范的程序，对项目绩效进行客观、公正的反映。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（2）统筹兼顾。单位自评、部门评价和财政评价应职责明确，各有侧重，相互衔接。单位自评应由项目单位自主实施，即“谁支出、谁自评”。部门评价和财政评价应在单位自评的基础上开展。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（4）公开透明。绩效评价结果应依法依规公开，并自觉接受社会监督。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  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本次评价指标中，采用因素分析法。原因是通过农业综合行政执法运行及大型工程机械设备监管平台环境租赁费项目综合分析影响绩效目标实现、实施效果的内外部因素的方法。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预先制定了提高全员执法检查水平的目标、制定了2024年开展农业执法活动和租赁大型工程机械设备监管平台的计划，以项目实施工作计划作为评价标准。</w:t>
      </w:r>
    </w:p>
    <w:p w14:paraId="103022FA">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0951EF9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2023年11月15日，开始前期准备工作，评价组通过前期调研确定绩效评价对象和范围，确定了评价的目的、方法以及评价的原则，根据项目的内容和特征制定了评价指标体系及评价标准以及评价实施方案，修正并确定所需资料清单，最终确定绩效评价工作方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广泛收集与项目相关的各类数据，包括财务报表、项目文件、业务报告、用户反馈等。在数据收集过程中，注重数据的质量与完整性，对异常的数据进行了合理的处理。随后，对收集到的数据进行了系统的整理与分类，为后续的数据分析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（6）后续跟踪与改进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3683420C">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248F3CA4">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农业综合行政执法运行及大型工程机械设备监管平台环境租赁费在执法检查种类、执法检查频次等方面表现出色，达到了预期的标准与要求。同时，项目也在全州农业执法工作中取得了显著的成效，如年度检查任务按时完成及时支付平台环境租赁费等。</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在项目管理方面，巴州农业综合行政执法支队通过有效的规划、组织与协调，项目得以顺利实施，并在预算与时间上保持了良好的控制。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从项目效益的角度来看，本项目不仅实现了预期的社会效益方面产生了积极的影响。具体而言，执法检查结果公开率、执法检查问题落实整改率等方面的提升，为项目的利益相关者带来了实实在在的利益。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综上所述，农业综合行政执法运行及大型工程机械设备监管平台环境租赁费在绩效评价中表现出色，达到了项目的预期目标，并在多个方面取得了显著的成效。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 93分，属于“优”。其中，项目决策类指标权重为20分，得分为 20分，得分率为 100%。项目过程类指标权重为20分，得分为19分，得分率为 95%。项目产出类指标权重为40分，得分为34分，得分率为 85%。项目效益类指标权重为20分，得分为20分，得分率为100%。</w:t>
      </w:r>
    </w:p>
    <w:p w14:paraId="6B96E30B">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42A06990">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41F4C599">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农业综合行政执法运行及大型工程机械设备监管平台环境租赁费，项目立项符合国家法律法规、国民经济发展规划和相关政策；符合行业发展规划和政策要求；与部门职责范围相符，</w:t>
      </w:r>
      <w:r>
        <w:rPr>
          <w:rStyle w:val="19"/>
          <w:rFonts w:hint="eastAsia" w:ascii="楷体" w:hAnsi="楷体" w:eastAsia="楷体"/>
          <w:spacing w:val="-4"/>
          <w:sz w:val="32"/>
          <w:szCs w:val="32"/>
          <w:lang w:eastAsia="zh-CN"/>
        </w:rPr>
        <w:t>属于部门</w:t>
      </w:r>
      <w:bookmarkStart w:id="0" w:name="_GoBack"/>
      <w:bookmarkEnd w:id="0"/>
      <w:r>
        <w:rPr>
          <w:rStyle w:val="19"/>
          <w:rFonts w:hint="eastAsia" w:ascii="楷体" w:hAnsi="楷体" w:eastAsia="楷体"/>
          <w:spacing w:val="-4"/>
          <w:sz w:val="32"/>
          <w:szCs w:val="32"/>
        </w:rPr>
        <w:t>履职所需；项目贯彻执行《关于开展自治区农业综合行政执法能力提升行动的通知》，文号：新农办执【2020】95号；《自治区大型工程机械设备和车辆安全监管办法》（政府令【2017】第204号）有关法律法规，通过开展全州农业执法工作坚持突出重点和整体推进相结合，日常执法和专项执法相结合，以种子、农药、肥料、渔业、兽药饲料、农机为重点，强化执法力度提升监管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本项目按照相关规定程序进行申请设立，并按照事前经过必要的可行性研究等措施，根据相关审批要求，积极准备相关文件、材料，从而立项审批。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农业综合行政执法运行及大型工程机械设备监管平台环境租赁费项目设立了项目绩效目标，与2024年计划开展农资联合指导服务3次，开展农机安全指导服务3次；畜牧兽医领域指导服务3次；开展渔业执法指导服务3次；完成执法指导服务小结12份；开展培训2次，提高全员执法检查水平。具有相关性，项目的预期产出效益和效果也均能符合正常的业绩水平，并且与预算确定的项目投资额或资金量相匹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农业综合行政执法运行及大型工程机械设备监管平台环境租赁费项目将项目绩效目标细化分解为具体的绩效指标，一级指标共4条，二级指标共6条，三级指标共20条，其中量化指标条数共20条，所有绩效指标均通过清晰、可衡量的指标值予以体现，并且做到了与项目目标任务数或计划数相对应。</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本项目预算编制经过科学论证，预算内容与项目内容相匹配，预算额度测算依据充分，按照相关标准进行编制，预算确定的项目投资额与工作任务相匹配。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由巴州农业综合行政执法支队承担，项目开展地全州，在资金分配过程中，我们充分考虑了项目的实际需求与目标，对不同阶段、不同任务的资金进行了科学的规划与安排。项目预算资金依据实际开展需要进行分配，对执法检查工作经费与平台环境租赁费给予了重点支持，有效做到了资金分配额度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p>
    <w:p w14:paraId="0FFF8CFB">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2CE693B3">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项目过程类指标包括资金管理和组织实施两方面的内容，由5个三级指标构成，权重分值为20分，实际得分19分，得分率为95%。</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本项目总投资68.1万元，财政资金及时足额到位，到位率100%，预算资金按计划进度执行。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预算编制较为详细，项目资金支出总体能够按照预算执行，预算资金支出67.93万元，预算执行率为99.75%。</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在执行过程中，全面、有效的落实管理制度，为确保项目的顺利实施与目标实现提供了坚实的保障。项目单位重视制度执行的重要性，通过明确责任分工、制定详细执行计划等措施，确保了各项管理制度的有效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在具体执行过程中，项目团队成员按照制度要求进行操作。同时，我们还建立了有效的沟通机制与反馈机制，确保及时传递项目信息和解决问题，提高了制度执行的效率与效果。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综上所述，本项目的管理制度在执行过程中表现出了高度的有效性，确保了项目的顺利进行，有效达成项目目标。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p>
    <w:p w14:paraId="1CFEC03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40713323">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项目产出类指标包括产出数量、产出质量、产出时效、产出成本四方面的内容，由16个三级指标构成，权重分为40分，实际得分34分，得分率为85%。具体产出指标完成情况如下：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执法检查频次，指标值：&gt;=12次，实际完成值12次，指标完成率100%；指标2：完成执法检查报告数量，指标值：&gt;=12个，实际完成值12个，指标完成率100%；指标3：执法人员培训次数，指标值：&gt;=2次，实际完成值2次，指标完成率100%；指标4：执法人员培训人数，指标值：&gt;=45人，实际完成值180人，指标完成率400%，偏差原因：积极参加者比计划数多。下次制定绩效目标时会更贴合实际，减少误差；指标5：执法人员培训天数，指标值：&gt;=2天，实际完成值20天，指标完成率1000%，偏差原因：学习内容较多，达到60学时，两天内学不完，没有假期，利用工作间隙学习。下次制定目标时会尽量符合实际，减少偏差；指标6：租赁平台环境数量，指标值：&gt;=1个，实际完成值1个，指标完成率100%；指标7：开展执法检查种类数量，指标值：&gt;=4种，实际完成值4种，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此项权重分10分，得分8分。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县市农资市场抽查覆盖率，指标值：&gt;=95%，实际完成值78.33%，指标完成率82.46%，偏差原因：1.执法力量与监管体量不匹配，目前支队执法一科在编人员5人，在春耕备耕关键期（3-5月）同时承担种子质量抽检投诉处理等专项工作，客观上存在巡查盲区。2.偏远乡镇难度覆盖较大，且末若羌等县部分乡镇距县城超过200公里，受制于车辆维护经费和恶劣天气影响，全年对塔中镇、瓦石峡镇等6个偏远乡镇仅完成一轮次检查，较计划少一轮次。以后会根据上年情况和当年工作要求，设计可完成的绩效目标，减少偏差；指标2：平台环境租赁费支付准确率，指标值：&gt;=95%，实际完成值100%，指标完成率100%；指标3：执法人员培训出勤率，指标值：&gt;=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此项权重分10分，得分8分。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年度检查任务按时完成率，指标值：&gt;=95%，实际完成值100%，指标完成率100%；指标2：平台环境租赁费支付及时率，指标值：&gt;=95%，实际完成值100%，指标完成率100%；指标3：执法人员培训按期完成率，指标值：&gt;=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人均培训成本，指标值：&lt;=222.22元/人/天，实际完成值5.56元/人/天，指标完成率2.50%，偏差原因：积极参加培训人员比计划数多，培训费用固定，人均成本减少。下次设计绩效目标时会多与业务部门沟通，保证按计划实施；指标2：平台环境租赁费控制数，指标值：&lt;=30.60万元，实际完成值=30.6万元，指标完成率100%；指标3：执法检查工作经费，指标值：&lt;=35.50万元，实际完成值=35.33万元，指标完成率99.52%。</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此项权重分10分，得分8分。</w:t>
      </w:r>
    </w:p>
    <w:p w14:paraId="4E79B4C2">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449F7EBE">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项目效益类指标包括项目实施效益和满意度两方面的内容，由4个三级指标构成，权重分为20分，实际得分20分，得分率为100%。具体效益指标及满意度指标完成情况如下：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①社会效益指标：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1.社会效益指标完成情况：指标1：执法检查结果公开率，指标值：&gt;=95%，实际完成值100%，指标完成率100%；指标2：执法检查问题落实整改率，指标值：&gt;=95%，实际完成值100%，指标完成率100%。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p>
    <w:p w14:paraId="4F77FA0D">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指标1：培训人员满意度，指标值：&gt;=95%，实际完成值100%，指标完成率100%；指标2：执法检查人员被投诉次数，指标值：&lt;=1次，实际完成值=0次，指标完成率100%。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p>
    <w:p w14:paraId="6575278E">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6F748062">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确保项目顺利进行，提前做好项目规划，在项目实施过程中做好定期监督检查，严格按照项目管理规范进行，在项目资金使用过程中，严格落实把关，按照项目资金使用范围做好审核工作，让项目资金落于实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严格坚持先做事、后验收、再拨付的原则，杜绝了资金被挤占和挪用现象的发生，跟踪检查到位。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注重业务素质培养。通过线上和线下相结合方式，增强法治培训力度和频次，结合以案促学、以学促改等方式再现执法过程，更直观掌握执法要点，有效提升应用能力、执法办案能力和执法水平。加强执法监督检查,推行柔性执法，彰显执法温度。坚持处罚与教育相结合原则，通过责任整改、批评教育、劝导警示等非强制性执法手段，督促引导行政相对人引以为戒，并加强自律、诚信守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计划和实际有偏差，资金未完全使用完，主要是因为厉行节约，缩减开支，因此资金略有剩余。根据自治区工作安排，培训时间在九十月份，导致项目中培训工作完成时间在八月监控后，大部分经费在八月后支出，完成时间偏晚，经费支出偏晚。</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2.项目实施和计划偏差率较大，是因为相关绩效管理方面专业知识的系统性学习有待加强。各项指标的设置要进一步优化、完善，更贴合实际，保证项目按计划实施。</w:t>
      </w:r>
    </w:p>
    <w:p w14:paraId="64A5025A">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0806E9D1">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1.进一步规范项目建设的程序。项目前期做好可行性研究报告，更加细化实施方案，严格执行资金管理办法和财政资金管理制度，严格按照项目实施方案稳步推进工作，各部门单位根据自己项目的特点进行总结。</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进一步加强对绩效管理工作的组织领导，提高对预算绩效管理工作重要性的认识，总结经验查找问题，提高项目完成率。结合农产品质量安全考核建立绩效工作考核制度，加大全局对全面实施预算绩效管理和绩效管理工作的学习力度，让“花钱必问效，无效必问责”的理念深入工作每个环节。</w:t>
      </w:r>
    </w:p>
    <w:p w14:paraId="388E1916">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6E31CFD6">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本项目无其他需要说明的问题</w:t>
      </w:r>
    </w:p>
    <w:p w14:paraId="362A408F">
      <w:pPr>
        <w:spacing w:line="540" w:lineRule="exact"/>
        <w:ind w:firstLine="567"/>
        <w:rPr>
          <w:rStyle w:val="19"/>
          <w:rFonts w:ascii="仿宋" w:hAnsi="仿宋" w:eastAsia="仿宋"/>
          <w:b w:val="0"/>
          <w:spacing w:val="-4"/>
          <w:sz w:val="32"/>
          <w:szCs w:val="32"/>
        </w:rPr>
      </w:pPr>
    </w:p>
    <w:p w14:paraId="441A2AAF">
      <w:pPr>
        <w:spacing w:line="540" w:lineRule="exact"/>
        <w:ind w:firstLine="567"/>
        <w:rPr>
          <w:rStyle w:val="19"/>
          <w:rFonts w:ascii="仿宋" w:hAnsi="仿宋" w:eastAsia="仿宋"/>
          <w:b w:val="0"/>
          <w:spacing w:val="-4"/>
          <w:sz w:val="32"/>
          <w:szCs w:val="32"/>
        </w:rPr>
      </w:pPr>
    </w:p>
    <w:p w14:paraId="4911F9A2">
      <w:pPr>
        <w:spacing w:line="540" w:lineRule="exact"/>
        <w:ind w:firstLine="567"/>
        <w:rPr>
          <w:rStyle w:val="19"/>
          <w:rFonts w:ascii="仿宋" w:hAnsi="仿宋" w:eastAsia="仿宋"/>
          <w:b w:val="0"/>
          <w:spacing w:val="-4"/>
          <w:sz w:val="32"/>
          <w:szCs w:val="32"/>
        </w:rPr>
      </w:pPr>
    </w:p>
    <w:p w14:paraId="6A65D3B6">
      <w:pPr>
        <w:spacing w:line="540" w:lineRule="exact"/>
        <w:ind w:firstLine="567"/>
        <w:rPr>
          <w:rStyle w:val="19"/>
          <w:rFonts w:ascii="仿宋" w:hAnsi="仿宋" w:eastAsia="仿宋"/>
          <w:b w:val="0"/>
          <w:spacing w:val="-4"/>
          <w:sz w:val="32"/>
          <w:szCs w:val="32"/>
        </w:rPr>
      </w:pPr>
    </w:p>
    <w:p w14:paraId="0FE6AB77">
      <w:pPr>
        <w:spacing w:line="540" w:lineRule="exact"/>
        <w:ind w:firstLine="567"/>
        <w:rPr>
          <w:rStyle w:val="19"/>
          <w:rFonts w:ascii="仿宋" w:hAnsi="仿宋" w:eastAsia="仿宋"/>
          <w:b w:val="0"/>
          <w:spacing w:val="-4"/>
          <w:sz w:val="32"/>
          <w:szCs w:val="32"/>
        </w:rPr>
      </w:pPr>
    </w:p>
    <w:p w14:paraId="7270A7EB">
      <w:pPr>
        <w:spacing w:line="540" w:lineRule="exact"/>
        <w:ind w:firstLine="567"/>
        <w:rPr>
          <w:rStyle w:val="19"/>
          <w:rFonts w:ascii="仿宋" w:hAnsi="仿宋" w:eastAsia="仿宋"/>
          <w:b w:val="0"/>
          <w:spacing w:val="-4"/>
          <w:sz w:val="32"/>
          <w:szCs w:val="32"/>
        </w:rPr>
      </w:pPr>
    </w:p>
    <w:p w14:paraId="5CFAC85C">
      <w:pPr>
        <w:spacing w:line="540" w:lineRule="exact"/>
        <w:ind w:firstLine="567"/>
        <w:rPr>
          <w:rStyle w:val="19"/>
          <w:rFonts w:ascii="仿宋" w:hAnsi="仿宋" w:eastAsia="仿宋"/>
          <w:b w:val="0"/>
          <w:spacing w:val="-4"/>
          <w:sz w:val="32"/>
          <w:szCs w:val="32"/>
        </w:rPr>
      </w:pPr>
    </w:p>
    <w:p w14:paraId="5E38B47E">
      <w:pPr>
        <w:spacing w:line="540" w:lineRule="exact"/>
        <w:ind w:firstLine="567"/>
        <w:rPr>
          <w:rStyle w:val="19"/>
          <w:rFonts w:ascii="仿宋" w:hAnsi="仿宋" w:eastAsia="仿宋"/>
          <w:b w:val="0"/>
          <w:spacing w:val="-4"/>
          <w:sz w:val="32"/>
          <w:szCs w:val="32"/>
        </w:rPr>
      </w:pPr>
    </w:p>
    <w:p w14:paraId="7D9225D3">
      <w:pPr>
        <w:spacing w:line="540" w:lineRule="exact"/>
        <w:ind w:firstLine="567"/>
        <w:rPr>
          <w:rStyle w:val="19"/>
          <w:rFonts w:ascii="仿宋" w:hAnsi="仿宋" w:eastAsia="仿宋"/>
          <w:b w:val="0"/>
          <w:spacing w:val="-4"/>
          <w:sz w:val="32"/>
          <w:szCs w:val="32"/>
        </w:rPr>
      </w:pPr>
    </w:p>
    <w:p w14:paraId="2E61AB73">
      <w:pPr>
        <w:spacing w:line="540" w:lineRule="exact"/>
        <w:ind w:firstLine="567"/>
        <w:rPr>
          <w:rStyle w:val="19"/>
          <w:rFonts w:ascii="仿宋" w:hAnsi="仿宋" w:eastAsia="仿宋"/>
          <w:b w:val="0"/>
          <w:spacing w:val="-4"/>
          <w:sz w:val="32"/>
          <w:szCs w:val="32"/>
        </w:rPr>
      </w:pPr>
    </w:p>
    <w:p w14:paraId="13CDFEF6">
      <w:pPr>
        <w:spacing w:line="540" w:lineRule="exact"/>
        <w:ind w:firstLine="567"/>
        <w:rPr>
          <w:rStyle w:val="19"/>
          <w:rFonts w:ascii="仿宋" w:hAnsi="仿宋" w:eastAsia="仿宋"/>
          <w:b w:val="0"/>
          <w:spacing w:val="-4"/>
          <w:sz w:val="32"/>
          <w:szCs w:val="32"/>
        </w:rPr>
      </w:pPr>
    </w:p>
    <w:p w14:paraId="34154A73">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B1B21EC-0561-424D-B44B-150C1E7D094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C77B9700-4954-4237-9B5E-9F82BA05DD27}"/>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C8236FC8-69E6-403A-A3E3-B0AEFDF375E2}"/>
  </w:font>
  <w:font w:name="华文中宋">
    <w:panose1 w:val="02010600040101010101"/>
    <w:charset w:val="86"/>
    <w:family w:val="auto"/>
    <w:pitch w:val="default"/>
    <w:sig w:usb0="00000287" w:usb1="080F0000" w:usb2="00000000" w:usb3="00000000" w:csb0="0004009F" w:csb1="DFD70000"/>
    <w:embedRegular r:id="rId4" w:fontKey="{4E48E5F3-E44D-4EBD-8291-E6221C81107F}"/>
  </w:font>
  <w:font w:name="方正小标宋_GBK">
    <w:panose1 w:val="02000000000000000000"/>
    <w:charset w:val="86"/>
    <w:family w:val="script"/>
    <w:pitch w:val="default"/>
    <w:sig w:usb0="A00002BF" w:usb1="38CF7CFA" w:usb2="00082016" w:usb3="00000000" w:csb0="00040001" w:csb1="00000000"/>
    <w:embedRegular r:id="rId5" w:fontKey="{4474C8CE-3C91-480C-BF7F-A5D19A81B04E}"/>
  </w:font>
  <w:font w:name="仿宋_GB2312">
    <w:altName w:val="仿宋"/>
    <w:panose1 w:val="02010609030101010101"/>
    <w:charset w:val="86"/>
    <w:family w:val="modern"/>
    <w:pitch w:val="default"/>
    <w:sig w:usb0="00000000" w:usb1="00000000" w:usb2="00000000" w:usb3="00000000" w:csb0="00040000" w:csb1="00000000"/>
    <w:embedRegular r:id="rId6" w:fontKey="{67F7EAE6-ACA3-4F20-A2D0-ACDEF1FEF2D2}"/>
  </w:font>
  <w:font w:name="楷体">
    <w:panose1 w:val="02010609060101010101"/>
    <w:charset w:val="86"/>
    <w:family w:val="modern"/>
    <w:pitch w:val="default"/>
    <w:sig w:usb0="800002BF" w:usb1="38CF7CFA" w:usb2="00000016" w:usb3="00000000" w:csb0="00040001" w:csb1="00000000"/>
    <w:embedRegular r:id="rId7" w:fontKey="{B3183A21-D5A8-49DE-B60D-E818C1A617C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4B884FF1">
        <w:pPr>
          <w:pStyle w:val="12"/>
          <w:jc w:val="center"/>
        </w:pPr>
        <w:r>
          <w:fldChar w:fldCharType="begin"/>
        </w:r>
        <w:r>
          <w:instrText xml:space="preserve">PAGE   \* MERGEFORMAT</w:instrText>
        </w:r>
        <w:r>
          <w:fldChar w:fldCharType="separate"/>
        </w:r>
        <w:r>
          <w:rPr>
            <w:lang w:val="zh-CN"/>
          </w:rPr>
          <w:t>1</w:t>
        </w:r>
        <w:r>
          <w:fldChar w:fldCharType="end"/>
        </w:r>
      </w:p>
    </w:sdtContent>
  </w:sdt>
  <w:p w14:paraId="25CDC652">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8B34F9"/>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fd088b32-7399-40db-a20e-8f6d68dce587}">
  <ds:schemaRefs/>
</ds:datastoreItem>
</file>

<file path=docProps/app.xml><?xml version="1.0" encoding="utf-8"?>
<Properties xmlns="http://schemas.openxmlformats.org/officeDocument/2006/extended-properties" xmlns:vt="http://schemas.openxmlformats.org/officeDocument/2006/docPropsVTypes">
  <Template>Normal.dotm</Template>
  <Pages>21</Pages>
  <Words>9878</Words>
  <Characters>10270</Characters>
  <Lines>5</Lines>
  <Paragraphs>1</Paragraphs>
  <TotalTime>0</TotalTime>
  <ScaleCrop>false</ScaleCrop>
  <LinksUpToDate>false</LinksUpToDate>
  <CharactersWithSpaces>10290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2025-09-22T08:51:52Z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