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SimHei" w:hAnsi="SimHei" w:eastAsia="SimHei"/>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FZXiaoBiaoSong-B05" w:hAnsi="SimSun" w:eastAsia="FZXiaoBiaoSong-B05"/>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FZXiaoBiaoSong-B05" w:hAnsi="SimSun" w:eastAsia="FZXiaoBiaoSong-B05"/>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FZXiaoBiaoSong-B05" w:hAnsi="SimSun" w:eastAsia="FZXiaoBiaoSong-B05"/>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FZXiaoBiaoSong-B05" w:hAnsi="SimSun" w:eastAsia="FZXiaoBiaoSong-B05"/>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FZXiaoBiaoSong-B05" w:hAnsi="SimSun" w:eastAsia="FZXiaoBiaoSong-B05"/>
          <w:sz w:val="44"/>
          <w:szCs w:val="44"/>
          <w:highlight w:val="none"/>
        </w:rPr>
      </w:pPr>
      <w:r>
        <w:rPr>
          <w:rFonts w:hint="eastAsia" w:ascii="FZXiaoBiaoSong-B05" w:hAnsi="SimSun" w:eastAsia="FZXiaoBiaoSong-B05"/>
          <w:sz w:val="44"/>
          <w:szCs w:val="44"/>
          <w:highlight w:val="none"/>
          <w:lang w:val="en-US" w:eastAsia="zh-CN"/>
        </w:rPr>
        <w:t>新疆巴音郭楞蒙古自治州农村合作经济经营管理局2024</w:t>
      </w:r>
      <w:r>
        <w:rPr>
          <w:rFonts w:hint="eastAsia" w:ascii="FZXiaoBiaoSong-B05" w:hAnsi="SimSun" w:eastAsia="FZXiaoBiaoSong-B05"/>
          <w:sz w:val="44"/>
          <w:szCs w:val="44"/>
          <w:highlight w:val="none"/>
          <w:lang w:eastAsia="zh-CN"/>
        </w:rPr>
        <w:t>年度</w:t>
      </w:r>
      <w:r>
        <w:rPr>
          <w:rFonts w:hint="eastAsia" w:ascii="FZXiaoBiaoSong-B05" w:hAnsi="SimSun" w:eastAsia="FZXiaoBiaoSong-B05"/>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FZXiaoBiaoSong-B05" w:hAnsi="SimSun" w:eastAsia="FZXiaoBiaoSong-B05"/>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SimHei" w:hAnsi="SimHei" w:eastAsia="SimHei"/>
          <w:sz w:val="32"/>
        </w:rPr>
        <w:t>第一部分 单位概况</w:t>
      </w:r>
    </w:p>
    <w:p>
      <w:pPr>
        <w:spacing w:line="640" w:lineRule="exact"/>
        <w:ind w:firstLine="640"/>
        <w:jc w:val="both"/>
        <w:outlineLvl w:val="2"/>
      </w:pPr>
      <w:r>
        <w:rPr>
          <w:rFonts w:ascii="SimHei" w:hAnsi="SimHei" w:eastAsia="SimHei"/>
          <w:sz w:val="32"/>
        </w:rPr>
        <w:t>一、主要职能</w:t>
      </w:r>
    </w:p>
    <w:p>
      <w:pPr>
        <w:spacing w:line="580" w:lineRule="exact"/>
        <w:ind w:firstLine="640"/>
        <w:jc w:val="both"/>
      </w:pPr>
      <w:r>
        <w:rPr>
          <w:rFonts w:ascii="仿宋_GB2312" w:hAnsi="仿宋_GB2312" w:eastAsia="仿宋_GB2312"/>
          <w:sz w:val="32"/>
        </w:rPr>
        <w:t>巴州农村合作经济经营管理局主要职能是。</w:t>
      </w:r>
    </w:p>
    <w:p>
      <w:pPr>
        <w:spacing w:line="580" w:lineRule="exact"/>
        <w:ind w:firstLine="640"/>
        <w:jc w:val="both"/>
      </w:pPr>
      <w:r>
        <w:rPr>
          <w:rFonts w:ascii="仿宋_GB2312" w:hAnsi="仿宋_GB2312" w:eastAsia="仿宋_GB2312"/>
          <w:sz w:val="32"/>
        </w:rPr>
        <w:t>1.贯彻执行国家和自治区、自治州关于农业和农村经济工作的方针、政策、法律、法规:宣传、贯彻执行党的减轻农民负担政策，执行《</w:t>
      </w:r>
      <w:r>
        <w:rPr>
          <w:rFonts w:hint="eastAsia" w:ascii="仿宋_GB2312" w:hAnsi="仿宋_GB2312" w:eastAsia="仿宋_GB2312"/>
          <w:sz w:val="32"/>
        </w:rPr>
        <w:t>新疆维吾尔自治区农牧民负担监督管理条例</w:t>
      </w:r>
      <w:r>
        <w:rPr>
          <w:rFonts w:ascii="仿宋_GB2312" w:hAnsi="仿宋_GB2312" w:eastAsia="仿宋_GB2312"/>
          <w:sz w:val="32"/>
        </w:rPr>
        <w:t>》，监督管理农民负担情况，开展农民负担项目审核备案、农牧民负担试点监测。农牧民负担执法检查及农牧民负担案件查处与信访处理等工作:依据《</w:t>
      </w:r>
      <w:r>
        <w:rPr>
          <w:rFonts w:hint="eastAsia" w:ascii="仿宋_GB2312" w:hAnsi="仿宋_GB2312" w:eastAsia="仿宋_GB2312"/>
          <w:sz w:val="32"/>
          <w:lang w:eastAsia="zh-CN"/>
        </w:rPr>
        <w:t>中华人民共和国会计法</w:t>
      </w:r>
      <w:r>
        <w:rPr>
          <w:rFonts w:ascii="仿宋_GB2312" w:hAnsi="仿宋_GB2312" w:eastAsia="仿宋_GB2312"/>
          <w:sz w:val="32"/>
        </w:rPr>
        <w:t>》《村集体经济会计制度》《</w:t>
      </w:r>
      <w:r>
        <w:rPr>
          <w:rFonts w:hint="eastAsia" w:ascii="仿宋_GB2312" w:hAnsi="仿宋_GB2312" w:eastAsia="仿宋_GB2312"/>
          <w:sz w:val="32"/>
        </w:rPr>
        <w:t>新疆维吾尔自治区农村集体经济组织资产管理条例</w:t>
      </w:r>
      <w:r>
        <w:rPr>
          <w:rFonts w:ascii="仿宋_GB2312" w:hAnsi="仿宋_GB2312" w:eastAsia="仿宋_GB2312"/>
          <w:sz w:val="32"/>
        </w:rPr>
        <w:t>》《农业农村部关于进一步加强和规范村级财务管理工作的</w:t>
      </w:r>
      <w:r>
        <w:rPr>
          <w:rFonts w:hint="eastAsia" w:ascii="仿宋_GB2312" w:hAnsi="仿宋_GB2312" w:eastAsia="仿宋_GB2312"/>
          <w:sz w:val="32"/>
          <w:lang w:eastAsia="zh-CN"/>
        </w:rPr>
        <w:t>实行</w:t>
      </w:r>
      <w:r>
        <w:rPr>
          <w:rFonts w:ascii="仿宋_GB2312" w:hAnsi="仿宋_GB2312" w:eastAsia="仿宋_GB2312"/>
          <w:sz w:val="32"/>
        </w:rPr>
        <w:t>办法》《</w:t>
      </w:r>
      <w:r>
        <w:rPr>
          <w:rFonts w:hint="eastAsia" w:ascii="仿宋_GB2312" w:hAnsi="仿宋_GB2312" w:eastAsia="仿宋_GB2312"/>
          <w:sz w:val="32"/>
        </w:rPr>
        <w:t xml:space="preserve">新疆维吾尔自治区农村集体经济审计条例 </w:t>
      </w:r>
      <w:r>
        <w:rPr>
          <w:rFonts w:ascii="仿宋_GB2312" w:hAnsi="仿宋_GB2312" w:eastAsia="仿宋_GB2312"/>
          <w:sz w:val="32"/>
        </w:rPr>
        <w:t>》组织实施农村财务公开制度、农村财务电算化，开展农村财务管理、农村财务审计工作。</w:t>
      </w:r>
    </w:p>
    <w:p>
      <w:pPr>
        <w:spacing w:line="580" w:lineRule="exact"/>
        <w:ind w:firstLine="640"/>
        <w:jc w:val="both"/>
      </w:pPr>
      <w:r>
        <w:rPr>
          <w:rFonts w:ascii="仿宋_GB2312" w:hAnsi="仿宋_GB2312" w:eastAsia="仿宋_GB2312"/>
          <w:sz w:val="32"/>
        </w:rPr>
        <w:t>2.负责对农村财务会计队伍的辅导和管理:贯彻执行农村以家庭经营为基础、统分结合的双层经营体制，全面组织实施《</w:t>
      </w:r>
      <w:r>
        <w:rPr>
          <w:rFonts w:hint="eastAsia" w:ascii="仿宋_GB2312" w:hAnsi="仿宋_GB2312" w:eastAsia="仿宋_GB2312"/>
          <w:sz w:val="32"/>
          <w:lang w:eastAsia="zh-CN"/>
        </w:rPr>
        <w:t>中华人民共和国农村土地承包法</w:t>
      </w:r>
      <w:r>
        <w:rPr>
          <w:rFonts w:ascii="仿宋_GB2312" w:hAnsi="仿宋_GB2312" w:eastAsia="仿宋_GB2312"/>
          <w:sz w:val="32"/>
        </w:rPr>
        <w:t>》、指导全州农村土地承包合同管理、土地承包合同纠纷调解与仲裁、土地承包经营权流转工作</w:t>
      </w:r>
      <w:r>
        <w:rPr>
          <w:rFonts w:hint="eastAsia" w:ascii="仿宋_GB2312" w:hAnsi="仿宋_GB2312" w:eastAsia="仿宋_GB2312"/>
          <w:sz w:val="32"/>
          <w:lang w:eastAsia="zh-CN"/>
        </w:rPr>
        <w:t>；</w:t>
      </w:r>
      <w:r>
        <w:rPr>
          <w:rFonts w:ascii="仿宋_GB2312" w:hAnsi="仿宋_GB2312" w:eastAsia="仿宋_GB2312"/>
          <w:sz w:val="32"/>
        </w:rPr>
        <w:t>负责有关农村经济和社会发展的指标体系的统计工作，执行《</w:t>
      </w:r>
      <w:r>
        <w:rPr>
          <w:rFonts w:hint="eastAsia" w:ascii="仿宋_GB2312" w:hAnsi="仿宋_GB2312" w:eastAsia="仿宋_GB2312"/>
          <w:sz w:val="32"/>
          <w:lang w:eastAsia="zh-CN"/>
        </w:rPr>
        <w:t>中华人民共和国统计法</w:t>
      </w:r>
      <w:r>
        <w:rPr>
          <w:rFonts w:ascii="仿宋_GB2312" w:hAnsi="仿宋_GB2312" w:eastAsia="仿宋_GB2312"/>
          <w:sz w:val="32"/>
        </w:rPr>
        <w:t>》，组织对农村经济收益、农民收入与负担、农村剩余劳动力转移等的监测统计，做好农经统计信息管理，农经统计数据分析和农经统计体系建设及农林牧产品成本核算与效益分析。</w:t>
      </w:r>
    </w:p>
    <w:p>
      <w:pPr>
        <w:spacing w:line="580" w:lineRule="exact"/>
        <w:ind w:firstLine="640"/>
        <w:jc w:val="both"/>
      </w:pPr>
      <w:r>
        <w:rPr>
          <w:rFonts w:ascii="仿宋_GB2312" w:hAnsi="仿宋_GB2312" w:eastAsia="仿宋_GB2312"/>
          <w:sz w:val="32"/>
        </w:rPr>
        <w:t>3.指导农业产业化经营，做好农业产业化规划和政策实施、农业产业化经营组织监测、农业产业化示范区管理、农业行业协会管理等工作，指导农民专业合作经济组织的发展，做好农民专业合作经济组织政策实施，开展对农民专业合作经济组织管理、农民专业合作经济组织设立审查及农民专业合作经济组织试点示范:指导农村社会化服务体系建设。</w:t>
      </w:r>
    </w:p>
    <w:p>
      <w:pPr>
        <w:spacing w:line="640" w:lineRule="exact"/>
        <w:ind w:firstLine="640"/>
        <w:jc w:val="both"/>
        <w:outlineLvl w:val="2"/>
      </w:pPr>
      <w:r>
        <w:rPr>
          <w:rFonts w:ascii="SimHei" w:hAnsi="SimHei" w:eastAsia="SimHei"/>
          <w:sz w:val="32"/>
        </w:rPr>
        <w:t>二、机构设置及人员情况</w:t>
      </w:r>
    </w:p>
    <w:p>
      <w:pPr>
        <w:spacing w:line="580" w:lineRule="exact"/>
        <w:ind w:firstLine="640"/>
        <w:jc w:val="both"/>
      </w:pPr>
      <w:r>
        <w:rPr>
          <w:rFonts w:ascii="仿宋_GB2312" w:hAnsi="仿宋_GB2312" w:eastAsia="仿宋_GB2312"/>
          <w:sz w:val="32"/>
        </w:rPr>
        <w:t>新疆巴音郭楞</w:t>
      </w:r>
      <w:r>
        <w:rPr>
          <w:rFonts w:hint="eastAsia" w:ascii="仿宋_GB2312" w:hAnsi="仿宋_GB2312" w:eastAsia="仿宋_GB2312"/>
          <w:sz w:val="32"/>
          <w:lang w:eastAsia="zh-CN"/>
        </w:rPr>
        <w:t>蒙古自治州</w:t>
      </w:r>
      <w:r>
        <w:rPr>
          <w:rFonts w:ascii="仿宋_GB2312" w:hAnsi="仿宋_GB2312" w:eastAsia="仿宋_GB2312"/>
          <w:sz w:val="32"/>
        </w:rPr>
        <w:t>农村合作经济经营管理局2024年度，实有人数17人，其中：在职人员8人，减少1人；离休人员0人，增加0人；退休人员9人,增加0人。</w:t>
      </w:r>
    </w:p>
    <w:p>
      <w:pPr>
        <w:spacing w:line="580" w:lineRule="exact"/>
        <w:ind w:firstLine="640"/>
        <w:jc w:val="both"/>
      </w:pPr>
      <w:r>
        <w:rPr>
          <w:rFonts w:ascii="仿宋_GB2312" w:hAnsi="仿宋_GB2312" w:eastAsia="仿宋_GB2312"/>
          <w:sz w:val="32"/>
        </w:rPr>
        <w:t>新疆巴音郭楞</w:t>
      </w:r>
      <w:bookmarkStart w:id="0" w:name="_GoBack"/>
      <w:bookmarkEnd w:id="0"/>
      <w:r>
        <w:rPr>
          <w:rFonts w:hint="eastAsia" w:ascii="仿宋_GB2312" w:hAnsi="仿宋_GB2312" w:eastAsia="仿宋_GB2312"/>
          <w:sz w:val="32"/>
          <w:lang w:eastAsia="zh-CN"/>
        </w:rPr>
        <w:t>蒙古自治州</w:t>
      </w:r>
      <w:r>
        <w:rPr>
          <w:rFonts w:ascii="仿宋_GB2312" w:hAnsi="仿宋_GB2312" w:eastAsia="仿宋_GB2312"/>
          <w:sz w:val="32"/>
        </w:rPr>
        <w:t>农村合作经济经营管理局无下属预算单位，下设2个科室，分别是：办公室、业务科。</w:t>
      </w:r>
    </w:p>
    <w:p>
      <w:r>
        <w:br w:type="page"/>
      </w:r>
    </w:p>
    <w:p>
      <w:pPr>
        <w:spacing w:line="240" w:lineRule="auto"/>
        <w:jc w:val="center"/>
        <w:outlineLvl w:val="1"/>
      </w:pPr>
      <w:r>
        <w:rPr>
          <w:rFonts w:ascii="SimHei" w:hAnsi="SimHei" w:eastAsia="SimHei"/>
          <w:sz w:val="32"/>
        </w:rPr>
        <w:t>第二部分 部门决算情况说明</w:t>
      </w:r>
    </w:p>
    <w:p>
      <w:pPr>
        <w:spacing w:line="640" w:lineRule="exact"/>
        <w:ind w:firstLine="640"/>
        <w:jc w:val="both"/>
        <w:outlineLvl w:val="2"/>
      </w:pPr>
      <w:r>
        <w:rPr>
          <w:rFonts w:ascii="SimHei" w:hAnsi="SimHei" w:eastAsia="SimHei"/>
          <w:sz w:val="32"/>
        </w:rPr>
        <w:t>一、收入支出决算总体情况说明</w:t>
      </w:r>
    </w:p>
    <w:p>
      <w:pPr>
        <w:spacing w:line="580" w:lineRule="exact"/>
        <w:ind w:firstLine="640"/>
        <w:jc w:val="both"/>
      </w:pPr>
      <w:r>
        <w:rPr>
          <w:rFonts w:ascii="仿宋_GB2312" w:hAnsi="仿宋_GB2312" w:eastAsia="仿宋_GB2312"/>
          <w:b/>
          <w:sz w:val="32"/>
        </w:rPr>
        <w:t>2024年度收入总计247.06万元，</w:t>
      </w:r>
      <w:r>
        <w:rPr>
          <w:rFonts w:ascii="仿宋_GB2312" w:hAnsi="仿宋_GB2312" w:eastAsia="仿宋_GB2312"/>
          <w:b w:val="0"/>
          <w:sz w:val="32"/>
        </w:rPr>
        <w:t>其中：本年收入合计247.06万元，使用非财政拨款结余（含专用结余）0.00万元，年初结转和结余0.00万元。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2024年度支出总计247.06万元，</w:t>
      </w:r>
      <w:r>
        <w:rPr>
          <w:rFonts w:ascii="仿宋_GB2312" w:hAnsi="仿宋_GB2312" w:eastAsia="仿宋_GB2312"/>
          <w:b w:val="0"/>
          <w:sz w:val="32"/>
        </w:rPr>
        <w:t>其中：本年支出合计247.06万元，结余分配0.00万元，年末结转和结余0.00万元。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增加32.15万元，增长14.96%，主要原因是：本年在职人员工资调增，社保、公积金基数调增，人员经费增加；本年有一名退休干部去世，死亡抚恤支出增加；本年有一名在职干部退休，职业年金支出增加，导致经费较上年增加。</w:t>
      </w:r>
    </w:p>
    <w:p>
      <w:pPr>
        <w:spacing w:line="640" w:lineRule="exact"/>
        <w:ind w:firstLine="640"/>
        <w:jc w:val="both"/>
        <w:outlineLvl w:val="2"/>
      </w:pPr>
      <w:r>
        <w:rPr>
          <w:rFonts w:ascii="SimHei" w:hAnsi="SimHei" w:eastAsia="SimHei"/>
          <w:sz w:val="32"/>
        </w:rPr>
        <w:t>二、收入决算情况说明</w:t>
      </w:r>
    </w:p>
    <w:p>
      <w:pPr>
        <w:spacing w:line="580" w:lineRule="exact"/>
        <w:ind w:firstLine="640"/>
        <w:jc w:val="both"/>
      </w:pPr>
      <w:r>
        <w:rPr>
          <w:rFonts w:ascii="仿宋_GB2312" w:hAnsi="仿宋_GB2312" w:eastAsia="仿宋_GB2312"/>
          <w:b/>
          <w:sz w:val="32"/>
        </w:rPr>
        <w:t>本年收入247.06万元，</w:t>
      </w:r>
      <w:r>
        <w:rPr>
          <w:rFonts w:ascii="仿宋_GB2312" w:hAnsi="仿宋_GB2312" w:eastAsia="仿宋_GB2312"/>
          <w:b w:val="0"/>
          <w:sz w:val="32"/>
        </w:rPr>
        <w:t>其中：财政拨款收入247.06万元，占100.00%；上级补助收入0.00万元，占0.00%；事业收入0.00万元，占0.00%；经营收入0.00万元，占0.00%；附属单位上缴收入0.00万元，占0.00%；其他收入0.00万元，占0.00%。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SimHei" w:hAnsi="SimHei" w:eastAsia="SimHei"/>
          <w:sz w:val="32"/>
        </w:rPr>
        <w:t>三、支出决算情况说明</w:t>
      </w:r>
    </w:p>
    <w:p>
      <w:pPr>
        <w:spacing w:line="580" w:lineRule="exact"/>
        <w:ind w:firstLine="640"/>
        <w:jc w:val="both"/>
      </w:pPr>
      <w:r>
        <w:rPr>
          <w:rFonts w:ascii="仿宋_GB2312" w:hAnsi="仿宋_GB2312" w:eastAsia="仿宋_GB2312"/>
          <w:b/>
          <w:sz w:val="32"/>
        </w:rPr>
        <w:t>本年支出247.06万元，</w:t>
      </w:r>
      <w:r>
        <w:rPr>
          <w:rFonts w:ascii="仿宋_GB2312" w:hAnsi="仿宋_GB2312" w:eastAsia="仿宋_GB2312"/>
          <w:b w:val="0"/>
          <w:sz w:val="32"/>
        </w:rPr>
        <w:t>其中：基本支出200.66万元，占81.22%；项目支出46.40万元，占18.78%；上缴上级支出0.00万元，占0.00%；经营支出0.00万元，占0.00%；对附属单位补助支出0.00万元，占0.00%。</w:t>
      </w:r>
    </w:p>
    <w:p>
      <w:pPr>
        <w:spacing w:line="640" w:lineRule="exact"/>
        <w:ind w:firstLine="640"/>
        <w:jc w:val="both"/>
        <w:outlineLvl w:val="2"/>
      </w:pPr>
      <w:r>
        <w:rPr>
          <w:rFonts w:ascii="SimHei" w:hAnsi="SimHei" w:eastAsia="SimHei"/>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2024年度财政拨款收入总计247.06万元，</w:t>
      </w:r>
      <w:r>
        <w:rPr>
          <w:rFonts w:ascii="仿宋_GB2312" w:hAnsi="仿宋_GB2312" w:eastAsia="仿宋_GB2312"/>
          <w:b w:val="0"/>
          <w:sz w:val="32"/>
        </w:rPr>
        <w:t>其中：年初财政拨款结转和结余0.00万元，本年财政拨款收入247.06万元。</w:t>
      </w:r>
      <w:r>
        <w:rPr>
          <w:rFonts w:ascii="仿宋_GB2312" w:hAnsi="仿宋_GB2312" w:eastAsia="仿宋_GB2312"/>
          <w:b/>
          <w:sz w:val="32"/>
        </w:rPr>
        <w:t>财政拨款支出总计247.06万元，</w:t>
      </w:r>
      <w:r>
        <w:rPr>
          <w:rFonts w:ascii="仿宋_GB2312" w:hAnsi="仿宋_GB2312" w:eastAsia="仿宋_GB2312"/>
          <w:b w:val="0"/>
          <w:sz w:val="32"/>
        </w:rPr>
        <w:t>其中：年末财政拨款结转和结余0.00万元，本年财政拨款支出247.06万元。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32.15万元，增长14.96%，主要原因是：本年在职人员工资调增，社保、公积金基数调增，人员经费增加；本年有一名退休干部去世，死亡抚恤支出增加；本年有一名在职干部退休，职业年金支出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年初预算数213.75万元，决算数247.06万元，预决算差异率15.58%，主要原因是：年中追加新型农业经营主体培育项目，导致预决算存在差异。</w:t>
      </w:r>
    </w:p>
    <w:p>
      <w:pPr>
        <w:spacing w:line="640" w:lineRule="exact"/>
        <w:ind w:firstLine="640"/>
        <w:jc w:val="both"/>
        <w:outlineLvl w:val="2"/>
      </w:pPr>
      <w:r>
        <w:rPr>
          <w:rFonts w:ascii="SimHei" w:hAnsi="SimHei" w:eastAsia="SimHei"/>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2024年度一般公共预算财政拨款支出247.06万元，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32.15万元，增长14.96%，主要原因是：本年在职人员工资调增，社保、公积金基数调增，人员经费增加；本年有一名退休干部去世，死亡抚恤支出增加；本年有一名在职干部退休，职业年金支出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年初预算数213.75万元，决算数247.06万元，预决算差异率15.58%，主要原因是：年中追加新型农业经营主体培育项目，导致预决算存在差异。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1.教育支出(类)0.62万元,占0.25%。</w:t>
      </w:r>
    </w:p>
    <w:p>
      <w:pPr>
        <w:spacing w:line="580" w:lineRule="exact"/>
        <w:ind w:firstLine="640"/>
        <w:jc w:val="both"/>
      </w:pPr>
      <w:r>
        <w:rPr>
          <w:rFonts w:ascii="仿宋_GB2312" w:hAnsi="仿宋_GB2312" w:eastAsia="仿宋_GB2312"/>
          <w:b w:val="0"/>
          <w:sz w:val="32"/>
        </w:rPr>
        <w:t>2.社会保障和就业支出(类)55.57万元,占22.49%。</w:t>
      </w:r>
    </w:p>
    <w:p>
      <w:pPr>
        <w:spacing w:line="580" w:lineRule="exact"/>
        <w:ind w:firstLine="640"/>
        <w:jc w:val="both"/>
      </w:pPr>
      <w:r>
        <w:rPr>
          <w:rFonts w:ascii="仿宋_GB2312" w:hAnsi="仿宋_GB2312" w:eastAsia="仿宋_GB2312"/>
          <w:b w:val="0"/>
          <w:sz w:val="32"/>
        </w:rPr>
        <w:t>3.卫生健康支出(类)9.53万元,占3.86%。</w:t>
      </w:r>
    </w:p>
    <w:p>
      <w:pPr>
        <w:spacing w:line="580" w:lineRule="exact"/>
        <w:ind w:firstLine="640"/>
        <w:jc w:val="both"/>
      </w:pPr>
      <w:r>
        <w:rPr>
          <w:rFonts w:ascii="仿宋_GB2312" w:hAnsi="仿宋_GB2312" w:eastAsia="仿宋_GB2312"/>
          <w:b w:val="0"/>
          <w:sz w:val="32"/>
        </w:rPr>
        <w:t>4.农林水支出(类)169.01万元,占68.41%。</w:t>
      </w:r>
    </w:p>
    <w:p>
      <w:pPr>
        <w:spacing w:line="580" w:lineRule="exact"/>
        <w:ind w:firstLine="640"/>
        <w:jc w:val="both"/>
      </w:pPr>
      <w:r>
        <w:rPr>
          <w:rFonts w:ascii="仿宋_GB2312" w:hAnsi="仿宋_GB2312" w:eastAsia="仿宋_GB2312"/>
          <w:b w:val="0"/>
          <w:sz w:val="32"/>
        </w:rPr>
        <w:t>5.住房保障支出(类)12.34万元,占4.99%。</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1.教育支出(类)进修及培训(款)培训支出(项):支出决算数为0.62万元，比上年决算增加0.05万元，增长8.77%,主要原因是：本年加大对在职干部的教育培训，相应教育培训费用增加。</w:t>
      </w:r>
    </w:p>
    <w:p>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2.社会保障和就业支出(类)行政事业单位养老支出(款)行政单位离退休(项):支出决算数为9.74万元，比上年决算增加2.04万元，增长26.49%,主要原因是：本年增加退休人员基础绩效奖，退休费支出增加。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14.85万元，比上年决算增加1.37万元，增长10.16%,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4.社会保障和就业支出(类)行政事业单位养老支出(款)机关事业单位职业年金缴费支出(项):支出决算数为7.33万元，比上年决算增加7.33万元，增长100.00%,主要原因是：本年新增退休人员，职业年金缴费支出增加。</w:t>
      </w:r>
    </w:p>
    <w:p>
      <w:pPr>
        <w:spacing w:line="580" w:lineRule="exact"/>
        <w:ind w:firstLine="640"/>
        <w:jc w:val="both"/>
      </w:pPr>
      <w:r>
        <w:rPr>
          <w:rFonts w:ascii="仿宋_GB2312" w:hAnsi="仿宋_GB2312" w:eastAsia="仿宋_GB2312"/>
          <w:b w:val="0"/>
          <w:sz w:val="32"/>
        </w:rPr>
        <w:t>5.社会保障和就业支出(类)抚恤(款)死亡抚恤(项):支出决算数为23.64万元，比上年决算增加23.64万元，增长100.00%,主要原因是：本年新增死亡人员，死亡抚恤支出增加。</w:t>
      </w:r>
    </w:p>
    <w:p>
      <w:pPr>
        <w:spacing w:line="580" w:lineRule="exact"/>
        <w:ind w:firstLine="640"/>
        <w:jc w:val="both"/>
      </w:pPr>
      <w:r>
        <w:rPr>
          <w:rFonts w:ascii="仿宋_GB2312" w:hAnsi="仿宋_GB2312" w:eastAsia="仿宋_GB2312"/>
          <w:b w:val="0"/>
          <w:sz w:val="32"/>
        </w:rPr>
        <w:t>6.卫生健康支出(类)行政事业单位医疗(款)行政单位医疗(项):支出决算数为6.5万元，比上年决算增加0.60万元，增长10.17%,主要原因是：本年在职人员工资基数调增，医疗缴费基数上涨，相应支出增加。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7.卫生健康支出(类)行政事业单位医疗(款)公务员医疗补助(项):支出决算数为2.78万元，比上年决算增加0.25万元，增长9.88%,主要原因是：本年在职人员工资基数调增，医疗缴费基数上涨，相应支出增加。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8.卫生健康支出(类)行政事业单位医疗(款)其他行政事业单位医疗支出(项):支出决算数为0.25万元，比上年决算减少0.17万元，下降40.48%,主要原因是：本年在职人员减少，其他行政事业单位医疗支出较上年减少。</w:t>
      </w:r>
    </w:p>
    <w:p>
      <w:pPr>
        <w:spacing w:line="580" w:lineRule="exact"/>
        <w:ind w:firstLine="640"/>
        <w:jc w:val="both"/>
      </w:pPr>
      <w:r>
        <w:rPr>
          <w:rFonts w:ascii="仿宋_GB2312" w:hAnsi="仿宋_GB2312" w:eastAsia="仿宋_GB2312"/>
          <w:b w:val="0"/>
          <w:sz w:val="32"/>
        </w:rPr>
        <w:t>9.农林水支出(类)农业农村(款)行政运行(项):支出决算数为122.61万元，比上年决算增加8.19万元，增长7.16%,主要原因是：本年在职人员工资调增，导致相关人员经费较上年有所增加。</w:t>
      </w:r>
    </w:p>
    <w:p>
      <w:pPr>
        <w:spacing w:line="580" w:lineRule="exact"/>
        <w:ind w:firstLine="640"/>
        <w:jc w:val="both"/>
      </w:pPr>
      <w:r>
        <w:rPr>
          <w:rFonts w:ascii="仿宋_GB2312" w:hAnsi="仿宋_GB2312" w:eastAsia="仿宋_GB2312"/>
          <w:b w:val="0"/>
          <w:sz w:val="32"/>
        </w:rPr>
        <w:t>10.农林水支出(类)农业农村(款)农村合作经济(项):支出决算数为28.4万元，比上年决算减少31.88万元，下降52.89%,主要原因是：本年减少农村合作经济及深化改革项目资金，相关支出减少。本年功能科目调整，新型农业经营主体项目资金由农村合作经济科目调整至其他农业农村支出科目列支，相关支出减少。</w:t>
      </w:r>
    </w:p>
    <w:p>
      <w:pPr>
        <w:spacing w:line="580" w:lineRule="exact"/>
        <w:ind w:firstLine="640"/>
        <w:jc w:val="both"/>
      </w:pPr>
      <w:r>
        <w:rPr>
          <w:rFonts w:ascii="仿宋_GB2312" w:hAnsi="仿宋_GB2312" w:eastAsia="仿宋_GB2312"/>
          <w:b w:val="0"/>
          <w:sz w:val="32"/>
        </w:rPr>
        <w:t>11.农林水支出(类)农业农村(款)其他农业农村支出(项):支出决算数为18万元，比上年决算增加17.85万元，增长11,900.00%,主要原因是：本年功能科目调整，新型农业经营主体项目资金由农村合作经济科目调整至本科目列支，相关支出增加。</w:t>
      </w:r>
    </w:p>
    <w:p>
      <w:pPr>
        <w:spacing w:line="580" w:lineRule="exact"/>
        <w:ind w:firstLine="640"/>
        <w:jc w:val="both"/>
      </w:pPr>
      <w:r>
        <w:rPr>
          <w:rFonts w:ascii="仿宋_GB2312" w:hAnsi="仿宋_GB2312" w:eastAsia="仿宋_GB2312"/>
          <w:b w:val="0"/>
          <w:sz w:val="32"/>
        </w:rPr>
        <w:t>12.住房保障支出(类)住房改革支出(款)住房公积金(项):支出决算数为12.34万元，比上年决算增加2.88万元，增长30.44%,主要原因是：本年在职人员工资基数调增，公积金缴费基数上涨，相应支出增加。</w:t>
      </w:r>
    </w:p>
    <w:p>
      <w:pPr>
        <w:spacing w:line="640" w:lineRule="exact"/>
        <w:ind w:firstLine="640"/>
        <w:jc w:val="both"/>
        <w:outlineLvl w:val="2"/>
      </w:pPr>
      <w:r>
        <w:rPr>
          <w:rFonts w:ascii="SimHei" w:hAnsi="SimHei" w:eastAsia="SimHei"/>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2024年度一般公共预算财政拨款基本支出200.66万元，其中：</w:t>
      </w:r>
      <w:r>
        <w:rPr>
          <w:rFonts w:ascii="仿宋_GB2312" w:hAnsi="仿宋_GB2312" w:eastAsia="仿宋_GB2312"/>
          <w:b/>
          <w:sz w:val="32"/>
        </w:rPr>
        <w:t>人员经费188.42万元，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包括：基本工资、津贴补贴、奖金、伙食补助费、机关事业单位基本养老保险缴费、职业年金缴费、职工基本医疗保险缴费、公务员医疗补助缴费、其他社会保障缴费、住房公积金、退休费、抚恤金、奖励金。</w:t>
      </w:r>
    </w:p>
    <w:p>
      <w:pPr>
        <w:spacing w:line="580" w:lineRule="exact"/>
        <w:ind w:firstLine="640"/>
        <w:jc w:val="both"/>
      </w:pPr>
      <w:r>
        <w:rPr>
          <w:rFonts w:ascii="仿宋_GB2312" w:hAnsi="仿宋_GB2312" w:eastAsia="仿宋_GB2312"/>
          <w:b/>
          <w:sz w:val="32"/>
        </w:rPr>
        <w:t>公用经费12.24万元，</w:t>
      </w:r>
      <w:r>
        <w:rPr>
          <w:rFonts w:ascii="仿宋_GB2312" w:hAnsi="仿宋_GB2312" w:eastAsia="仿宋_GB2312"/>
          <w:b w:val="0"/>
          <w:sz w:val="32"/>
        </w:rPr>
        <w:t>包括：办公费、邮电费、差旅费、租赁费、培训费、劳务费、工会经费、福利费、公务用车运行维护费、其他商品和服务支出。</w:t>
      </w:r>
    </w:p>
    <w:p>
      <w:pPr>
        <w:spacing w:line="640" w:lineRule="exact"/>
        <w:ind w:firstLine="640"/>
        <w:jc w:val="both"/>
        <w:outlineLvl w:val="2"/>
      </w:pPr>
      <w:r>
        <w:rPr>
          <w:rFonts w:ascii="SimHei" w:hAnsi="SimHei" w:eastAsia="SimHei"/>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SimHei" w:hAnsi="SimHei" w:eastAsia="SimHei"/>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SimHei" w:hAnsi="SimHei" w:eastAsia="SimHei"/>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2024年度财政拨款“三公”经费支出4.70万元，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4.70万元，占100.00%，比上年增加0.00万元，增长0.00%，主要原因是：本单位公务用车运行维护费与上年一致无变化。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4.70万元，其中：公务用车购置费0.00万元，公务用车运行维护费4.70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4.70万元，决算数4.70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4.70万元，决算数4.70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SimHei" w:hAnsi="SimHei" w:eastAsia="SimHei"/>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2024年度新疆巴音郭楞</w:t>
      </w:r>
      <w:r>
        <w:rPr>
          <w:rFonts w:hint="eastAsia" w:ascii="仿宋_GB2312" w:hAnsi="仿宋_GB2312" w:eastAsia="仿宋_GB2312"/>
          <w:b w:val="0"/>
          <w:sz w:val="32"/>
          <w:lang w:eastAsia="zh-CN"/>
        </w:rPr>
        <w:t>蒙古自治州</w:t>
      </w:r>
      <w:r>
        <w:rPr>
          <w:rFonts w:ascii="仿宋_GB2312" w:hAnsi="仿宋_GB2312" w:eastAsia="仿宋_GB2312"/>
          <w:b w:val="0"/>
          <w:sz w:val="32"/>
        </w:rPr>
        <w:t>农村合作经济经营管理局（行政单位和参照公务员法管理事业单位）机关运行经费支出12.24万元，比上年增加3.66万元，增长42.66%，主要原因是：本年业务量增加，办公费、差旅费等经费增加，机关运行经费支出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2024年度政府采购支出总额15.92万元，其中：政府采购货物支出8.93万元、政府采购工程支出0.00万元、政府采购服务支出6.99万元。</w:t>
      </w:r>
    </w:p>
    <w:p>
      <w:pPr>
        <w:spacing w:line="580" w:lineRule="exact"/>
        <w:ind w:firstLine="640"/>
        <w:jc w:val="both"/>
      </w:pPr>
      <w:r>
        <w:rPr>
          <w:rFonts w:ascii="仿宋_GB2312" w:hAnsi="仿宋_GB2312" w:eastAsia="仿宋_GB2312"/>
          <w:b w:val="0"/>
          <w:sz w:val="32"/>
        </w:rPr>
        <w:t>授予中小企业合同金额15.92万元，占政府采购支出总额的100.00%，其中：授予小微企业合同金额15.92万元，占政府采购支出总额的100.00%。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1辆，价值24.52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pPr>
        <w:spacing w:line="640" w:lineRule="exact"/>
        <w:ind w:firstLine="640"/>
        <w:jc w:val="both"/>
        <w:outlineLvl w:val="2"/>
      </w:pPr>
      <w:r>
        <w:rPr>
          <w:rFonts w:ascii="SimHei" w:hAnsi="SimHei" w:eastAsia="SimHei"/>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2个，全年预算数46.40万元，全年执行数46.40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强化预算单位绩效管理的主体责任，将绩效目标、绩效监控、绩效自评等绩效工具，作为提高资金使用效益的重要抓手，积极配合财政部门检查、督促、重点评价等方式加强监督管理；二是总结经验，加强资金使用管理，严格按照执行资金批准的使用计划和批复资料，认真执行资金管理和财务管理制度，严格执行国家有关财务规章制度规定的开支范围及开支标准，确保资金用到实处，发挥效益。具体附项目支出绩效自评表和评价报告。</w:t>
      </w:r>
    </w:p>
    <w:p>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13"/>
        <w:gridCol w:w="696"/>
        <w:gridCol w:w="613"/>
        <w:gridCol w:w="625"/>
        <w:gridCol w:w="619"/>
        <w:gridCol w:w="613"/>
        <w:gridCol w:w="613"/>
        <w:gridCol w:w="776"/>
        <w:gridCol w:w="777"/>
        <w:gridCol w:w="632"/>
        <w:gridCol w:w="632"/>
      </w:tblGrid>
      <w:tr>
        <w:tblPrEx>
          <w:tblCellMar>
            <w:top w:w="0" w:type="dxa"/>
            <w:left w:w="108" w:type="dxa"/>
            <w:bottom w:w="0" w:type="dxa"/>
            <w:right w:w="108" w:type="dxa"/>
          </w:tblCellMar>
        </w:tblPrEx>
        <w:tc>
          <w:tcPr>
            <w:tcW w:w="9060" w:type="dxa"/>
            <w:gridSpan w:val="14"/>
            <w:vAlign w:val="center"/>
          </w:tcPr>
          <w:p>
            <w:pPr>
              <w:jc w:val="center"/>
            </w:pPr>
            <w:r>
              <w:rPr>
                <w:rFonts w:ascii="SimSun" w:hAnsi="SimSun" w:eastAsia="SimSun"/>
                <w:sz w:val="24"/>
              </w:rPr>
              <w:t>项目支出绩效自评表</w:t>
            </w:r>
          </w:p>
        </w:tc>
      </w:tr>
      <w:tr>
        <w:tblPrEx>
          <w:tblCellMar>
            <w:top w:w="0" w:type="dxa"/>
            <w:left w:w="108" w:type="dxa"/>
            <w:bottom w:w="0" w:type="dxa"/>
            <w:right w:w="108" w:type="dxa"/>
          </w:tblCellMar>
        </w:tblPrEx>
        <w:tc>
          <w:tcPr>
            <w:tcW w:w="9060" w:type="dxa"/>
            <w:gridSpan w:val="14"/>
            <w:vAlign w:val="center"/>
          </w:tcPr>
          <w:p>
            <w:pPr>
              <w:jc w:val="center"/>
            </w:pPr>
            <w:r>
              <w:rPr>
                <w:rFonts w:ascii="SimSun" w:hAnsi="SimSun" w:eastAsia="SimSun"/>
                <w:sz w:val="24"/>
              </w:rPr>
              <w:t>(2024年度)</w:t>
            </w:r>
          </w:p>
        </w:tc>
      </w:tr>
      <w:tr>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项目名称</w:t>
            </w:r>
          </w:p>
        </w:tc>
        <w:tc>
          <w:tcPr>
            <w:tcW w:w="8435"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农村经济经营管理及深化农村改革项目</w:t>
            </w:r>
          </w:p>
        </w:tc>
      </w:tr>
      <w:tr>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主管部门</w:t>
            </w:r>
          </w:p>
        </w:tc>
        <w:tc>
          <w:tcPr>
            <w:tcW w:w="43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新疆巴音郭楞</w:t>
            </w:r>
            <w:r>
              <w:rPr>
                <w:rFonts w:hint="eastAsia" w:ascii="SimSun" w:hAnsi="SimSun"/>
                <w:sz w:val="16"/>
                <w:lang w:eastAsia="zh-CN"/>
              </w:rPr>
              <w:t>蒙古自治州</w:t>
            </w:r>
            <w:r>
              <w:rPr>
                <w:rFonts w:ascii="SimSun" w:hAnsi="SimSun" w:eastAsia="SimSun"/>
                <w:sz w:val="16"/>
              </w:rPr>
              <w:t>农村合作经济经营管理局</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实施单位</w:t>
            </w:r>
          </w:p>
        </w:tc>
        <w:tc>
          <w:tcPr>
            <w:tcW w:w="343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新疆巴音郭楞</w:t>
            </w:r>
            <w:r>
              <w:rPr>
                <w:rFonts w:hint="eastAsia" w:ascii="SimSun" w:hAnsi="SimSun"/>
                <w:sz w:val="16"/>
                <w:lang w:eastAsia="zh-CN"/>
              </w:rPr>
              <w:t>蒙古自治州</w:t>
            </w:r>
            <w:r>
              <w:rPr>
                <w:rFonts w:ascii="SimSun" w:hAnsi="SimSun" w:eastAsia="SimSun"/>
                <w:sz w:val="16"/>
              </w:rPr>
              <w:t>农村合作经济经营管理局</w:t>
            </w:r>
          </w:p>
        </w:tc>
      </w:tr>
      <w:tr>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3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年初预算数</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全年预算数</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全年执行数</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分值权重</w:t>
            </w:r>
          </w:p>
        </w:tc>
        <w:tc>
          <w:tcPr>
            <w:tcW w:w="14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得分</w:t>
            </w:r>
          </w:p>
        </w:tc>
      </w:tr>
      <w:tr>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项目资金 （万元）</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年度资金总额</w:t>
            </w:r>
          </w:p>
        </w:tc>
        <w:tc>
          <w:tcPr>
            <w:tcW w:w="13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28.40</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28.40</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28.40</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14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10.00</w:t>
            </w: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其中：当年财政拨款</w:t>
            </w:r>
          </w:p>
        </w:tc>
        <w:tc>
          <w:tcPr>
            <w:tcW w:w="13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28.40</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28.40</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28.40</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4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其他资金</w:t>
            </w:r>
          </w:p>
        </w:tc>
        <w:tc>
          <w:tcPr>
            <w:tcW w:w="13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4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r>
      <w:tr>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年度总体目标</w:t>
            </w:r>
          </w:p>
        </w:tc>
        <w:tc>
          <w:tcPr>
            <w:tcW w:w="5005"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总体目标</w:t>
            </w:r>
          </w:p>
        </w:tc>
        <w:tc>
          <w:tcPr>
            <w:tcW w:w="343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总体目标完成情况</w:t>
            </w: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5005"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SimSun" w:hAnsi="SimSun" w:eastAsia="SimSun"/>
                <w:sz w:val="16"/>
              </w:rPr>
              <w:t>为认真贯彻落实中央、自治区、自治州农业农村工作会议，巩固和完善农村基本经营制度，稳步推进农村土地“三权”分置，巩固和完善农村集体产权制度改革成果，提升新型农村集体经济发展水平，巩固和完善现代农业经营体系，提升新型农业经营主体高质量发展活力，巩固和完善小农户和现代农业衔接机制，提升农业社会化服务水平，着力推动巴州农经工作迈上新台阶，促进农业农村高质量发展</w:t>
            </w:r>
            <w:r>
              <w:rPr>
                <w:rFonts w:hint="eastAsia" w:ascii="SimSun" w:hAnsi="SimSun"/>
                <w:sz w:val="16"/>
                <w:lang w:eastAsia="zh-CN"/>
              </w:rPr>
              <w:t>，为</w:t>
            </w:r>
            <w:r>
              <w:rPr>
                <w:rFonts w:ascii="SimSun" w:hAnsi="SimSun" w:eastAsia="SimSun"/>
                <w:sz w:val="16"/>
              </w:rPr>
              <w:t>全面推进乡村振兴提供坚强的制度保障。围绕实施方案总体目标，确保2024年各项农经工作圆满完成。一是鉴于农民专业合作社法律和制度的重新修订，2024年编印《农民专业合作社法律政策汇编》1000余本，用于指导基层农经人员和合作社深刻理解相关法律政策，提升规范化建设水平；二是通过线下，分类型、分层次、分阶段开展县市、乡镇、村集体经济组织等负责人、业务骨干培训不少于3期4.5天300人；三是针对农村深化改革和农村合作经济经营管理业务工作，开展9个县市农经业务调研指导服务不少于12次，完成调研报告2篇。</w:t>
            </w:r>
          </w:p>
        </w:tc>
        <w:tc>
          <w:tcPr>
            <w:tcW w:w="343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SimSun" w:hAnsi="SimSun" w:eastAsia="SimSun"/>
                <w:sz w:val="16"/>
              </w:rPr>
              <w:t>2024年</w:t>
            </w:r>
            <w:r>
              <w:rPr>
                <w:rFonts w:hint="eastAsia" w:ascii="SimSun" w:hAnsi="SimSun"/>
                <w:sz w:val="16"/>
                <w:lang w:eastAsia="zh-CN"/>
              </w:rPr>
              <w:t>本单位</w:t>
            </w:r>
            <w:r>
              <w:rPr>
                <w:rFonts w:ascii="SimSun" w:hAnsi="SimSun" w:eastAsia="SimSun"/>
                <w:sz w:val="16"/>
              </w:rPr>
              <w:t>完成编印《农民专业合作社法律政策汇编》1165本；开展业务骨干培训2期，6天，223人；对9个县市开展农经业务调研指导12次；完成调研报告2篇。通过项目实施，圆满完成了2024年各项农经工作，有力推动巴州农经工作迈上新台阶，促进农业农村高质量发展。</w:t>
            </w:r>
          </w:p>
        </w:tc>
      </w:tr>
      <w:tr>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一级指标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二级指标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指标值设定依据</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上年完成值</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指标分值权重</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指标赋分规则</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指标实际完成值</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偏差原因分析及改进措施</w:t>
            </w:r>
          </w:p>
        </w:tc>
      </w:tr>
      <w:tr>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年度绩效指标完成情况</w:t>
            </w:r>
          </w:p>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产出指标</w:t>
            </w:r>
          </w:p>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数量指标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编印农民专业合作社法律政策汇编资料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&gt;=1000册</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1000册</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=1165册</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116.5%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偏差原因：由于</w:t>
            </w:r>
            <w:r>
              <w:rPr>
                <w:rFonts w:hint="eastAsia" w:ascii="SimSun" w:hAnsi="SimSun"/>
                <w:sz w:val="16"/>
                <w:lang w:eastAsia="zh-CN"/>
              </w:rPr>
              <w:t>本单位</w:t>
            </w:r>
            <w:r>
              <w:rPr>
                <w:rFonts w:ascii="SimSun" w:hAnsi="SimSun" w:eastAsia="SimSun"/>
                <w:sz w:val="16"/>
              </w:rPr>
              <w:t>严格控制经费，降低成本，故在原有经费的基础上，增加了印刷数量。</w:t>
            </w: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农经业务工作培训天数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&gt;=5天</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3.5天</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=6天</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偏差原因：该项目培训报到2天，培训4天，实际培训总天数6天。</w:t>
            </w: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农经业务工作培训次数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&gt;=2次</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2次</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=2次</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农经业务工作培训人数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&gt;=210人</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100人</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=223人</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106.19%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偏差原因：为满足学员的培训需求，故增加了部分县市培训名额。</w:t>
            </w: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开展县市调研指导服务工作次数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&gt;=12次</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24次</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=12次</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完成调研报告数量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&gt;=2篇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2篇</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=2篇</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办公用品采购次数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&gt;=6批次</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=6批次</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设备采购数量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&gt;=7台</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=7台</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质量指标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培训出勤率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&gt;=95%</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95%</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=99.54%</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偏差原因：由于</w:t>
            </w:r>
            <w:r>
              <w:rPr>
                <w:rFonts w:hint="eastAsia" w:ascii="SimSun" w:hAnsi="SimSun"/>
                <w:sz w:val="16"/>
                <w:lang w:eastAsia="zh-CN"/>
              </w:rPr>
              <w:t>本单位</w:t>
            </w:r>
            <w:r>
              <w:rPr>
                <w:rFonts w:ascii="SimSun" w:hAnsi="SimSun" w:eastAsia="SimSun"/>
                <w:sz w:val="16"/>
              </w:rPr>
              <w:t>课程设置合理，符合学员培训需求，故学员出勤率较高。</w:t>
            </w: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办公用品采购质量合格率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偏差原因：由于</w:t>
            </w:r>
            <w:r>
              <w:rPr>
                <w:rFonts w:hint="eastAsia" w:ascii="SimSun" w:hAnsi="SimSun"/>
                <w:sz w:val="16"/>
                <w:lang w:eastAsia="zh-CN"/>
              </w:rPr>
              <w:t>本单位</w:t>
            </w:r>
            <w:r>
              <w:rPr>
                <w:rFonts w:ascii="SimSun" w:hAnsi="SimSun" w:eastAsia="SimSun"/>
                <w:sz w:val="16"/>
              </w:rPr>
              <w:t>采购人员对产品质量严格把控，故办公用品采购质量较高。</w:t>
            </w: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政府采购率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偏差原因：由于</w:t>
            </w:r>
            <w:r>
              <w:rPr>
                <w:rFonts w:hint="eastAsia" w:ascii="SimSun" w:hAnsi="SimSun"/>
                <w:sz w:val="16"/>
                <w:lang w:eastAsia="zh-CN"/>
              </w:rPr>
              <w:t>本单位</w:t>
            </w:r>
            <w:r>
              <w:rPr>
                <w:rFonts w:ascii="SimSun" w:hAnsi="SimSun" w:eastAsia="SimSun"/>
                <w:sz w:val="16"/>
              </w:rPr>
              <w:t>严格按照政府采购要求应采尽采，故政府采购率较高。</w:t>
            </w: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设备质量合格率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&gt;=95%</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偏差原因：由于</w:t>
            </w:r>
            <w:r>
              <w:rPr>
                <w:rFonts w:hint="eastAsia" w:ascii="SimSun" w:hAnsi="SimSun"/>
                <w:sz w:val="16"/>
                <w:lang w:eastAsia="zh-CN"/>
              </w:rPr>
              <w:t>本单位</w:t>
            </w:r>
            <w:r>
              <w:rPr>
                <w:rFonts w:ascii="SimSun" w:hAnsi="SimSun" w:eastAsia="SimSun"/>
                <w:sz w:val="16"/>
              </w:rPr>
              <w:t>采购人员对产品质量严格把控，故设备采购质量合格率较高。</w:t>
            </w: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设备验收合格率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&gt;=95%</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偏差原因：由于</w:t>
            </w:r>
            <w:r>
              <w:rPr>
                <w:rFonts w:hint="eastAsia" w:ascii="SimSun" w:hAnsi="SimSun"/>
                <w:sz w:val="16"/>
                <w:lang w:eastAsia="zh-CN"/>
              </w:rPr>
              <w:t>本单位</w:t>
            </w:r>
            <w:r>
              <w:rPr>
                <w:rFonts w:ascii="SimSun" w:hAnsi="SimSun" w:eastAsia="SimSun"/>
                <w:sz w:val="16"/>
              </w:rPr>
              <w:t>采购人员对产品质量严格把控，故设备采购质量验收合格率较高</w:t>
            </w: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时效指标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培训按时完成率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95%</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偏差原因：由于</w:t>
            </w:r>
            <w:r>
              <w:rPr>
                <w:rFonts w:hint="eastAsia" w:ascii="SimSun" w:hAnsi="SimSun"/>
                <w:sz w:val="16"/>
                <w:lang w:eastAsia="zh-CN"/>
              </w:rPr>
              <w:t>本单位</w:t>
            </w:r>
            <w:r>
              <w:rPr>
                <w:rFonts w:ascii="SimSun" w:hAnsi="SimSun" w:eastAsia="SimSun"/>
                <w:sz w:val="16"/>
              </w:rPr>
              <w:t>工作计划安排得当，故培训工作能够按时开展。</w:t>
            </w: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开展县市调研指导服务工作按时完成率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90%</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偏差原因：由于</w:t>
            </w:r>
            <w:r>
              <w:rPr>
                <w:rFonts w:hint="eastAsia" w:ascii="SimSun" w:hAnsi="SimSun"/>
                <w:sz w:val="16"/>
                <w:lang w:eastAsia="zh-CN"/>
              </w:rPr>
              <w:t>本单位</w:t>
            </w:r>
            <w:r>
              <w:rPr>
                <w:rFonts w:ascii="SimSun" w:hAnsi="SimSun" w:eastAsia="SimSun"/>
                <w:sz w:val="16"/>
              </w:rPr>
              <w:t>工作计划安排得当，故对县市调研指导服务工作能够按时开展。</w:t>
            </w: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购置办公用品按时完成率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偏差原因：由于</w:t>
            </w:r>
            <w:r>
              <w:rPr>
                <w:rFonts w:hint="eastAsia" w:ascii="SimSun" w:hAnsi="SimSun"/>
                <w:sz w:val="16"/>
                <w:lang w:eastAsia="zh-CN"/>
              </w:rPr>
              <w:t>本单位</w:t>
            </w:r>
            <w:r>
              <w:rPr>
                <w:rFonts w:ascii="SimSun" w:hAnsi="SimSun" w:eastAsia="SimSun"/>
                <w:sz w:val="16"/>
              </w:rPr>
              <w:t>采购计划安排得当，故能够按时完成办公用品采购。</w:t>
            </w: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设备采购完成时间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2024年8月31日前</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直接赋分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=2024年5月27日</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成本指标</w:t>
            </w:r>
          </w:p>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经济成本指标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农民专业合作社法律政策编印费</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&lt;=5万元</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5万元</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=5万元</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农经业务工作培训费用</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&lt;=10万元</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200元/人/天</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=10万元</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调研指导服务工作费用</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&lt;=7.9万元</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19.4万元</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=7.9万元</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日常办公费用</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&lt;=3.5万元</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=3.5万元</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设备购置费</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&lt;=2万元</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=2万元</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效益指标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经济效益指标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设备利用率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&gt;=95%</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社会效益指标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提高新型农业经营主体规范化发展水平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逐步提高</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按评判等级赋分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达成目标</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满意度指标</w:t>
            </w:r>
          </w:p>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满意度指标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培训学员满意度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95%</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偏差原因：由于</w:t>
            </w:r>
            <w:r>
              <w:rPr>
                <w:rFonts w:hint="eastAsia" w:ascii="SimSun" w:hAnsi="SimSun"/>
                <w:sz w:val="16"/>
                <w:lang w:eastAsia="zh-CN"/>
              </w:rPr>
              <w:t>本单位</w:t>
            </w:r>
            <w:r>
              <w:rPr>
                <w:rFonts w:ascii="SimSun" w:hAnsi="SimSun" w:eastAsia="SimSun"/>
                <w:sz w:val="16"/>
              </w:rPr>
              <w:t>培训课程设置符合学员培训需求，故培训学员满意度较高。</w:t>
            </w:r>
          </w:p>
        </w:tc>
      </w:tr>
      <w:tr>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设备使用人员满意度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&gt;=90%</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7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偏差原因：</w:t>
            </w:r>
            <w:r>
              <w:rPr>
                <w:rFonts w:hint="eastAsia" w:ascii="SimSun" w:hAnsi="SimSun"/>
                <w:sz w:val="16"/>
                <w:lang w:eastAsia="zh-CN"/>
              </w:rPr>
              <w:t>由于</w:t>
            </w:r>
            <w:r>
              <w:rPr>
                <w:rFonts w:ascii="SimSun" w:hAnsi="SimSun" w:eastAsia="SimSun"/>
                <w:sz w:val="16"/>
              </w:rPr>
              <w:t>采购人员对设备质量把关严格，故设备使用人员对设备使用满意。</w:t>
            </w:r>
          </w:p>
        </w:tc>
      </w:tr>
      <w:tr>
        <w:tblPrEx>
          <w:tblCellMar>
            <w:top w:w="0" w:type="dxa"/>
            <w:left w:w="108" w:type="dxa"/>
            <w:bottom w:w="0" w:type="dxa"/>
            <w:right w:w="108" w:type="dxa"/>
          </w:tblCellMar>
        </w:tblPrEx>
        <w:tc>
          <w:tcPr>
            <w:tcW w:w="24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总分</w:t>
            </w:r>
          </w:p>
        </w:tc>
        <w:tc>
          <w:tcPr>
            <w:tcW w:w="696" w:type="dxa"/>
            <w:tcBorders>
              <w:top w:val="single" w:color="auto" w:sz="10" w:space="0"/>
              <w:left w:val="single" w:color="auto" w:sz="10" w:space="0"/>
              <w:bottom w:val="single" w:color="auto" w:sz="10" w:space="0"/>
              <w:right w:val="single" w:color="auto" w:sz="10" w:space="0"/>
              <w:insideV w:val="single" w:sz="10" w:space="0"/>
            </w:tcBorders>
          </w:tcPr>
          <w:p/>
        </w:tc>
        <w:tc>
          <w:tcPr>
            <w:tcW w:w="613" w:type="dxa"/>
            <w:tcBorders>
              <w:top w:val="single" w:color="auto" w:sz="10" w:space="0"/>
              <w:left w:val="single" w:color="auto" w:sz="10" w:space="0"/>
              <w:bottom w:val="single" w:color="auto" w:sz="10" w:space="0"/>
              <w:right w:val="single" w:color="auto" w:sz="10" w:space="0"/>
              <w:insideV w:val="single" w:sz="10" w:space="0"/>
            </w:tcBorders>
          </w:tcPr>
          <w:p/>
        </w:tc>
        <w:tc>
          <w:tcPr>
            <w:tcW w:w="625" w:type="dxa"/>
            <w:tcBorders>
              <w:top w:val="single" w:color="auto" w:sz="10" w:space="0"/>
              <w:left w:val="single" w:color="auto" w:sz="10" w:space="0"/>
              <w:bottom w:val="single" w:color="auto" w:sz="10" w:space="0"/>
              <w:right w:val="single" w:color="auto" w:sz="10" w:space="0"/>
              <w:insideV w:val="single" w:sz="10" w:space="0"/>
            </w:tcBorders>
          </w:tcP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13" w:type="dxa"/>
            <w:tcBorders>
              <w:top w:val="single" w:color="auto" w:sz="10" w:space="0"/>
              <w:left w:val="single" w:color="auto" w:sz="10" w:space="0"/>
              <w:bottom w:val="single" w:color="auto" w:sz="10" w:space="0"/>
              <w:right w:val="single" w:color="auto" w:sz="10" w:space="0"/>
              <w:insideV w:val="single" w:sz="10" w:space="0"/>
            </w:tcBorders>
          </w:tcPr>
          <w:p/>
        </w:tc>
        <w:tc>
          <w:tcPr>
            <w:tcW w:w="613" w:type="dxa"/>
            <w:tcBorders>
              <w:top w:val="single" w:color="auto" w:sz="10" w:space="0"/>
              <w:left w:val="single" w:color="auto" w:sz="10" w:space="0"/>
              <w:bottom w:val="single" w:color="auto" w:sz="10" w:space="0"/>
              <w:right w:val="single" w:color="auto" w:sz="10" w:space="0"/>
              <w:insideV w:val="single" w:sz="10" w:space="0"/>
            </w:tcBorders>
          </w:tcPr>
          <w:p/>
        </w:tc>
        <w:tc>
          <w:tcPr>
            <w:tcW w:w="776" w:type="dxa"/>
            <w:tcBorders>
              <w:top w:val="single" w:color="auto" w:sz="10" w:space="0"/>
              <w:left w:val="single" w:color="auto" w:sz="10" w:space="0"/>
              <w:bottom w:val="single" w:color="auto" w:sz="10" w:space="0"/>
              <w:right w:val="single" w:color="auto" w:sz="10" w:space="0"/>
              <w:insideV w:val="single" w:sz="10" w:space="0"/>
            </w:tcBorders>
          </w:tcPr>
          <w:p/>
        </w:tc>
        <w:tc>
          <w:tcPr>
            <w:tcW w:w="777"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98.71分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SimSun" w:hAnsi="SimSun" w:eastAsia="SimSun"/>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SimSun" w:hAnsi="SimSun" w:eastAsia="SimSun"/>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新型农业经营主体培育项目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新疆巴音郭楞蒙古自治州农村合作经济经营管理局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新疆巴音郭楞蒙古自治州农村合作经济经营管理局</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得分</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10.00</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总体目标完成情况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SimSun" w:hAnsi="SimSun"/>
                <w:sz w:val="16"/>
                <w:lang w:eastAsia="zh-CN"/>
              </w:rPr>
              <w:t>1.</w:t>
            </w:r>
            <w:r>
              <w:rPr>
                <w:rFonts w:ascii="SimSun" w:hAnsi="SimSun" w:eastAsia="SimSun"/>
                <w:sz w:val="16"/>
              </w:rPr>
              <w:t>开展新型经营主体辅导员培训，提升新型农业经营主体辅导员辅导水平；</w:t>
            </w:r>
            <w:r>
              <w:rPr>
                <w:rFonts w:ascii="SimSun" w:hAnsi="SimSun" w:eastAsia="SimSun"/>
                <w:sz w:val="16"/>
              </w:rPr>
              <w:br w:type="textWrapping"/>
            </w:r>
            <w:r>
              <w:rPr>
                <w:rFonts w:ascii="SimSun" w:hAnsi="SimSun" w:eastAsia="SimSun"/>
                <w:sz w:val="16"/>
              </w:rPr>
              <w:t>2、对所辖县市承担新型农业经营主体培育项目开展审计，提升新型农业经营主体项目实施规范化水平；</w:t>
            </w:r>
            <w:r>
              <w:rPr>
                <w:rFonts w:ascii="SimSun" w:hAnsi="SimSun" w:eastAsia="SimSun"/>
                <w:sz w:val="16"/>
              </w:rPr>
              <w:br w:type="textWrapping"/>
            </w:r>
            <w:r>
              <w:rPr>
                <w:rFonts w:ascii="SimSun" w:hAnsi="SimSun" w:eastAsia="SimSun"/>
                <w:sz w:val="16"/>
              </w:rPr>
              <w:t>3、开展新型经营主体财务代理，提升新型农业经营主体财务规范水平。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SimSun" w:hAnsi="SimSun" w:eastAsia="SimSun"/>
                <w:sz w:val="16"/>
              </w:rPr>
              <w:t>2024年</w:t>
            </w:r>
            <w:r>
              <w:rPr>
                <w:rFonts w:hint="eastAsia" w:ascii="SimSun" w:hAnsi="SimSun"/>
                <w:sz w:val="16"/>
                <w:lang w:eastAsia="zh-CN"/>
              </w:rPr>
              <w:t>本单位</w:t>
            </w:r>
            <w:r>
              <w:rPr>
                <w:rFonts w:ascii="SimSun" w:hAnsi="SimSun" w:eastAsia="SimSun"/>
                <w:sz w:val="16"/>
              </w:rPr>
              <w:t>通过项目实施，完成了以下工作：</w:t>
            </w:r>
            <w:r>
              <w:rPr>
                <w:rFonts w:ascii="SimSun" w:hAnsi="SimSun" w:eastAsia="SimSun"/>
                <w:sz w:val="16"/>
              </w:rPr>
              <w:br w:type="textWrapping"/>
            </w:r>
            <w:r>
              <w:rPr>
                <w:rFonts w:ascii="SimSun" w:hAnsi="SimSun" w:eastAsia="SimSun"/>
                <w:sz w:val="16"/>
              </w:rPr>
              <w:t>1.开展新型经营主体辅导员培训1期，培训3天，150人，有力提升了新型农业经营主体辅导员辅导水平。</w:t>
            </w:r>
            <w:r>
              <w:rPr>
                <w:rFonts w:ascii="SimSun" w:hAnsi="SimSun" w:eastAsia="SimSun"/>
                <w:sz w:val="16"/>
              </w:rPr>
              <w:br w:type="textWrapping"/>
            </w:r>
            <w:r>
              <w:rPr>
                <w:rFonts w:ascii="SimSun" w:hAnsi="SimSun" w:eastAsia="SimSun"/>
                <w:sz w:val="16"/>
              </w:rPr>
              <w:t>2.聘请1家第三方机构对所辖县市承担新型农业经营主体培训项目的单位开展审计，新型农业经营主体项目实施规范化水平提升。</w:t>
            </w:r>
            <w:r>
              <w:rPr>
                <w:rFonts w:ascii="SimSun" w:hAnsi="SimSun" w:eastAsia="SimSun"/>
                <w:sz w:val="16"/>
              </w:rPr>
              <w:br w:type="textWrapping"/>
            </w:r>
            <w:r>
              <w:rPr>
                <w:rFonts w:ascii="SimSun" w:hAnsi="SimSun" w:eastAsia="SimSun"/>
                <w:sz w:val="16"/>
              </w:rPr>
              <w:t>3.聘请1家第三方机构对20家自治区级及以上的新型农业经营主体开展财务代理，有效提升新型农业经营主体财务规范水平。</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培训新型农业经营主体辅导员数量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开展新型农业经营主体指导服务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发放新型农业经营主体辅导员聘任证书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&gt;=80本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=150本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187.5%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偏差原因：培训内容符合实际，学员能够较好掌握辅导员基本职业需求，故符合条件的辅导员人数较多。</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聘请第三方机构开展承担2023年度新型经营主体农经项目审计工作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聘请第三方机构代理自治区级及以上农民专业合作社财务工作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开展新型农业经营主体培训天数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偏差原因：该培训报到1天，培训2天，故培训总天数为3天。</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新型农业经营主体培训次数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对所辖县市上年度承担新型农业经营主体农经项目开展审计覆盖率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=71.59%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偏差原因：培训内容能够满足学员工作需求，所以出勤率较高。</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审计工作开展按时完成率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代理记账业务按时完成率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开展新型农业经营主体辅导员培训费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财务代理费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专项审计费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业务指导服务费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新型经营主体辅导员对培训的满意度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95.88分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r>
    </w:tbl>
    <w:p>
      <w:r>
        <w:br w:type="page"/>
      </w:r>
    </w:p>
    <w:p>
      <w:pPr>
        <w:spacing w:line="640" w:lineRule="exact"/>
        <w:ind w:firstLine="640"/>
        <w:jc w:val="both"/>
        <w:outlineLvl w:val="2"/>
      </w:pPr>
      <w:r>
        <w:rPr>
          <w:rFonts w:ascii="SimHei" w:hAnsi="SimHei" w:eastAsia="SimHei"/>
          <w:sz w:val="32"/>
        </w:rPr>
        <w:t>十二、其他需说明的事项</w:t>
      </w:r>
    </w:p>
    <w:p>
      <w:pPr>
        <w:spacing w:line="580" w:lineRule="exact"/>
        <w:ind w:firstLine="640"/>
        <w:jc w:val="both"/>
      </w:pPr>
      <w:r>
        <w:rPr>
          <w:rFonts w:ascii="仿宋_GB2312" w:hAnsi="仿宋_GB2312" w:eastAsia="仿宋_GB2312"/>
          <w:b w:val="0"/>
          <w:sz w:val="32"/>
        </w:rPr>
        <w:t>本年度本单位整体绩效自评表由主管部门编报并公开。</w:t>
      </w:r>
    </w:p>
    <w:p>
      <w:r>
        <w:br w:type="page"/>
      </w:r>
    </w:p>
    <w:p>
      <w:pPr>
        <w:spacing w:line="240" w:lineRule="auto"/>
        <w:jc w:val="center"/>
        <w:outlineLvl w:val="1"/>
      </w:pPr>
      <w:r>
        <w:rPr>
          <w:rFonts w:ascii="SimHei" w:hAnsi="SimHei" w:eastAsia="SimHei"/>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SimHei" w:hAnsi="SimHei" w:eastAsia="SimHei"/>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SimSun">
    <w:panose1 w:val="02010600030101010101"/>
    <w:charset w:val="7A"/>
    <w:family w:val="auto"/>
    <w:pitch w:val="default"/>
    <w:sig w:usb0="00000003" w:usb1="288F0000" w:usb2="00000006" w:usb3="00000000" w:csb0="00040001" w:csb1="00000000"/>
  </w:font>
  <w:font w:name="FZXiaoBiaoSong-B05">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SimSun"/>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SimSun"/>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0783684"/>
    <w:rsid w:val="11E15093"/>
    <w:rsid w:val="120E0809"/>
    <w:rsid w:val="19071D6C"/>
    <w:rsid w:val="19B5554D"/>
    <w:rsid w:val="1B8F2D19"/>
    <w:rsid w:val="1C317E4F"/>
    <w:rsid w:val="1C472464"/>
    <w:rsid w:val="1DAF458D"/>
    <w:rsid w:val="1E086ACE"/>
    <w:rsid w:val="1E4B5CA5"/>
    <w:rsid w:val="1EAA4A5F"/>
    <w:rsid w:val="1F587A0B"/>
    <w:rsid w:val="20405427"/>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6E6B1F"/>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SimSun"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SimSun" w:hAnsi="SimSun" w:eastAsia="SimSun" w:cs="SimSun"/>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SimSun" w:cs="Times New Roman"/>
      <w:sz w:val="20"/>
      <w:szCs w:val="20"/>
    </w:rPr>
  </w:style>
  <w:style w:type="paragraph" w:customStyle="1" w:styleId="12">
    <w:name w:val="WPSOffice手动目录 2"/>
    <w:qFormat/>
    <w:uiPriority w:val="0"/>
    <w:pPr>
      <w:ind w:leftChars="200"/>
    </w:pPr>
    <w:rPr>
      <w:rFonts w:ascii="Times New Roman" w:hAnsi="Times New Roman" w:eastAsia="SimSun" w:cs="Times New Roman"/>
      <w:sz w:val="20"/>
      <w:szCs w:val="20"/>
    </w:rPr>
  </w:style>
  <w:style w:type="paragraph" w:customStyle="1" w:styleId="13">
    <w:name w:val="WPSOffice手动目录 1"/>
    <w:qFormat/>
    <w:uiPriority w:val="0"/>
    <w:pPr>
      <w:ind w:leftChars="0"/>
    </w:pPr>
    <w:rPr>
      <w:rFonts w:ascii="Times New Roman" w:hAnsi="Times New Roman" w:eastAsia="SimSu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5802</Words>
  <Characters>6507</Characters>
  <Lines>0</Lines>
  <Paragraphs>0</Paragraphs>
  <TotalTime>9</TotalTime>
  <ScaleCrop>false</ScaleCrop>
  <LinksUpToDate>false</LinksUpToDate>
  <CharactersWithSpaces>6515</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2025-09-19T02:44:37Z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