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F3F44C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w:t>
      </w:r>
      <w:bookmarkStart w:id="0" w:name="_GoBack"/>
      <w:r>
        <w:rPr>
          <w:rFonts w:hint="eastAsia" w:ascii="方正小标宋_GBK" w:hAnsi="宋体" w:eastAsia="方正小标宋_GBK"/>
          <w:sz w:val="44"/>
          <w:szCs w:val="44"/>
          <w:highlight w:val="none"/>
          <w:lang w:val="en-US" w:eastAsia="zh-CN"/>
        </w:rPr>
        <w:t>巴音郭楞</w:t>
      </w:r>
      <w:bookmarkEnd w:id="0"/>
      <w:r>
        <w:rPr>
          <w:rFonts w:hint="eastAsia" w:ascii="方正小标宋_GBK" w:hAnsi="宋体" w:eastAsia="方正小标宋_GBK"/>
          <w:sz w:val="44"/>
          <w:szCs w:val="44"/>
          <w:highlight w:val="none"/>
          <w:lang w:val="en-US" w:eastAsia="zh-CN"/>
        </w:rPr>
        <w:t>蒙古自治州种子管理站</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E86A1D3">
      <w:r>
        <w:br w:type="page"/>
      </w:r>
    </w:p>
    <w:p w14:paraId="6D9AC8E3">
      <w:pPr>
        <w:spacing w:line="640" w:lineRule="exact"/>
        <w:jc w:val="center"/>
        <w:outlineLvl w:val="1"/>
      </w:pPr>
      <w:r>
        <w:rPr>
          <w:rFonts w:ascii="黑体" w:hAnsi="黑体" w:eastAsia="黑体"/>
          <w:sz w:val="32"/>
        </w:rPr>
        <w:t>第一部分 单位概况</w:t>
      </w:r>
    </w:p>
    <w:p w14:paraId="592D487D">
      <w:pPr>
        <w:spacing w:line="640" w:lineRule="exact"/>
        <w:ind w:firstLine="640"/>
        <w:jc w:val="both"/>
        <w:outlineLvl w:val="2"/>
      </w:pPr>
      <w:r>
        <w:rPr>
          <w:rFonts w:ascii="黑体" w:hAnsi="黑体" w:eastAsia="黑体"/>
          <w:sz w:val="32"/>
        </w:rPr>
        <w:t>一、主要职能</w:t>
      </w:r>
    </w:p>
    <w:p w14:paraId="3373B9F5">
      <w:pPr>
        <w:spacing w:line="580" w:lineRule="exact"/>
        <w:ind w:firstLine="640"/>
        <w:jc w:val="both"/>
      </w:pPr>
      <w:r>
        <w:rPr>
          <w:rFonts w:ascii="仿宋_GB2312" w:hAnsi="仿宋_GB2312" w:eastAsia="仿宋_GB2312"/>
          <w:sz w:val="32"/>
        </w:rPr>
        <w:t>（1）开展农作物品种引进、试验、示范、展示、鉴定等工作。</w:t>
      </w:r>
    </w:p>
    <w:p w14:paraId="7ED10A3F">
      <w:pPr>
        <w:spacing w:line="580" w:lineRule="exact"/>
        <w:ind w:firstLine="640"/>
        <w:jc w:val="both"/>
      </w:pPr>
      <w:r>
        <w:rPr>
          <w:rFonts w:ascii="仿宋_GB2312" w:hAnsi="仿宋_GB2312" w:eastAsia="仿宋_GB2312"/>
          <w:sz w:val="32"/>
        </w:rPr>
        <w:t>（2）开展农作物种子质量标准、检验、监测和质量认定工作。</w:t>
      </w:r>
    </w:p>
    <w:p w14:paraId="211034DA">
      <w:pPr>
        <w:spacing w:line="580" w:lineRule="exact"/>
        <w:ind w:firstLine="640"/>
        <w:jc w:val="both"/>
      </w:pPr>
      <w:r>
        <w:rPr>
          <w:rFonts w:ascii="仿宋_GB2312" w:hAnsi="仿宋_GB2312" w:eastAsia="仿宋_GB2312"/>
          <w:sz w:val="32"/>
        </w:rPr>
        <w:t>（3）开展农作物种质资源收集整理、鉴别利用工作。</w:t>
      </w:r>
    </w:p>
    <w:p w14:paraId="1CF44FD5">
      <w:pPr>
        <w:spacing w:line="580" w:lineRule="exact"/>
        <w:ind w:firstLine="640"/>
        <w:jc w:val="both"/>
      </w:pPr>
      <w:r>
        <w:rPr>
          <w:rFonts w:ascii="仿宋_GB2312" w:hAnsi="仿宋_GB2312" w:eastAsia="仿宋_GB2312"/>
          <w:sz w:val="32"/>
        </w:rPr>
        <w:t>（4）开展种业信息服务和技术培训工作。</w:t>
      </w:r>
    </w:p>
    <w:p w14:paraId="45FE7366">
      <w:pPr>
        <w:spacing w:line="580" w:lineRule="exact"/>
        <w:ind w:firstLine="640"/>
        <w:jc w:val="both"/>
      </w:pPr>
      <w:r>
        <w:rPr>
          <w:rFonts w:ascii="仿宋_GB2312" w:hAnsi="仿宋_GB2312" w:eastAsia="仿宋_GB2312"/>
          <w:sz w:val="32"/>
        </w:rPr>
        <w:t>（5）为农作物品种登记、引种备案、植物新品种保护、种子救灾备荒储备和种子市场监管等提供技术服务工作。</w:t>
      </w:r>
    </w:p>
    <w:p w14:paraId="20EEFDA1">
      <w:pPr>
        <w:spacing w:line="580" w:lineRule="exact"/>
        <w:ind w:firstLine="640"/>
        <w:jc w:val="both"/>
      </w:pPr>
      <w:r>
        <w:rPr>
          <w:rFonts w:ascii="仿宋_GB2312" w:hAnsi="仿宋_GB2312" w:eastAsia="仿宋_GB2312"/>
          <w:sz w:val="32"/>
        </w:rPr>
        <w:t>（6）为种业发展规划编制和种业项目实施监管提供技术服务。</w:t>
      </w:r>
    </w:p>
    <w:p w14:paraId="23C953D4">
      <w:pPr>
        <w:spacing w:line="640" w:lineRule="exact"/>
        <w:ind w:firstLine="640"/>
        <w:jc w:val="both"/>
        <w:outlineLvl w:val="2"/>
      </w:pPr>
      <w:r>
        <w:rPr>
          <w:rFonts w:ascii="黑体" w:hAnsi="黑体" w:eastAsia="黑体"/>
          <w:sz w:val="32"/>
        </w:rPr>
        <w:t>二、机构设置及人员情况</w:t>
      </w:r>
    </w:p>
    <w:p w14:paraId="59A2834D">
      <w:pPr>
        <w:spacing w:line="580" w:lineRule="exact"/>
        <w:ind w:firstLine="640"/>
        <w:jc w:val="both"/>
      </w:pPr>
      <w:r>
        <w:rPr>
          <w:rFonts w:ascii="仿宋_GB2312" w:hAnsi="仿宋_GB2312" w:eastAsia="仿宋_GB2312"/>
          <w:sz w:val="32"/>
        </w:rPr>
        <w:t>新疆巴音郭楞蒙古自治州种子管理站2024年度，实有人数31人，其中：在职人员14人，增加2人；离休人员0人，增加0人；退休人员17人,增加0人。</w:t>
      </w:r>
    </w:p>
    <w:p w14:paraId="60FB7352">
      <w:pPr>
        <w:spacing w:line="580" w:lineRule="exact"/>
        <w:ind w:firstLine="640"/>
        <w:jc w:val="both"/>
      </w:pPr>
      <w:r>
        <w:rPr>
          <w:rFonts w:ascii="仿宋_GB2312" w:hAnsi="仿宋_GB2312" w:eastAsia="仿宋_GB2312"/>
          <w:sz w:val="32"/>
        </w:rPr>
        <w:t>新疆巴音郭楞蒙古自治州种子管理站无下属预算单位，下设3个科室，分别是：办公室、检验科、管理科。</w:t>
      </w:r>
    </w:p>
    <w:p w14:paraId="6B5E82E2">
      <w:r>
        <w:br w:type="page"/>
      </w:r>
    </w:p>
    <w:p w14:paraId="5B388E2B">
      <w:pPr>
        <w:spacing w:line="240" w:lineRule="auto"/>
        <w:jc w:val="center"/>
        <w:outlineLvl w:val="1"/>
      </w:pPr>
      <w:r>
        <w:rPr>
          <w:rFonts w:ascii="黑体" w:hAnsi="黑体" w:eastAsia="黑体"/>
          <w:sz w:val="32"/>
        </w:rPr>
        <w:t>第二部分 部门决算情况说明</w:t>
      </w:r>
    </w:p>
    <w:p w14:paraId="105057BC">
      <w:pPr>
        <w:spacing w:line="640" w:lineRule="exact"/>
        <w:ind w:firstLine="640"/>
        <w:jc w:val="both"/>
        <w:outlineLvl w:val="2"/>
      </w:pPr>
      <w:r>
        <w:rPr>
          <w:rFonts w:ascii="黑体" w:hAnsi="黑体" w:eastAsia="黑体"/>
          <w:sz w:val="32"/>
        </w:rPr>
        <w:t>一、收入支出决算总体情况说明</w:t>
      </w:r>
    </w:p>
    <w:p w14:paraId="53B142D0">
      <w:pPr>
        <w:spacing w:line="580" w:lineRule="exact"/>
        <w:ind w:firstLine="640"/>
        <w:jc w:val="both"/>
      </w:pPr>
      <w:r>
        <w:rPr>
          <w:rFonts w:ascii="仿宋_GB2312" w:hAnsi="仿宋_GB2312" w:eastAsia="仿宋_GB2312"/>
          <w:b/>
          <w:sz w:val="32"/>
        </w:rPr>
        <w:t>2024年度收入总计266.64万元，</w:t>
      </w:r>
      <w:r>
        <w:rPr>
          <w:rFonts w:ascii="仿宋_GB2312" w:hAnsi="仿宋_GB2312" w:eastAsia="仿宋_GB2312"/>
          <w:b w:val="0"/>
          <w:sz w:val="32"/>
        </w:rPr>
        <w:t>其中：本年收入合计265.30万元，使用非财政拨款结余（含专用结余）0.00万元，年初结转和结余1.34万元。</w:t>
      </w:r>
    </w:p>
    <w:p w14:paraId="3F4047EC">
      <w:pPr>
        <w:spacing w:line="580" w:lineRule="exact"/>
        <w:ind w:firstLine="640"/>
        <w:jc w:val="both"/>
      </w:pPr>
      <w:r>
        <w:rPr>
          <w:rFonts w:ascii="仿宋_GB2312" w:hAnsi="仿宋_GB2312" w:eastAsia="仿宋_GB2312"/>
          <w:b/>
          <w:sz w:val="32"/>
        </w:rPr>
        <w:t>2024年度支出总计266.64万元，</w:t>
      </w:r>
      <w:r>
        <w:rPr>
          <w:rFonts w:ascii="仿宋_GB2312" w:hAnsi="仿宋_GB2312" w:eastAsia="仿宋_GB2312"/>
          <w:b w:val="0"/>
          <w:sz w:val="32"/>
        </w:rPr>
        <w:t>其中：本年支出合计266.64万元，结余分配0.00万元，年末结转和结余0.00万元。</w:t>
      </w:r>
    </w:p>
    <w:p w14:paraId="3FF82175">
      <w:pPr>
        <w:spacing w:line="580" w:lineRule="exact"/>
        <w:ind w:firstLine="640"/>
        <w:jc w:val="both"/>
      </w:pPr>
      <w:r>
        <w:rPr>
          <w:rFonts w:ascii="仿宋_GB2312" w:hAnsi="仿宋_GB2312" w:eastAsia="仿宋_GB2312"/>
          <w:b w:val="0"/>
          <w:sz w:val="32"/>
        </w:rPr>
        <w:t>收入支出总体与上年相比，减少111.78万元，下降29.54%，主要原因是：本年减少巴州种子质量检测分中心项目、库尔勒市棉花新品种评比实验基地经费。</w:t>
      </w:r>
    </w:p>
    <w:p w14:paraId="2E9DE471">
      <w:pPr>
        <w:spacing w:line="640" w:lineRule="exact"/>
        <w:ind w:firstLine="640"/>
        <w:jc w:val="both"/>
        <w:outlineLvl w:val="2"/>
      </w:pPr>
      <w:r>
        <w:rPr>
          <w:rFonts w:ascii="黑体" w:hAnsi="黑体" w:eastAsia="黑体"/>
          <w:sz w:val="32"/>
        </w:rPr>
        <w:t>二、收入决算情况说明</w:t>
      </w:r>
    </w:p>
    <w:p w14:paraId="5263B2EF">
      <w:pPr>
        <w:spacing w:line="580" w:lineRule="exact"/>
        <w:ind w:firstLine="640"/>
        <w:jc w:val="both"/>
      </w:pPr>
      <w:r>
        <w:rPr>
          <w:rFonts w:ascii="仿宋_GB2312" w:hAnsi="仿宋_GB2312" w:eastAsia="仿宋_GB2312"/>
          <w:b/>
          <w:sz w:val="32"/>
        </w:rPr>
        <w:t>本年收入265.30万元，</w:t>
      </w:r>
      <w:r>
        <w:rPr>
          <w:rFonts w:ascii="仿宋_GB2312" w:hAnsi="仿宋_GB2312" w:eastAsia="仿宋_GB2312"/>
          <w:b w:val="0"/>
          <w:sz w:val="32"/>
        </w:rPr>
        <w:t>其中：财政拨款收入265.30万元，占100.00%；上级补助收入0.00万元，占0.00%；事业收入0.00万元，占0.00%；经营收入0.00万元，占0.00%；附属单位上缴收入0.00万元，占0.00%；其他收入0.00万元，占0.00%。</w:t>
      </w:r>
    </w:p>
    <w:p w14:paraId="44B9F93C">
      <w:pPr>
        <w:spacing w:line="640" w:lineRule="exact"/>
        <w:ind w:firstLine="640"/>
        <w:jc w:val="both"/>
        <w:outlineLvl w:val="2"/>
      </w:pPr>
      <w:r>
        <w:rPr>
          <w:rFonts w:ascii="黑体" w:hAnsi="黑体" w:eastAsia="黑体"/>
          <w:sz w:val="32"/>
        </w:rPr>
        <w:t>三、支出决算情况说明</w:t>
      </w:r>
    </w:p>
    <w:p w14:paraId="42951317">
      <w:pPr>
        <w:spacing w:line="580" w:lineRule="exact"/>
        <w:ind w:firstLine="640"/>
        <w:jc w:val="both"/>
      </w:pPr>
      <w:r>
        <w:rPr>
          <w:rFonts w:ascii="仿宋_GB2312" w:hAnsi="仿宋_GB2312" w:eastAsia="仿宋_GB2312"/>
          <w:b/>
          <w:sz w:val="32"/>
        </w:rPr>
        <w:t>本年支出266.64万元，</w:t>
      </w:r>
      <w:r>
        <w:rPr>
          <w:rFonts w:ascii="仿宋_GB2312" w:hAnsi="仿宋_GB2312" w:eastAsia="仿宋_GB2312"/>
          <w:b w:val="0"/>
          <w:sz w:val="32"/>
        </w:rPr>
        <w:t>其中：基本支出251.08万元，占94.16%；项目支出15.56万元，占5.84%；上缴上级支出0.00万元，占0.00%；经营支出0.00万元，占0.00%；对附属单位补助支出0.00万元，占0.00%。</w:t>
      </w:r>
    </w:p>
    <w:p w14:paraId="195C982D">
      <w:pPr>
        <w:spacing w:line="640" w:lineRule="exact"/>
        <w:ind w:firstLine="640"/>
        <w:jc w:val="both"/>
        <w:outlineLvl w:val="2"/>
      </w:pPr>
      <w:r>
        <w:rPr>
          <w:rFonts w:ascii="黑体" w:hAnsi="黑体" w:eastAsia="黑体"/>
          <w:sz w:val="32"/>
        </w:rPr>
        <w:t>四、财政拨款收入支出决算总体情况说明</w:t>
      </w:r>
    </w:p>
    <w:p w14:paraId="035E42B4">
      <w:pPr>
        <w:spacing w:line="580" w:lineRule="exact"/>
        <w:ind w:firstLine="640"/>
        <w:jc w:val="both"/>
      </w:pPr>
      <w:r>
        <w:rPr>
          <w:rFonts w:ascii="仿宋_GB2312" w:hAnsi="仿宋_GB2312" w:eastAsia="仿宋_GB2312"/>
          <w:b/>
          <w:sz w:val="32"/>
        </w:rPr>
        <w:t>2024年度财政拨款收入总计265.30万元，</w:t>
      </w:r>
      <w:r>
        <w:rPr>
          <w:rFonts w:ascii="仿宋_GB2312" w:hAnsi="仿宋_GB2312" w:eastAsia="仿宋_GB2312"/>
          <w:b w:val="0"/>
          <w:sz w:val="32"/>
        </w:rPr>
        <w:t>其中：年初财政拨款结转和结余0.00万元，本年财政拨款收入265.30万元。</w:t>
      </w:r>
      <w:r>
        <w:rPr>
          <w:rFonts w:ascii="仿宋_GB2312" w:hAnsi="仿宋_GB2312" w:eastAsia="仿宋_GB2312"/>
          <w:b/>
          <w:sz w:val="32"/>
        </w:rPr>
        <w:t>财政拨款支出总计265.30万元，</w:t>
      </w:r>
      <w:r>
        <w:rPr>
          <w:rFonts w:ascii="仿宋_GB2312" w:hAnsi="仿宋_GB2312" w:eastAsia="仿宋_GB2312"/>
          <w:b w:val="0"/>
          <w:sz w:val="32"/>
        </w:rPr>
        <w:t>其中：年末财政拨款结转和结余0.00万元，本年财政拨款支出265.30万元。</w:t>
      </w:r>
    </w:p>
    <w:p w14:paraId="3FC22C2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减少108.66万元，下降29.06%，主要原因是：本年减少巴州种子质量检测分中心项目、库尔勒市棉花新品种评比实验基地经费。</w:t>
      </w:r>
      <w:r>
        <w:rPr>
          <w:rFonts w:ascii="仿宋_GB2312" w:hAnsi="仿宋_GB2312" w:eastAsia="仿宋_GB2312"/>
          <w:b/>
          <w:sz w:val="32"/>
        </w:rPr>
        <w:t>与年初预算相比，</w:t>
      </w:r>
      <w:r>
        <w:rPr>
          <w:rFonts w:ascii="仿宋_GB2312" w:hAnsi="仿宋_GB2312" w:eastAsia="仿宋_GB2312"/>
          <w:b w:val="0"/>
          <w:sz w:val="32"/>
        </w:rPr>
        <w:t>年初预算数298.30万元，决算数265.30万元，预决算差异率-11.06%，主要原因是：上年年底单位有2名高级专业技术人员退休，年初预算按照上年9月份工资做预算，预算资金中包含两人的基本人员经费，本年未执行两人的基本人员经费，导致预决算存在差异。</w:t>
      </w:r>
    </w:p>
    <w:p w14:paraId="32C7A6DC">
      <w:pPr>
        <w:spacing w:line="640" w:lineRule="exact"/>
        <w:ind w:firstLine="640"/>
        <w:jc w:val="both"/>
        <w:outlineLvl w:val="2"/>
      </w:pPr>
      <w:r>
        <w:rPr>
          <w:rFonts w:ascii="黑体" w:hAnsi="黑体" w:eastAsia="黑体"/>
          <w:sz w:val="32"/>
        </w:rPr>
        <w:t>五、一般公共预算财政拨款支出决算情况说明</w:t>
      </w:r>
    </w:p>
    <w:p w14:paraId="6CD8464E">
      <w:pPr>
        <w:spacing w:line="640" w:lineRule="exact"/>
        <w:ind w:firstLine="640"/>
        <w:jc w:val="both"/>
        <w:outlineLvl w:val="3"/>
      </w:pPr>
      <w:r>
        <w:rPr>
          <w:rFonts w:ascii="楷体_GB2312" w:hAnsi="楷体_GB2312" w:eastAsia="楷体_GB2312"/>
          <w:b/>
          <w:sz w:val="32"/>
        </w:rPr>
        <w:t>（一）一般公共预算财政拨款支出决算总体情况</w:t>
      </w:r>
    </w:p>
    <w:p w14:paraId="236EDFA5">
      <w:pPr>
        <w:spacing w:line="580" w:lineRule="exact"/>
        <w:ind w:firstLine="640"/>
        <w:jc w:val="both"/>
      </w:pPr>
      <w:r>
        <w:rPr>
          <w:rFonts w:ascii="仿宋_GB2312" w:hAnsi="仿宋_GB2312" w:eastAsia="仿宋_GB2312"/>
          <w:b/>
          <w:sz w:val="32"/>
        </w:rPr>
        <w:t>2024年度一般公共预算财政拨款支出265.30万元，</w:t>
      </w:r>
      <w:r>
        <w:rPr>
          <w:rFonts w:ascii="仿宋_GB2312" w:hAnsi="仿宋_GB2312" w:eastAsia="仿宋_GB2312"/>
          <w:b w:val="0"/>
          <w:sz w:val="32"/>
        </w:rPr>
        <w:t>占本年支出合计的99.50%。</w:t>
      </w:r>
      <w:r>
        <w:rPr>
          <w:rFonts w:ascii="仿宋_GB2312" w:hAnsi="仿宋_GB2312" w:eastAsia="仿宋_GB2312"/>
          <w:b/>
          <w:sz w:val="32"/>
        </w:rPr>
        <w:t>与上年相比，</w:t>
      </w:r>
      <w:r>
        <w:rPr>
          <w:rFonts w:ascii="仿宋_GB2312" w:hAnsi="仿宋_GB2312" w:eastAsia="仿宋_GB2312"/>
          <w:b w:val="0"/>
          <w:sz w:val="32"/>
        </w:rPr>
        <w:t>减少108.66万元，下降29.06%，主要原因是：本年减少巴州种子质量检测分中心项目、库尔勒市棉花新品种评比实验基地经费。</w:t>
      </w:r>
      <w:r>
        <w:rPr>
          <w:rFonts w:ascii="仿宋_GB2312" w:hAnsi="仿宋_GB2312" w:eastAsia="仿宋_GB2312"/>
          <w:b/>
          <w:sz w:val="32"/>
        </w:rPr>
        <w:t>与年初预算相比,</w:t>
      </w:r>
      <w:r>
        <w:rPr>
          <w:rFonts w:ascii="仿宋_GB2312" w:hAnsi="仿宋_GB2312" w:eastAsia="仿宋_GB2312"/>
          <w:b w:val="0"/>
          <w:sz w:val="32"/>
        </w:rPr>
        <w:t>年初预算数298.30万元，决算数265.30万元，预决算差异率-11.06%，主要原因是：上年年底单位有2名高级专业技术人员退休，年初预算按照9月份工资做预算，预算资金中包含两人的基本人员经费，未执行两人的基本人员经费，导致预决算存在差异。</w:t>
      </w:r>
    </w:p>
    <w:p w14:paraId="675AB787">
      <w:pPr>
        <w:spacing w:line="640" w:lineRule="exact"/>
        <w:ind w:firstLine="640"/>
        <w:jc w:val="both"/>
        <w:outlineLvl w:val="3"/>
      </w:pPr>
      <w:r>
        <w:rPr>
          <w:rFonts w:ascii="楷体_GB2312" w:hAnsi="楷体_GB2312" w:eastAsia="楷体_GB2312"/>
          <w:b/>
          <w:sz w:val="32"/>
        </w:rPr>
        <w:t>（二）一般公共预算财政拨款支出决算结构情况</w:t>
      </w:r>
    </w:p>
    <w:p w14:paraId="234ED85C">
      <w:pPr>
        <w:spacing w:line="580" w:lineRule="exact"/>
        <w:ind w:firstLine="640"/>
        <w:jc w:val="both"/>
      </w:pPr>
      <w:r>
        <w:rPr>
          <w:rFonts w:ascii="仿宋_GB2312" w:hAnsi="仿宋_GB2312" w:eastAsia="仿宋_GB2312"/>
          <w:b w:val="0"/>
          <w:sz w:val="32"/>
        </w:rPr>
        <w:t>1.教育支出(类)1.02万元,占0.38%。</w:t>
      </w:r>
    </w:p>
    <w:p w14:paraId="676C1684">
      <w:pPr>
        <w:spacing w:line="580" w:lineRule="exact"/>
        <w:ind w:firstLine="640"/>
        <w:jc w:val="both"/>
      </w:pPr>
      <w:r>
        <w:rPr>
          <w:rFonts w:ascii="仿宋_GB2312" w:hAnsi="仿宋_GB2312" w:eastAsia="仿宋_GB2312"/>
          <w:b w:val="0"/>
          <w:sz w:val="32"/>
        </w:rPr>
        <w:t>2.社会保障和就业支出(类)54.27万元,占20.46%。</w:t>
      </w:r>
    </w:p>
    <w:p w14:paraId="4CE7CB01">
      <w:pPr>
        <w:spacing w:line="580" w:lineRule="exact"/>
        <w:ind w:firstLine="640"/>
        <w:jc w:val="both"/>
      </w:pPr>
      <w:r>
        <w:rPr>
          <w:rFonts w:ascii="仿宋_GB2312" w:hAnsi="仿宋_GB2312" w:eastAsia="仿宋_GB2312"/>
          <w:b w:val="0"/>
          <w:sz w:val="32"/>
        </w:rPr>
        <w:t>3.卫生健康支出(类)10.05万元,占3.79%。</w:t>
      </w:r>
    </w:p>
    <w:p w14:paraId="5A5DE70C">
      <w:pPr>
        <w:spacing w:line="580" w:lineRule="exact"/>
        <w:ind w:firstLine="640"/>
        <w:jc w:val="both"/>
      </w:pPr>
      <w:r>
        <w:rPr>
          <w:rFonts w:ascii="仿宋_GB2312" w:hAnsi="仿宋_GB2312" w:eastAsia="仿宋_GB2312"/>
          <w:b w:val="0"/>
          <w:sz w:val="32"/>
        </w:rPr>
        <w:t>4.农林水支出(类)183.05万元,占69.00%。</w:t>
      </w:r>
    </w:p>
    <w:p w14:paraId="071344B2">
      <w:pPr>
        <w:spacing w:line="580" w:lineRule="exact"/>
        <w:ind w:firstLine="640"/>
        <w:jc w:val="both"/>
      </w:pPr>
      <w:r>
        <w:rPr>
          <w:rFonts w:ascii="仿宋_GB2312" w:hAnsi="仿宋_GB2312" w:eastAsia="仿宋_GB2312"/>
          <w:b w:val="0"/>
          <w:sz w:val="32"/>
        </w:rPr>
        <w:t>5.住房保障支出(类)16.92万元,占6.38%。</w:t>
      </w:r>
    </w:p>
    <w:p w14:paraId="5A297BA6">
      <w:pPr>
        <w:spacing w:line="640" w:lineRule="exact"/>
        <w:ind w:firstLine="640"/>
        <w:jc w:val="both"/>
        <w:outlineLvl w:val="3"/>
      </w:pPr>
      <w:r>
        <w:rPr>
          <w:rFonts w:ascii="楷体_GB2312" w:hAnsi="楷体_GB2312" w:eastAsia="楷体_GB2312"/>
          <w:b/>
          <w:sz w:val="32"/>
        </w:rPr>
        <w:t>（三）一般公共预算财政拨款支出决算具体情况</w:t>
      </w:r>
    </w:p>
    <w:p w14:paraId="202C6EB3">
      <w:pPr>
        <w:spacing w:line="580" w:lineRule="exact"/>
        <w:ind w:firstLine="640"/>
        <w:jc w:val="both"/>
      </w:pPr>
      <w:r>
        <w:rPr>
          <w:rFonts w:ascii="仿宋_GB2312" w:hAnsi="仿宋_GB2312" w:eastAsia="仿宋_GB2312"/>
          <w:b w:val="0"/>
          <w:sz w:val="32"/>
        </w:rPr>
        <w:t>1.教育支出(类)进修及培训(款)培训支出(项):支出决算数为1.02万元，比上年决算增加0.26万元，增长34.21%,主要原因是：本年培训业务活动增加，导致培训经费增加。</w:t>
      </w:r>
    </w:p>
    <w:p w14:paraId="19B28228">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2.社会保障和就业支出(类)行政事业单位养老支出(款)事业单位离退休(项):支出决算数为22.01万元，比上年决算减少34.07万元，下降60.75%,主要原因是：上年支付离休人员抚恤金，本年无此经费，相关支出减少。</w:t>
      </w:r>
    </w:p>
    <w:p w14:paraId="6AF70D19">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21.8万元，比上年决算减少0.26万元，下降1.18%,主要原因是：上年年底单位有2名高级专业技术人员退休，本年新增2人，人员职级不同，工资基数不同，导致养老保险缴费较上年减少。</w:t>
      </w:r>
    </w:p>
    <w:p w14:paraId="3620C7DD">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4.社会保障和就业支出(类)行政事业单位养老支出(款)机关事业单位职业年金缴费支出(项):支出决算数为10.46万元，比上年决算减少0.94万元，下降8.25%,主要原因是：本年</w:t>
      </w:r>
      <w:r>
        <w:rPr>
          <w:rFonts w:hint="eastAsia" w:ascii="仿宋_GB2312" w:hAnsi="仿宋_GB2312" w:eastAsia="仿宋_GB2312"/>
          <w:b w:val="0"/>
          <w:sz w:val="32"/>
          <w:lang w:val="en-US" w:eastAsia="zh-CN"/>
        </w:rPr>
        <w:t>发放上年退休人员剩余职业年金</w:t>
      </w:r>
      <w:r>
        <w:rPr>
          <w:rFonts w:ascii="仿宋_GB2312" w:hAnsi="仿宋_GB2312" w:eastAsia="仿宋_GB2312"/>
          <w:b w:val="0"/>
          <w:sz w:val="32"/>
        </w:rPr>
        <w:t>，职业年金缴费较上年减少。</w:t>
      </w:r>
    </w:p>
    <w:p w14:paraId="2317EB1D">
      <w:pPr>
        <w:spacing w:line="580" w:lineRule="exact"/>
        <w:ind w:firstLine="640"/>
        <w:jc w:val="both"/>
      </w:pPr>
      <w:r>
        <w:rPr>
          <w:rFonts w:ascii="仿宋_GB2312" w:hAnsi="仿宋_GB2312" w:eastAsia="仿宋_GB2312"/>
          <w:b w:val="0"/>
          <w:sz w:val="32"/>
        </w:rPr>
        <w:t>5.卫生健康支出(类)行政事业单位医疗(款)事业单位医疗(项):支出决算数为9.72万元，比上年决算减少0.67万元，下降6.45%,主要原因是：上年年底单位有2名高级专业技术人员退休，本年新增2人，人员职级不同，工资基数不同，导致事业单位医疗经费较上年减少。</w:t>
      </w:r>
    </w:p>
    <w:p w14:paraId="6E0099DA">
      <w:pPr>
        <w:spacing w:line="580" w:lineRule="exact"/>
        <w:ind w:firstLine="640"/>
        <w:jc w:val="both"/>
      </w:pPr>
      <w:r>
        <w:rPr>
          <w:rFonts w:ascii="仿宋_GB2312" w:hAnsi="仿宋_GB2312" w:eastAsia="仿宋_GB2312"/>
          <w:b w:val="0"/>
          <w:sz w:val="32"/>
        </w:rPr>
        <w:t>6.卫生健康支出(类)行政事业单位医疗(款)其他行政事业单位医疗支出(项):支出决算数为0.33万元，比上年决算减少0.38万元，下降53.52%,主要原因是：上年年底单位有2名高级专业技术人员退休，本年新增2人，人员职级不同，工资基数不同，导致其他行政事业单位医疗支出较上年减少。</w:t>
      </w:r>
    </w:p>
    <w:p w14:paraId="5F3D3FE8">
      <w:pPr>
        <w:spacing w:line="580" w:lineRule="exact"/>
        <w:ind w:firstLine="640"/>
        <w:jc w:val="both"/>
      </w:pPr>
      <w:r>
        <w:rPr>
          <w:rFonts w:ascii="仿宋_GB2312" w:hAnsi="仿宋_GB2312" w:eastAsia="仿宋_GB2312"/>
          <w:b w:val="0"/>
          <w:sz w:val="32"/>
        </w:rPr>
        <w:t>7.农林水支出(类)农业农村(款)事业运行(项):支出决算数为168.83万元，比上年决算减少15.21万元，下降8.26%,主要原因是：上年年底单位有2名高级专业技术人员退休，本年新增2人，人员职级不同，工资基数不同，相应人员经费减少。</w:t>
      </w:r>
    </w:p>
    <w:p w14:paraId="2154A781">
      <w:pPr>
        <w:spacing w:line="580" w:lineRule="exact"/>
        <w:ind w:firstLine="640"/>
        <w:jc w:val="both"/>
      </w:pPr>
      <w:r>
        <w:rPr>
          <w:rFonts w:ascii="仿宋_GB2312" w:hAnsi="仿宋_GB2312" w:eastAsia="仿宋_GB2312"/>
          <w:b w:val="0"/>
          <w:sz w:val="32"/>
        </w:rPr>
        <w:t>8.农林水支出(类)农业农村(款)科技转化与推广服务(项):支出决算数为14.22万元，比上年决算增加0.94万元，增长7.08%,主要原因是：本年增加种子质量品质咨询费。</w:t>
      </w:r>
    </w:p>
    <w:p w14:paraId="303A4CE7">
      <w:pPr>
        <w:spacing w:line="580" w:lineRule="exact"/>
        <w:ind w:firstLine="640"/>
        <w:jc w:val="both"/>
      </w:pPr>
      <w:r>
        <w:rPr>
          <w:rFonts w:ascii="仿宋_GB2312" w:hAnsi="仿宋_GB2312" w:eastAsia="仿宋_GB2312"/>
          <w:b w:val="0"/>
          <w:sz w:val="32"/>
        </w:rPr>
        <w:t>9.农林水支出(类)农业农村(款)农业生产发展(项):支出决算数为0.00万元，比上年决算减少20.91万元，下降100.00%,主要原因是：本年减少巴州种子质量检测分中心项目。</w:t>
      </w:r>
    </w:p>
    <w:p w14:paraId="694E36ED">
      <w:pPr>
        <w:spacing w:line="580" w:lineRule="exact"/>
        <w:ind w:firstLine="640"/>
        <w:jc w:val="both"/>
      </w:pPr>
      <w:r>
        <w:rPr>
          <w:rFonts w:ascii="仿宋_GB2312" w:hAnsi="仿宋_GB2312" w:eastAsia="仿宋_GB2312"/>
          <w:b w:val="0"/>
          <w:sz w:val="32"/>
        </w:rPr>
        <w:t>10.农林水支出(类)农业农村(款)其他农业农村支出(项):支出决算数为0.00万元，比上年决算减少38.57万元，下降100.00%,主要原因是：本年减少库尔勒市棉花新品种评比实验基地经费。</w:t>
      </w:r>
    </w:p>
    <w:p w14:paraId="5AA44FAC">
      <w:pPr>
        <w:spacing w:line="580" w:lineRule="exact"/>
        <w:ind w:firstLine="640"/>
        <w:jc w:val="both"/>
      </w:pPr>
      <w:r>
        <w:rPr>
          <w:rFonts w:ascii="仿宋_GB2312" w:hAnsi="仿宋_GB2312" w:eastAsia="仿宋_GB2312"/>
          <w:b w:val="0"/>
          <w:sz w:val="32"/>
        </w:rPr>
        <w:t>11.住房保障支出(类)住房改革支出(款)住房公积金(项):支出决算数为16.92万元，比上年决算增加1.15万元，增长7.29%,主要原因是：本年在职人员工资基数调增，公积金缴费基数上涨，相应支出增加。</w:t>
      </w:r>
    </w:p>
    <w:p w14:paraId="4A33BAD4">
      <w:pPr>
        <w:spacing w:line="640" w:lineRule="exact"/>
        <w:ind w:firstLine="640"/>
        <w:jc w:val="both"/>
        <w:outlineLvl w:val="2"/>
      </w:pPr>
      <w:r>
        <w:rPr>
          <w:rFonts w:ascii="黑体" w:hAnsi="黑体" w:eastAsia="黑体"/>
          <w:sz w:val="32"/>
        </w:rPr>
        <w:t>六、一般公共预算财政拨款基本支出决算情况说明</w:t>
      </w:r>
    </w:p>
    <w:p w14:paraId="25D440E3">
      <w:pPr>
        <w:spacing w:line="580" w:lineRule="exact"/>
        <w:ind w:firstLine="640"/>
        <w:jc w:val="both"/>
      </w:pPr>
      <w:r>
        <w:rPr>
          <w:rFonts w:ascii="仿宋_GB2312" w:hAnsi="仿宋_GB2312" w:eastAsia="仿宋_GB2312"/>
          <w:b w:val="0"/>
          <w:sz w:val="32"/>
        </w:rPr>
        <w:t>2024年度一般公共预算财政拨款基本支出251.08万元，其中：</w:t>
      </w:r>
      <w:r>
        <w:rPr>
          <w:rFonts w:ascii="仿宋_GB2312" w:hAnsi="仿宋_GB2312" w:eastAsia="仿宋_GB2312"/>
          <w:b/>
          <w:sz w:val="32"/>
        </w:rPr>
        <w:t>人员经费232.76万元，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包括：基本工资、津贴补贴、奖金、伙食补助费、机关事业单位基本养老保险缴费、职业年金缴费、职工基本医疗保险缴费、其他社会保障缴费、住房公积金、退休费、抚恤金、奖励金。</w:t>
      </w:r>
    </w:p>
    <w:p w14:paraId="35469DDD">
      <w:pPr>
        <w:spacing w:line="580" w:lineRule="exact"/>
        <w:ind w:firstLine="640"/>
        <w:jc w:val="both"/>
      </w:pPr>
      <w:r>
        <w:rPr>
          <w:rFonts w:ascii="仿宋_GB2312" w:hAnsi="仿宋_GB2312" w:eastAsia="仿宋_GB2312"/>
          <w:b/>
          <w:sz w:val="32"/>
        </w:rPr>
        <w:t>公用经费18.32万元，</w:t>
      </w:r>
      <w:r>
        <w:rPr>
          <w:rFonts w:ascii="仿宋_GB2312" w:hAnsi="仿宋_GB2312" w:eastAsia="仿宋_GB2312"/>
          <w:b w:val="0"/>
          <w:sz w:val="32"/>
        </w:rPr>
        <w:t>包括：办公费、印刷费、水费、电费、邮电费、取暖费、物业管理费、差旅费、维修（护）费、培训费、劳务费、工会经费、福利费、公务用车运行维护费。</w:t>
      </w:r>
    </w:p>
    <w:p w14:paraId="69AB48B4">
      <w:pPr>
        <w:spacing w:line="640" w:lineRule="exact"/>
        <w:ind w:firstLine="640"/>
        <w:jc w:val="both"/>
        <w:outlineLvl w:val="2"/>
      </w:pPr>
      <w:r>
        <w:rPr>
          <w:rFonts w:ascii="黑体" w:hAnsi="黑体" w:eastAsia="黑体"/>
          <w:sz w:val="32"/>
        </w:rPr>
        <w:t>七、政府性基金预算财政拨款收入支出决算情况说明</w:t>
      </w:r>
    </w:p>
    <w:p w14:paraId="5E17735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4101360">
      <w:pPr>
        <w:spacing w:line="640" w:lineRule="exact"/>
        <w:ind w:firstLine="640"/>
        <w:jc w:val="both"/>
        <w:outlineLvl w:val="2"/>
      </w:pPr>
      <w:r>
        <w:rPr>
          <w:rFonts w:ascii="黑体" w:hAnsi="黑体" w:eastAsia="黑体"/>
          <w:sz w:val="32"/>
        </w:rPr>
        <w:t>八、国有资本经营预算财政拨款收入支出决算情况说明</w:t>
      </w:r>
    </w:p>
    <w:p w14:paraId="673ED5C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289BB21">
      <w:pPr>
        <w:spacing w:line="640" w:lineRule="exact"/>
        <w:ind w:firstLine="640"/>
        <w:jc w:val="both"/>
        <w:outlineLvl w:val="2"/>
      </w:pPr>
      <w:r>
        <w:rPr>
          <w:rFonts w:ascii="黑体" w:hAnsi="黑体" w:eastAsia="黑体"/>
          <w:sz w:val="32"/>
        </w:rPr>
        <w:t>九、财政拨款“三公”经费支出决算情况说明</w:t>
      </w:r>
    </w:p>
    <w:p w14:paraId="2E8D6170">
      <w:pPr>
        <w:spacing w:line="580" w:lineRule="exact"/>
        <w:ind w:firstLine="640"/>
        <w:jc w:val="both"/>
      </w:pPr>
      <w:r>
        <w:rPr>
          <w:rFonts w:ascii="仿宋_GB2312" w:hAnsi="仿宋_GB2312" w:eastAsia="仿宋_GB2312"/>
          <w:b/>
          <w:sz w:val="32"/>
        </w:rPr>
        <w:t>2024年度财政拨款“三公”经费支出5.69万元，</w:t>
      </w:r>
      <w:r>
        <w:rPr>
          <w:rFonts w:ascii="仿宋_GB2312" w:hAnsi="仿宋_GB2312" w:eastAsia="仿宋_GB2312"/>
          <w:b w:val="0"/>
          <w:sz w:val="32"/>
        </w:rPr>
        <w:t>比上年减少0.12万元，下降2.06%，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5.69万元，占100.00%，比上年减少0.08万元，下降1.39%，主要原因是：严格落实中央八项规定精神，厉行节约，减少公务用车运行维护费。公务接待费支出0.00万元，占0.00%，比上年减少0.04万元，下降100.00%，主要原因是：本单位无公务接待费。</w:t>
      </w:r>
    </w:p>
    <w:p w14:paraId="0BE05E25">
      <w:pPr>
        <w:spacing w:line="580" w:lineRule="exact"/>
        <w:ind w:firstLine="640"/>
        <w:jc w:val="both"/>
      </w:pPr>
      <w:r>
        <w:rPr>
          <w:rFonts w:ascii="仿宋_GB2312" w:hAnsi="仿宋_GB2312" w:eastAsia="仿宋_GB2312"/>
          <w:b/>
          <w:sz w:val="32"/>
        </w:rPr>
        <w:t>具体情况如下：</w:t>
      </w:r>
    </w:p>
    <w:p w14:paraId="65E0920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CF9845D">
      <w:pPr>
        <w:spacing w:line="580" w:lineRule="exact"/>
        <w:ind w:firstLine="640"/>
        <w:jc w:val="both"/>
      </w:pPr>
      <w:r>
        <w:rPr>
          <w:rFonts w:ascii="仿宋_GB2312" w:hAnsi="仿宋_GB2312" w:eastAsia="仿宋_GB2312"/>
          <w:b w:val="0"/>
          <w:sz w:val="32"/>
        </w:rPr>
        <w:t>公务用车购置及运行维护费5.69万元，其中：公务用车购置费0.00万元，公务用车运行维护费5.69万元。公务用车运行维护费开支内容包括车辆加油费、保险费、过路费、维修费。公务用车购置数0辆，公务用车保有量1辆。国有资产占用情况中固定资产车辆1辆，与公务用车保有量差异原因是：本单位固定资产车辆与公务用车保有量一致无差异。</w:t>
      </w:r>
    </w:p>
    <w:p w14:paraId="4BFF9D7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68A200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5.69万元，决算数5.69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5.69万元，决算数5.69万元，预决算差异率0.00%，主要原因是：严格按照预算执行，预决算无差异。公务接待费全年预算数0.00万元，决算数0.00万元，预决算差异率0.00%，主要原因是：本单位无公务接待费。</w:t>
      </w:r>
    </w:p>
    <w:p w14:paraId="79EE59D1">
      <w:pPr>
        <w:spacing w:line="640" w:lineRule="exact"/>
        <w:ind w:firstLine="640"/>
        <w:jc w:val="both"/>
        <w:outlineLvl w:val="2"/>
      </w:pPr>
      <w:r>
        <w:rPr>
          <w:rFonts w:ascii="黑体" w:hAnsi="黑体" w:eastAsia="黑体"/>
          <w:sz w:val="32"/>
        </w:rPr>
        <w:t>十、其他重要事项的情况说明</w:t>
      </w:r>
    </w:p>
    <w:p w14:paraId="3E0DE70D">
      <w:pPr>
        <w:spacing w:line="640" w:lineRule="exact"/>
        <w:ind w:firstLine="640"/>
        <w:jc w:val="both"/>
        <w:outlineLvl w:val="3"/>
      </w:pPr>
      <w:r>
        <w:rPr>
          <w:rFonts w:ascii="楷体_GB2312" w:hAnsi="楷体_GB2312" w:eastAsia="楷体_GB2312"/>
          <w:b/>
          <w:sz w:val="32"/>
        </w:rPr>
        <w:t>（一）机关运行经费及公用经费支出情况</w:t>
      </w:r>
    </w:p>
    <w:p w14:paraId="3730074E">
      <w:pPr>
        <w:spacing w:line="580" w:lineRule="exact"/>
        <w:ind w:firstLine="640"/>
        <w:jc w:val="both"/>
      </w:pPr>
      <w:r>
        <w:rPr>
          <w:rFonts w:ascii="仿宋_GB2312" w:hAnsi="仿宋_GB2312" w:eastAsia="仿宋_GB2312"/>
          <w:b w:val="0"/>
          <w:sz w:val="32"/>
        </w:rPr>
        <w:t>2024年度新疆巴音郭楞蒙古自治州种子管理站（事业单位）公用经费支出18.32万元，比上年增加1.11万元，增长6.45%，主要原因是：本年增加培训经费、福利费用、办公费，公用经费支出增加。</w:t>
      </w:r>
    </w:p>
    <w:p w14:paraId="222CBEF2">
      <w:pPr>
        <w:spacing w:line="640" w:lineRule="exact"/>
        <w:ind w:firstLine="640"/>
        <w:jc w:val="both"/>
        <w:outlineLvl w:val="3"/>
      </w:pPr>
      <w:r>
        <w:rPr>
          <w:rFonts w:ascii="楷体_GB2312" w:hAnsi="楷体_GB2312" w:eastAsia="楷体_GB2312"/>
          <w:b/>
          <w:sz w:val="32"/>
        </w:rPr>
        <w:t>（二）政府采购情况</w:t>
      </w:r>
    </w:p>
    <w:p w14:paraId="6108DBBD">
      <w:pPr>
        <w:spacing w:line="580" w:lineRule="exact"/>
        <w:ind w:firstLine="640"/>
        <w:jc w:val="both"/>
      </w:pPr>
      <w:r>
        <w:rPr>
          <w:rFonts w:ascii="仿宋_GB2312" w:hAnsi="仿宋_GB2312" w:eastAsia="仿宋_GB2312"/>
          <w:b w:val="0"/>
          <w:sz w:val="32"/>
        </w:rPr>
        <w:t>2024年度政府采购支出总额14.23万元，其中：政府采购货物支出6.20万元、政府采购工程支出0.00万元、政府采购服务支出8.03万元。</w:t>
      </w:r>
    </w:p>
    <w:p w14:paraId="6D40D22E">
      <w:pPr>
        <w:spacing w:line="580" w:lineRule="exact"/>
        <w:ind w:firstLine="640"/>
        <w:jc w:val="both"/>
      </w:pPr>
      <w:r>
        <w:rPr>
          <w:rFonts w:ascii="仿宋_GB2312" w:hAnsi="仿宋_GB2312" w:eastAsia="仿宋_GB2312"/>
          <w:b w:val="0"/>
          <w:sz w:val="32"/>
        </w:rPr>
        <w:t>授予中小企业合同金额14.23万元，占政府采购支出总额的100.00%，其中：授予小微企业合同金额14.23万元，占政府采购支出总额的100.00%。</w:t>
      </w:r>
    </w:p>
    <w:p w14:paraId="19612ECD">
      <w:pPr>
        <w:spacing w:line="640" w:lineRule="exact"/>
        <w:ind w:firstLine="640"/>
        <w:jc w:val="both"/>
        <w:outlineLvl w:val="3"/>
      </w:pPr>
      <w:r>
        <w:rPr>
          <w:rFonts w:ascii="楷体_GB2312" w:hAnsi="楷体_GB2312" w:eastAsia="楷体_GB2312"/>
          <w:b/>
          <w:sz w:val="32"/>
        </w:rPr>
        <w:t>（三）国有资产占用情况说明</w:t>
      </w:r>
    </w:p>
    <w:p w14:paraId="5263ABA4">
      <w:pPr>
        <w:spacing w:line="580" w:lineRule="exact"/>
        <w:ind w:firstLine="640"/>
        <w:jc w:val="both"/>
      </w:pPr>
      <w:r>
        <w:rPr>
          <w:rFonts w:ascii="仿宋_GB2312" w:hAnsi="仿宋_GB2312" w:eastAsia="仿宋_GB2312"/>
          <w:b w:val="0"/>
          <w:sz w:val="32"/>
        </w:rPr>
        <w:t>截至2024年12月31日，房屋1,578.62平方米，价值222.60万元。车辆1辆，价值25.00万元，其中：副部（省）级及以上领导用车0辆、主要负责人用车0辆、机要通信用车0辆、应急保障用车0辆、执法执勤用车0辆、特种专业技术用车0辆、离退休干部服务用车0辆、其他用车1辆，其他用车主要是：单位公务用车。单价100万元（含）以上设备（不含车辆）0台（套）。</w:t>
      </w:r>
    </w:p>
    <w:p w14:paraId="22BC4489">
      <w:pPr>
        <w:spacing w:line="640" w:lineRule="exact"/>
        <w:ind w:firstLine="640"/>
        <w:jc w:val="both"/>
        <w:outlineLvl w:val="2"/>
      </w:pPr>
      <w:r>
        <w:rPr>
          <w:rFonts w:ascii="黑体" w:hAnsi="黑体" w:eastAsia="黑体"/>
          <w:sz w:val="32"/>
        </w:rPr>
        <w:t>十一、预算绩效的情况说明</w:t>
      </w:r>
    </w:p>
    <w:p w14:paraId="14D54897">
      <w:pPr>
        <w:spacing w:line="580" w:lineRule="exact"/>
        <w:ind w:firstLine="640"/>
        <w:jc w:val="both"/>
      </w:pPr>
      <w:r>
        <w:rPr>
          <w:rFonts w:ascii="仿宋_GB2312" w:hAnsi="仿宋_GB2312" w:eastAsia="仿宋_GB2312"/>
          <w:b w:val="0"/>
          <w:sz w:val="32"/>
        </w:rPr>
        <w:t>根据预算绩效管理要求，本单位预算绩效评价项目2个，全年预算数15.80万元，全年执行数15.32万元。预算绩效管理取得的成效：本单位高度重视财务工作，严格按照上级部门各类财务管理法律法规及规章制度、规范性文件等的要求，制定切合本单位实际的各类财务规章制度，在日常财务管理工作当中严格落实各项法律法规及规章制度，保证单位部门预算决算、政府采购、财务各类支出的高标准、高要求的执行。2024年度部门决算中每一笔资金编入到当年预算中，为做好预算编制提供可靠依据，强化预算执行，提高财政资金和非财政拨款资金的使用效益和行政运行效率。</w:t>
      </w:r>
      <w:r>
        <w:rPr>
          <w:rFonts w:hint="eastAsia" w:ascii="仿宋_GB2312" w:hAnsi="仿宋_GB2312" w:eastAsia="仿宋_GB2312"/>
          <w:b w:val="0"/>
          <w:sz w:val="32"/>
          <w:lang w:eastAsia="zh-CN"/>
        </w:rPr>
        <w:t>本单位</w:t>
      </w:r>
      <w:r>
        <w:rPr>
          <w:rFonts w:ascii="仿宋_GB2312" w:hAnsi="仿宋_GB2312" w:eastAsia="仿宋_GB2312"/>
          <w:b w:val="0"/>
          <w:sz w:val="32"/>
        </w:rPr>
        <w:t>对财务管理进行规范化，同州财政局农业科及时沟通学习，积极进行决算、编报、审核等工作按时完成，认真如实填报。在各环节加强监督和审核，保证财政资金的安全性、相关凭证的完整性、全面性，使用率的高效性，从而保证财务决算的真实性、准确性、完整性，最终决算数据能够正确体现我站一年的财务工作情况。为加强预算管理，规范财务行为，已制定各项管理制度，有效保障了高效履行工作职能，加强了制度建设，打牢绩效管理工作基础。开展绩效评价，提高了绩效工作管理水平，科学制定目标，促进了绩效目标顺利实现，提高了项目资金使用的绩效意识，以便项目实施完成，进行跟踪问效评价，对下一年此类项目预算编制提供参考。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项目支出绩效自评表和评价报告。</w:t>
      </w:r>
    </w:p>
    <w:p w14:paraId="54FC617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96"/>
        <w:gridCol w:w="632"/>
        <w:gridCol w:w="632"/>
      </w:tblGrid>
      <w:tr w14:paraId="24BDC7F1">
        <w:tblPrEx>
          <w:tblCellMar>
            <w:top w:w="0" w:type="dxa"/>
            <w:left w:w="108" w:type="dxa"/>
            <w:bottom w:w="0" w:type="dxa"/>
            <w:right w:w="108" w:type="dxa"/>
          </w:tblCellMar>
        </w:tblPrEx>
        <w:tc>
          <w:tcPr>
            <w:tcW w:w="8848" w:type="dxa"/>
            <w:gridSpan w:val="14"/>
            <w:vAlign w:val="center"/>
          </w:tcPr>
          <w:p w14:paraId="089AD256">
            <w:pPr>
              <w:jc w:val="center"/>
            </w:pPr>
            <w:r>
              <w:rPr>
                <w:rFonts w:ascii="宋体" w:hAnsi="宋体" w:eastAsia="宋体"/>
                <w:sz w:val="24"/>
              </w:rPr>
              <w:t>项目支出绩效自评表</w:t>
            </w:r>
          </w:p>
        </w:tc>
      </w:tr>
      <w:tr w14:paraId="5D3D8FCB">
        <w:tblPrEx>
          <w:tblCellMar>
            <w:top w:w="0" w:type="dxa"/>
            <w:left w:w="108" w:type="dxa"/>
            <w:bottom w:w="0" w:type="dxa"/>
            <w:right w:w="108" w:type="dxa"/>
          </w:tblCellMar>
        </w:tblPrEx>
        <w:tc>
          <w:tcPr>
            <w:tcW w:w="8848" w:type="dxa"/>
            <w:gridSpan w:val="14"/>
            <w:vAlign w:val="center"/>
          </w:tcPr>
          <w:p w14:paraId="09871D36">
            <w:pPr>
              <w:jc w:val="center"/>
            </w:pPr>
            <w:r>
              <w:rPr>
                <w:rFonts w:ascii="宋体" w:hAnsi="宋体" w:eastAsia="宋体"/>
                <w:sz w:val="24"/>
              </w:rPr>
              <w:t>(2024年度)</w:t>
            </w:r>
          </w:p>
        </w:tc>
      </w:tr>
      <w:tr w14:paraId="36BD3F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A73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DB087D">
            <w:pPr>
              <w:jc w:val="center"/>
            </w:pPr>
            <w:r>
              <w:rPr>
                <w:rFonts w:ascii="宋体" w:hAnsi="宋体" w:eastAsia="宋体"/>
                <w:sz w:val="16"/>
              </w:rPr>
              <w:t>2024年自有资金项目</w:t>
            </w:r>
          </w:p>
        </w:tc>
      </w:tr>
      <w:tr w14:paraId="14650E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5B9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65F696">
            <w:pPr>
              <w:jc w:val="center"/>
            </w:pPr>
            <w:r>
              <w:rPr>
                <w:rFonts w:ascii="宋体" w:hAnsi="宋体" w:eastAsia="宋体"/>
                <w:sz w:val="16"/>
              </w:rPr>
              <w:t>新疆巴音郭楞蒙古自治州种子管理站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952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F9C715">
            <w:pPr>
              <w:jc w:val="center"/>
            </w:pPr>
            <w:r>
              <w:rPr>
                <w:rFonts w:ascii="宋体" w:hAnsi="宋体" w:eastAsia="宋体"/>
                <w:sz w:val="16"/>
              </w:rPr>
              <w:t>新疆巴音郭楞蒙古自治州种子管理站</w:t>
            </w:r>
          </w:p>
        </w:tc>
      </w:tr>
      <w:tr w14:paraId="78683B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C08D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BEC0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E8A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14A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070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61A7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B42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283D">
            <w:pPr>
              <w:jc w:val="center"/>
            </w:pPr>
            <w:r>
              <w:rPr>
                <w:rFonts w:ascii="宋体" w:hAnsi="宋体" w:eastAsia="宋体"/>
                <w:sz w:val="16"/>
              </w:rPr>
              <w:t>得分</w:t>
            </w:r>
          </w:p>
        </w:tc>
      </w:tr>
      <w:tr w14:paraId="3FFCB1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E1F4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5FB1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434FA">
            <w:pPr>
              <w:jc w:val="center"/>
            </w:pPr>
            <w:r>
              <w:rPr>
                <w:rFonts w:ascii="宋体" w:hAnsi="宋体" w:eastAsia="宋体"/>
                <w:sz w:val="16"/>
              </w:rPr>
              <w:t>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2B074">
            <w:pPr>
              <w:jc w:val="center"/>
            </w:pPr>
            <w:r>
              <w:rPr>
                <w:rFonts w:ascii="宋体" w:hAnsi="宋体" w:eastAsia="宋体"/>
                <w:sz w:val="16"/>
              </w:rPr>
              <w:t>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80C60">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E3A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26FAB">
            <w:pPr>
              <w:jc w:val="center"/>
            </w:pPr>
            <w:r>
              <w:rPr>
                <w:rFonts w:ascii="宋体" w:hAnsi="宋体" w:eastAsia="宋体"/>
                <w:sz w:val="16"/>
              </w:rPr>
              <w:t>78.57%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2133">
            <w:pPr>
              <w:jc w:val="center"/>
            </w:pPr>
            <w:r>
              <w:rPr>
                <w:rFonts w:ascii="宋体" w:hAnsi="宋体" w:eastAsia="宋体"/>
                <w:sz w:val="16"/>
              </w:rPr>
              <w:t>4.64</w:t>
            </w:r>
          </w:p>
        </w:tc>
      </w:tr>
      <w:tr w14:paraId="5C2833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FC4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2BE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372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543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4AB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B75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658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F0622">
            <w:pPr>
              <w:jc w:val="center"/>
            </w:pPr>
            <w:r>
              <w:rPr>
                <w:rFonts w:ascii="宋体" w:hAnsi="宋体" w:eastAsia="宋体"/>
                <w:sz w:val="16"/>
              </w:rPr>
              <w:t>-</w:t>
            </w:r>
          </w:p>
        </w:tc>
      </w:tr>
      <w:tr w14:paraId="159C2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DE3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56AA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71F46">
            <w:pPr>
              <w:jc w:val="center"/>
            </w:pPr>
            <w:r>
              <w:rPr>
                <w:rFonts w:ascii="宋体" w:hAnsi="宋体" w:eastAsia="宋体"/>
                <w:sz w:val="16"/>
              </w:rPr>
              <w:t>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E5599">
            <w:pPr>
              <w:jc w:val="center"/>
            </w:pPr>
            <w:r>
              <w:rPr>
                <w:rFonts w:ascii="宋体" w:hAnsi="宋体" w:eastAsia="宋体"/>
                <w:sz w:val="16"/>
              </w:rPr>
              <w:t>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E37E4">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05D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FC2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23FE">
            <w:pPr>
              <w:jc w:val="center"/>
            </w:pPr>
            <w:r>
              <w:rPr>
                <w:rFonts w:ascii="宋体" w:hAnsi="宋体" w:eastAsia="宋体"/>
                <w:sz w:val="16"/>
              </w:rPr>
              <w:t>-</w:t>
            </w:r>
          </w:p>
        </w:tc>
      </w:tr>
      <w:tr w14:paraId="0B18A2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1577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B4F0B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AF4D43">
            <w:pPr>
              <w:jc w:val="center"/>
            </w:pPr>
            <w:r>
              <w:rPr>
                <w:rFonts w:ascii="宋体" w:hAnsi="宋体" w:eastAsia="宋体"/>
                <w:sz w:val="16"/>
              </w:rPr>
              <w:t>总体目标完成情况</w:t>
            </w:r>
          </w:p>
        </w:tc>
      </w:tr>
      <w:tr w14:paraId="07771D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F4F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8B38AF">
            <w:pPr>
              <w:jc w:val="both"/>
            </w:pPr>
            <w:r>
              <w:rPr>
                <w:rFonts w:ascii="宋体" w:hAnsi="宋体" w:eastAsia="宋体"/>
                <w:sz w:val="16"/>
              </w:rPr>
              <w:t>主要用于办公室233平方米顶棚维修，以达到办公室13名工作人员上班感到安全舒适,工作办公正常运转。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E25FC5">
            <w:pPr>
              <w:jc w:val="both"/>
            </w:pPr>
            <w:r>
              <w:rPr>
                <w:rFonts w:ascii="宋体" w:hAnsi="宋体" w:eastAsia="宋体"/>
                <w:sz w:val="16"/>
              </w:rPr>
              <w:t>维修办公室顶棚共130平方米，解决了顶棚表面污渍、变形、裂缝等问题，降低维修成本；使办公室整体外观更加整洁、美观，提升办公环境的舒适度，</w:t>
            </w:r>
          </w:p>
        </w:tc>
      </w:tr>
      <w:tr w14:paraId="2D79FA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6CEE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2D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492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85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049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D6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1A44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350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F37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B17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105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029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8A9D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1D638">
            <w:pPr>
              <w:jc w:val="center"/>
            </w:pPr>
            <w:r>
              <w:rPr>
                <w:rFonts w:ascii="宋体" w:hAnsi="宋体" w:eastAsia="宋体"/>
                <w:sz w:val="16"/>
              </w:rPr>
              <w:t>偏差原因分析及改进措施</w:t>
            </w:r>
          </w:p>
        </w:tc>
      </w:tr>
      <w:tr w14:paraId="037067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7FF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997B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59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4C7D">
            <w:pPr>
              <w:jc w:val="center"/>
            </w:pPr>
            <w:r>
              <w:rPr>
                <w:rFonts w:ascii="宋体" w:hAnsi="宋体" w:eastAsia="宋体"/>
                <w:sz w:val="16"/>
              </w:rPr>
              <w:t>维修顶棚面积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0BAC">
            <w:pPr>
              <w:jc w:val="center"/>
            </w:pPr>
            <w:r>
              <w:rPr>
                <w:rFonts w:ascii="宋体" w:hAnsi="宋体" w:eastAsia="宋体"/>
                <w:sz w:val="16"/>
              </w:rPr>
              <w:t>&gt;=233平方米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4C9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14A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05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08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6C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56230">
            <w:pPr>
              <w:jc w:val="center"/>
            </w:pPr>
            <w:r>
              <w:rPr>
                <w:rFonts w:ascii="宋体" w:hAnsi="宋体" w:eastAsia="宋体"/>
                <w:sz w:val="16"/>
              </w:rPr>
              <w:t>=130平方米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7F928">
            <w:pPr>
              <w:jc w:val="center"/>
            </w:pPr>
            <w:r>
              <w:rPr>
                <w:rFonts w:ascii="宋体" w:hAnsi="宋体" w:eastAsia="宋体"/>
                <w:sz w:val="16"/>
              </w:rPr>
              <w:t>55.79%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EDA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CB042">
            <w:pPr>
              <w:jc w:val="center"/>
            </w:pPr>
            <w:r>
              <w:rPr>
                <w:rFonts w:ascii="宋体" w:hAnsi="宋体" w:eastAsia="宋体"/>
                <w:sz w:val="16"/>
              </w:rPr>
              <w:t>因该自有资金项目绩效目标是在2023年10月做预算时定的维修面积与价格为：60元/㎡，维修233㎡，2024年维修时因市场</w:t>
            </w:r>
            <w:r>
              <w:rPr>
                <w:rFonts w:hint="eastAsia" w:ascii="宋体" w:hAnsi="宋体"/>
                <w:sz w:val="16"/>
                <w:lang w:eastAsia="zh-CN"/>
              </w:rPr>
              <w:t>价格</w:t>
            </w:r>
            <w:r>
              <w:rPr>
                <w:rFonts w:ascii="宋体" w:hAnsi="宋体" w:eastAsia="宋体"/>
                <w:sz w:val="16"/>
              </w:rPr>
              <w:t>变化原因，实际单价为106元/㎡，因自有资金总额不变，只更换了容易漏水的部位，维修面积共130㎡（自有资金维修占104.1㎡）</w:t>
            </w:r>
          </w:p>
        </w:tc>
      </w:tr>
      <w:tr w14:paraId="6B09FB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B8A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711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5DE9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1E99">
            <w:pPr>
              <w:jc w:val="center"/>
            </w:pPr>
            <w:r>
              <w:rPr>
                <w:rFonts w:ascii="宋体" w:hAnsi="宋体" w:eastAsia="宋体"/>
                <w:sz w:val="16"/>
              </w:rPr>
              <w:t>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D9A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80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DE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E82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AE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DD68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D0A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B8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38F6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BCCE">
            <w:pPr>
              <w:jc w:val="center"/>
            </w:pPr>
            <w:r>
              <w:rPr>
                <w:rFonts w:ascii="宋体" w:hAnsi="宋体" w:eastAsia="宋体"/>
                <w:sz w:val="16"/>
              </w:rPr>
              <w:t>维修较好，超出预期目标</w:t>
            </w:r>
          </w:p>
        </w:tc>
      </w:tr>
      <w:tr w14:paraId="171E72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82E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29E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819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4F39">
            <w:pPr>
              <w:jc w:val="center"/>
            </w:pPr>
            <w:r>
              <w:rPr>
                <w:rFonts w:ascii="宋体" w:hAnsi="宋体" w:eastAsia="宋体"/>
                <w:sz w:val="16"/>
              </w:rPr>
              <w:t>维修质量达标率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0C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6F4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7E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B5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85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C0F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33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0A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7A9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7E05">
            <w:pPr>
              <w:jc w:val="center"/>
            </w:pPr>
            <w:r>
              <w:rPr>
                <w:rFonts w:ascii="宋体" w:hAnsi="宋体" w:eastAsia="宋体"/>
                <w:sz w:val="16"/>
              </w:rPr>
              <w:t>维修较好，超出预期目标</w:t>
            </w:r>
          </w:p>
        </w:tc>
      </w:tr>
      <w:tr w14:paraId="75654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06B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E89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5E0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9350">
            <w:pPr>
              <w:jc w:val="center"/>
            </w:pPr>
            <w:r>
              <w:rPr>
                <w:rFonts w:ascii="宋体" w:hAnsi="宋体" w:eastAsia="宋体"/>
                <w:sz w:val="16"/>
              </w:rPr>
              <w:t>维修按计划开工时间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4F0E">
            <w:pPr>
              <w:jc w:val="center"/>
            </w:pPr>
            <w:r>
              <w:rPr>
                <w:rFonts w:ascii="宋体" w:hAnsi="宋体" w:eastAsia="宋体"/>
                <w:sz w:val="16"/>
              </w:rPr>
              <w:t>2024年2月15日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FB8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35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8E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CA1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C8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FA2F">
            <w:pPr>
              <w:jc w:val="center"/>
            </w:pPr>
            <w:r>
              <w:rPr>
                <w:rFonts w:ascii="宋体" w:hAnsi="宋体" w:eastAsia="宋体"/>
                <w:sz w:val="16"/>
              </w:rPr>
              <w:t>=2024年2月15日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1D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869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8442">
            <w:pPr>
              <w:jc w:val="center"/>
            </w:pPr>
          </w:p>
        </w:tc>
      </w:tr>
      <w:tr w14:paraId="709184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F94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91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6CC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0FB7">
            <w:pPr>
              <w:jc w:val="center"/>
            </w:pPr>
            <w:r>
              <w:rPr>
                <w:rFonts w:ascii="宋体" w:hAnsi="宋体" w:eastAsia="宋体"/>
                <w:sz w:val="16"/>
              </w:rPr>
              <w:t>维修按计划完工时间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9AD0">
            <w:pPr>
              <w:jc w:val="center"/>
            </w:pPr>
            <w:r>
              <w:rPr>
                <w:rFonts w:ascii="宋体" w:hAnsi="宋体" w:eastAsia="宋体"/>
                <w:sz w:val="16"/>
              </w:rPr>
              <w:t>2024年10月30日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E4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60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9C4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4B6B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32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D31E3">
            <w:pPr>
              <w:jc w:val="center"/>
            </w:pPr>
            <w:r>
              <w:rPr>
                <w:rFonts w:ascii="宋体" w:hAnsi="宋体" w:eastAsia="宋体"/>
                <w:sz w:val="16"/>
              </w:rPr>
              <w:t>2024年3月28日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18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76C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D2CE">
            <w:pPr>
              <w:jc w:val="center"/>
            </w:pPr>
          </w:p>
        </w:tc>
      </w:tr>
      <w:tr w14:paraId="2E1E5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4C7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6A6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2F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A4FE">
            <w:pPr>
              <w:jc w:val="center"/>
            </w:pPr>
            <w:r>
              <w:rPr>
                <w:rFonts w:ascii="宋体" w:hAnsi="宋体" w:eastAsia="宋体"/>
                <w:sz w:val="16"/>
              </w:rPr>
              <w:t>每平方米维修费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9F74">
            <w:pPr>
              <w:jc w:val="center"/>
            </w:pPr>
            <w:r>
              <w:rPr>
                <w:rFonts w:ascii="宋体" w:hAnsi="宋体" w:eastAsia="宋体"/>
                <w:sz w:val="16"/>
              </w:rPr>
              <w:t>&lt;=60元/平方米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AEF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87C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01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6E0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FB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BDCB2">
            <w:pPr>
              <w:jc w:val="center"/>
            </w:pPr>
            <w:r>
              <w:rPr>
                <w:rFonts w:ascii="宋体" w:hAnsi="宋体" w:eastAsia="宋体"/>
                <w:sz w:val="16"/>
              </w:rPr>
              <w:t>=106元/平方米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88C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3DC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E45F">
            <w:pPr>
              <w:jc w:val="center"/>
            </w:pPr>
            <w:r>
              <w:rPr>
                <w:rFonts w:ascii="宋体" w:hAnsi="宋体" w:eastAsia="宋体"/>
                <w:sz w:val="16"/>
              </w:rPr>
              <w:t>因该自有资2024年维修时因市场</w:t>
            </w:r>
            <w:r>
              <w:rPr>
                <w:rFonts w:hint="eastAsia" w:ascii="宋体" w:hAnsi="宋体"/>
                <w:sz w:val="16"/>
                <w:lang w:eastAsia="zh-CN"/>
              </w:rPr>
              <w:t>价格</w:t>
            </w:r>
            <w:r>
              <w:rPr>
                <w:rFonts w:ascii="宋体" w:hAnsi="宋体" w:eastAsia="宋体"/>
                <w:sz w:val="16"/>
              </w:rPr>
              <w:t>变化原因，实际单价为106元/㎡</w:t>
            </w:r>
          </w:p>
        </w:tc>
      </w:tr>
      <w:tr w14:paraId="734DED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B96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B92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85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1D90D">
            <w:pPr>
              <w:jc w:val="center"/>
            </w:pPr>
            <w:r>
              <w:rPr>
                <w:rFonts w:ascii="宋体" w:hAnsi="宋体" w:eastAsia="宋体"/>
                <w:sz w:val="16"/>
              </w:rPr>
              <w:t>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A18A">
            <w:pPr>
              <w:jc w:val="center"/>
            </w:pPr>
            <w:r>
              <w:rPr>
                <w:rFonts w:ascii="宋体" w:hAnsi="宋体" w:eastAsia="宋体"/>
                <w:sz w:val="16"/>
              </w:rPr>
              <w:t>&gt;=13人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A1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952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5109">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39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4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CD97">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E7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873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FC0A">
            <w:pPr>
              <w:jc w:val="center"/>
            </w:pPr>
          </w:p>
        </w:tc>
      </w:tr>
      <w:tr w14:paraId="318DA51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69DD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4F5D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2703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6900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D6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ADF0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95D9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3D41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FB82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C8FBD">
            <w:pPr>
              <w:jc w:val="center"/>
            </w:pPr>
            <w:r>
              <w:rPr>
                <w:rFonts w:ascii="宋体" w:hAnsi="宋体" w:eastAsia="宋体"/>
                <w:sz w:val="16"/>
              </w:rPr>
              <w:t>66.64分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35CEE0"/>
        </w:tc>
      </w:tr>
    </w:tbl>
    <w:p w14:paraId="12A0444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96"/>
        <w:gridCol w:w="625"/>
        <w:gridCol w:w="625"/>
        <w:gridCol w:w="627"/>
        <w:gridCol w:w="625"/>
        <w:gridCol w:w="625"/>
        <w:gridCol w:w="776"/>
        <w:gridCol w:w="696"/>
        <w:gridCol w:w="632"/>
        <w:gridCol w:w="629"/>
      </w:tblGrid>
      <w:tr w14:paraId="237C2138">
        <w:tblPrEx>
          <w:tblCellMar>
            <w:top w:w="0" w:type="dxa"/>
            <w:left w:w="108" w:type="dxa"/>
            <w:bottom w:w="0" w:type="dxa"/>
            <w:right w:w="108" w:type="dxa"/>
          </w:tblCellMar>
        </w:tblPrEx>
        <w:tc>
          <w:tcPr>
            <w:tcW w:w="8848" w:type="dxa"/>
            <w:gridSpan w:val="14"/>
            <w:vAlign w:val="center"/>
          </w:tcPr>
          <w:p w14:paraId="71C2DD7B">
            <w:pPr>
              <w:jc w:val="center"/>
            </w:pPr>
            <w:r>
              <w:rPr>
                <w:rFonts w:ascii="宋体" w:hAnsi="宋体" w:eastAsia="宋体"/>
                <w:sz w:val="24"/>
              </w:rPr>
              <w:t>项目支出绩效自评表</w:t>
            </w:r>
          </w:p>
        </w:tc>
      </w:tr>
      <w:tr w14:paraId="7E8A7B47">
        <w:tblPrEx>
          <w:tblCellMar>
            <w:top w:w="0" w:type="dxa"/>
            <w:left w:w="108" w:type="dxa"/>
            <w:bottom w:w="0" w:type="dxa"/>
            <w:right w:w="108" w:type="dxa"/>
          </w:tblCellMar>
        </w:tblPrEx>
        <w:tc>
          <w:tcPr>
            <w:tcW w:w="8848" w:type="dxa"/>
            <w:gridSpan w:val="14"/>
            <w:vAlign w:val="center"/>
          </w:tcPr>
          <w:p w14:paraId="59DD7A3E">
            <w:pPr>
              <w:jc w:val="center"/>
            </w:pPr>
            <w:r>
              <w:rPr>
                <w:rFonts w:ascii="宋体" w:hAnsi="宋体" w:eastAsia="宋体"/>
                <w:sz w:val="24"/>
              </w:rPr>
              <w:t>(2024年度)</w:t>
            </w:r>
          </w:p>
        </w:tc>
      </w:tr>
      <w:tr w14:paraId="7196F0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4CB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68722E">
            <w:pPr>
              <w:jc w:val="center"/>
            </w:pPr>
            <w:r>
              <w:rPr>
                <w:rFonts w:ascii="宋体" w:hAnsi="宋体" w:eastAsia="宋体"/>
                <w:sz w:val="16"/>
              </w:rPr>
              <w:t>种子检验、试验项目</w:t>
            </w:r>
          </w:p>
        </w:tc>
      </w:tr>
      <w:tr w14:paraId="23529A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A2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39E471">
            <w:pPr>
              <w:jc w:val="center"/>
            </w:pPr>
            <w:r>
              <w:rPr>
                <w:rFonts w:ascii="宋体" w:hAnsi="宋体" w:eastAsia="宋体"/>
                <w:sz w:val="16"/>
              </w:rPr>
              <w:t>新疆巴音郭楞蒙古自治州种子管理站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DF2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475079">
            <w:pPr>
              <w:jc w:val="center"/>
            </w:pPr>
            <w:r>
              <w:rPr>
                <w:rFonts w:ascii="宋体" w:hAnsi="宋体" w:eastAsia="宋体"/>
                <w:sz w:val="16"/>
              </w:rPr>
              <w:t>新疆巴音郭楞蒙古自治州种子管理站</w:t>
            </w:r>
          </w:p>
        </w:tc>
      </w:tr>
      <w:tr w14:paraId="631017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AADA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4042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6D3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783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0F8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66FE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3B6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59E5">
            <w:pPr>
              <w:jc w:val="center"/>
            </w:pPr>
            <w:r>
              <w:rPr>
                <w:rFonts w:ascii="宋体" w:hAnsi="宋体" w:eastAsia="宋体"/>
                <w:sz w:val="16"/>
              </w:rPr>
              <w:t>得分</w:t>
            </w:r>
          </w:p>
        </w:tc>
      </w:tr>
      <w:tr w14:paraId="75FA96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9D02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207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63A5F">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56534">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BE30A">
            <w:pPr>
              <w:jc w:val="center"/>
            </w:pPr>
            <w:r>
              <w:rPr>
                <w:rFonts w:ascii="宋体" w:hAnsi="宋体" w:eastAsia="宋体"/>
                <w:sz w:val="16"/>
              </w:rPr>
              <w:t>14.22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DD9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74A55">
            <w:pPr>
              <w:jc w:val="center"/>
            </w:pPr>
            <w:r>
              <w:rPr>
                <w:rFonts w:ascii="宋体" w:hAnsi="宋体" w:eastAsia="宋体"/>
                <w:sz w:val="16"/>
              </w:rPr>
              <w:t>98.75%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DC0B">
            <w:pPr>
              <w:jc w:val="center"/>
            </w:pPr>
            <w:r>
              <w:rPr>
                <w:rFonts w:ascii="宋体" w:hAnsi="宋体" w:eastAsia="宋体"/>
                <w:sz w:val="16"/>
              </w:rPr>
              <w:t>9.69</w:t>
            </w:r>
          </w:p>
        </w:tc>
      </w:tr>
      <w:tr w14:paraId="329D3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EF7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940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5BFDA">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3F9A9">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6C12F">
            <w:pPr>
              <w:jc w:val="center"/>
            </w:pPr>
            <w:r>
              <w:rPr>
                <w:rFonts w:ascii="宋体" w:hAnsi="宋体" w:eastAsia="宋体"/>
                <w:sz w:val="16"/>
              </w:rPr>
              <w:t>14.22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364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B65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0C38">
            <w:pPr>
              <w:jc w:val="center"/>
            </w:pPr>
            <w:r>
              <w:rPr>
                <w:rFonts w:ascii="宋体" w:hAnsi="宋体" w:eastAsia="宋体"/>
                <w:sz w:val="16"/>
              </w:rPr>
              <w:t>-</w:t>
            </w:r>
          </w:p>
        </w:tc>
      </w:tr>
      <w:tr w14:paraId="424C3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571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02F6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3A9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FCA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7A0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B01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E6D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92B2">
            <w:pPr>
              <w:jc w:val="center"/>
            </w:pPr>
            <w:r>
              <w:rPr>
                <w:rFonts w:ascii="宋体" w:hAnsi="宋体" w:eastAsia="宋体"/>
                <w:sz w:val="16"/>
              </w:rPr>
              <w:t>-</w:t>
            </w:r>
          </w:p>
        </w:tc>
      </w:tr>
      <w:tr w14:paraId="1AFAEA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2E14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65B47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F6E3EA">
            <w:pPr>
              <w:jc w:val="center"/>
            </w:pPr>
            <w:r>
              <w:rPr>
                <w:rFonts w:ascii="宋体" w:hAnsi="宋体" w:eastAsia="宋体"/>
                <w:sz w:val="16"/>
              </w:rPr>
              <w:t>总体目标完成情况</w:t>
            </w:r>
          </w:p>
        </w:tc>
      </w:tr>
      <w:tr w14:paraId="320544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9F0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5E8415">
            <w:pPr>
              <w:jc w:val="both"/>
            </w:pPr>
            <w:r>
              <w:rPr>
                <w:rFonts w:ascii="宋体" w:hAnsi="宋体" w:eastAsia="宋体"/>
                <w:sz w:val="16"/>
              </w:rPr>
              <w:t>单位10名专业技术人员利用单位一辆车完成州域内农作物田间检验及室内检验任务。田间检验以棉花为主，面积为35万亩；室内检验以检测农作物种子四项指标为主，2024年安排抽检市场及企业冬春季种子室内检测120余次。保证种子质量，为全州提供优良品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678CFF">
            <w:pPr>
              <w:jc w:val="both"/>
            </w:pPr>
            <w:r>
              <w:rPr>
                <w:rFonts w:ascii="宋体" w:hAnsi="宋体" w:eastAsia="宋体"/>
                <w:sz w:val="16"/>
              </w:rPr>
              <w:t>保障完成单位10名专业技术人员及一辆车完成州域内农作物田间检验及室内检验任务，完成棉花、小麦等农作物田间检验35万亩；在冬春两季开展农作物种子市场及企业冬抽检工作，完成种子室内检验检测120次。种子质量有所保障，达到预期目标。</w:t>
            </w:r>
          </w:p>
        </w:tc>
      </w:tr>
      <w:tr w14:paraId="04D2D2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8104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89D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546D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414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B69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F30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0DE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CE6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ACA8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213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0A35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6180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AAA5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59AB9">
            <w:pPr>
              <w:jc w:val="center"/>
            </w:pPr>
            <w:r>
              <w:rPr>
                <w:rFonts w:ascii="宋体" w:hAnsi="宋体" w:eastAsia="宋体"/>
                <w:sz w:val="16"/>
              </w:rPr>
              <w:t>偏差原因分析及改进措施</w:t>
            </w:r>
          </w:p>
        </w:tc>
      </w:tr>
      <w:tr w14:paraId="313D32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1A86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676F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BFA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880D">
            <w:pPr>
              <w:jc w:val="center"/>
            </w:pPr>
            <w:r>
              <w:rPr>
                <w:rFonts w:ascii="宋体" w:hAnsi="宋体" w:eastAsia="宋体"/>
                <w:sz w:val="16"/>
              </w:rPr>
              <w:t>种子室内检测检测批次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386A">
            <w:pPr>
              <w:jc w:val="center"/>
            </w:pPr>
            <w:r>
              <w:rPr>
                <w:rFonts w:ascii="宋体" w:hAnsi="宋体" w:eastAsia="宋体"/>
                <w:sz w:val="16"/>
              </w:rPr>
              <w:t>&gt;=120次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1A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E1C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CE6D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54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41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6BB7">
            <w:pPr>
              <w:jc w:val="center"/>
            </w:pPr>
            <w:r>
              <w:rPr>
                <w:rFonts w:ascii="宋体" w:hAnsi="宋体" w:eastAsia="宋体"/>
                <w:sz w:val="16"/>
              </w:rPr>
              <w:t>=120次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119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7D8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6CBA">
            <w:pPr>
              <w:jc w:val="center"/>
            </w:pPr>
          </w:p>
        </w:tc>
      </w:tr>
      <w:tr w14:paraId="06E828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3F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818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809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71D0E">
            <w:pPr>
              <w:jc w:val="center"/>
            </w:pPr>
            <w:r>
              <w:rPr>
                <w:rFonts w:ascii="宋体" w:hAnsi="宋体" w:eastAsia="宋体"/>
                <w:sz w:val="16"/>
              </w:rPr>
              <w:t>保障专业技术人员数量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8114">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B7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BD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4ABC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0D3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BD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002F5">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7FB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B40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11894">
            <w:pPr>
              <w:jc w:val="center"/>
            </w:pPr>
          </w:p>
        </w:tc>
      </w:tr>
      <w:tr w14:paraId="5AB3B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51B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9EB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0A9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A410F">
            <w:pPr>
              <w:jc w:val="center"/>
            </w:pPr>
            <w:r>
              <w:rPr>
                <w:rFonts w:ascii="宋体" w:hAnsi="宋体" w:eastAsia="宋体"/>
                <w:sz w:val="16"/>
              </w:rPr>
              <w:t>公务用车保障数量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A8B9">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ED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1B3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1270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9F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6A2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0C8F0">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49E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9D2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949D">
            <w:pPr>
              <w:jc w:val="center"/>
            </w:pPr>
          </w:p>
        </w:tc>
      </w:tr>
      <w:tr w14:paraId="3563B7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43D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0E2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9C6E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AA74">
            <w:pPr>
              <w:jc w:val="center"/>
            </w:pPr>
            <w:r>
              <w:rPr>
                <w:rFonts w:ascii="宋体" w:hAnsi="宋体" w:eastAsia="宋体"/>
                <w:sz w:val="16"/>
              </w:rPr>
              <w:t>种子室内检测合格率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76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FD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087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8E63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14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40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8D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FF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882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9255">
            <w:pPr>
              <w:jc w:val="center"/>
            </w:pPr>
          </w:p>
        </w:tc>
      </w:tr>
      <w:tr w14:paraId="10544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79E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EF6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8CC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3510">
            <w:pPr>
              <w:jc w:val="center"/>
            </w:pPr>
            <w:r>
              <w:rPr>
                <w:rFonts w:ascii="宋体" w:hAnsi="宋体" w:eastAsia="宋体"/>
                <w:sz w:val="16"/>
              </w:rPr>
              <w:t>种子试验完成率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87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C8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978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8C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7D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040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0AC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96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4D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49C80">
            <w:pPr>
              <w:jc w:val="center"/>
            </w:pPr>
          </w:p>
        </w:tc>
      </w:tr>
      <w:tr w14:paraId="1DA2C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828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1E7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6BF2E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E4B3">
            <w:pPr>
              <w:jc w:val="center"/>
            </w:pPr>
            <w:r>
              <w:rPr>
                <w:rFonts w:ascii="宋体" w:hAnsi="宋体" w:eastAsia="宋体"/>
                <w:sz w:val="16"/>
              </w:rPr>
              <w:t>室内检验按期完成率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8EC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DBB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DF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F5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59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22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A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7F5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49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652E">
            <w:pPr>
              <w:jc w:val="center"/>
            </w:pPr>
          </w:p>
        </w:tc>
      </w:tr>
      <w:tr w14:paraId="5A234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FC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36E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7FC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B0B15">
            <w:pPr>
              <w:jc w:val="center"/>
            </w:pPr>
            <w:r>
              <w:rPr>
                <w:rFonts w:ascii="宋体" w:hAnsi="宋体" w:eastAsia="宋体"/>
                <w:sz w:val="16"/>
              </w:rPr>
              <w:t>工作经费支付及时率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80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15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781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1C8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0A4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F0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1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979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15B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AE10">
            <w:pPr>
              <w:jc w:val="center"/>
            </w:pPr>
          </w:p>
        </w:tc>
      </w:tr>
      <w:tr w14:paraId="3D2726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A06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8ADA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32F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5EF80">
            <w:pPr>
              <w:jc w:val="center"/>
            </w:pPr>
            <w:r>
              <w:rPr>
                <w:rFonts w:ascii="宋体" w:hAnsi="宋体" w:eastAsia="宋体"/>
                <w:sz w:val="16"/>
              </w:rPr>
              <w:t>种子室内检验成本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304AD">
            <w:pPr>
              <w:jc w:val="center"/>
            </w:pPr>
            <w:r>
              <w:rPr>
                <w:rFonts w:ascii="宋体" w:hAnsi="宋体" w:eastAsia="宋体"/>
                <w:sz w:val="16"/>
              </w:rPr>
              <w:t>&lt;=5.50万元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275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A7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97A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3D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A85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9FF9">
            <w:pPr>
              <w:jc w:val="center"/>
            </w:pPr>
            <w:r>
              <w:rPr>
                <w:rFonts w:ascii="宋体" w:hAnsi="宋体" w:eastAsia="宋体"/>
                <w:sz w:val="16"/>
              </w:rPr>
              <w:t>=5.3195万元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EA92">
            <w:pPr>
              <w:jc w:val="center"/>
            </w:pPr>
            <w:r>
              <w:rPr>
                <w:rFonts w:ascii="宋体" w:hAnsi="宋体" w:eastAsia="宋体"/>
                <w:sz w:val="16"/>
              </w:rPr>
              <w:t>96.72%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CD228">
            <w:pPr>
              <w:jc w:val="center"/>
            </w:pPr>
            <w:r>
              <w:rPr>
                <w:rFonts w:ascii="宋体" w:hAnsi="宋体" w:eastAsia="宋体"/>
                <w:sz w:val="16"/>
              </w:rPr>
              <w:t>9.18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941C">
            <w:pPr>
              <w:jc w:val="center"/>
            </w:pPr>
            <w:r>
              <w:rPr>
                <w:rFonts w:ascii="宋体" w:hAnsi="宋体" w:eastAsia="宋体"/>
                <w:sz w:val="16"/>
              </w:rPr>
              <w:t>预算设置不合理，汽油款未支付完成，存在偏差。改进措施：积累经验，</w:t>
            </w:r>
            <w:r>
              <w:rPr>
                <w:rFonts w:hint="eastAsia" w:ascii="宋体" w:hAnsi="宋体"/>
                <w:sz w:val="16"/>
                <w:lang w:eastAsia="zh-CN"/>
              </w:rPr>
              <w:t>纠正偏差</w:t>
            </w:r>
            <w:r>
              <w:rPr>
                <w:rFonts w:ascii="宋体" w:hAnsi="宋体" w:eastAsia="宋体"/>
                <w:sz w:val="16"/>
              </w:rPr>
              <w:t>措施，合理设置项目绩效目标。</w:t>
            </w:r>
          </w:p>
        </w:tc>
      </w:tr>
      <w:tr w14:paraId="32122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59C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C4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52B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14C93">
            <w:pPr>
              <w:jc w:val="center"/>
            </w:pPr>
            <w:r>
              <w:rPr>
                <w:rFonts w:ascii="宋体" w:hAnsi="宋体" w:eastAsia="宋体"/>
                <w:sz w:val="16"/>
              </w:rPr>
              <w:t>专业技术人员工作经费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BDA40">
            <w:pPr>
              <w:jc w:val="center"/>
            </w:pPr>
            <w:r>
              <w:rPr>
                <w:rFonts w:ascii="宋体" w:hAnsi="宋体" w:eastAsia="宋体"/>
                <w:sz w:val="16"/>
              </w:rPr>
              <w:t>&lt;=8.90万元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91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54C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EC6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A9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E7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EC026">
            <w:pPr>
              <w:jc w:val="center"/>
            </w:pPr>
            <w:r>
              <w:rPr>
                <w:rFonts w:ascii="宋体" w:hAnsi="宋体" w:eastAsia="宋体"/>
                <w:sz w:val="16"/>
              </w:rPr>
              <w:t>=8.9万元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A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F6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187C">
            <w:pPr>
              <w:jc w:val="center"/>
            </w:pPr>
          </w:p>
        </w:tc>
      </w:tr>
      <w:tr w14:paraId="01748A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271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F60C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F8B4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0145D">
            <w:pPr>
              <w:jc w:val="center"/>
            </w:pPr>
            <w:r>
              <w:rPr>
                <w:rFonts w:ascii="宋体" w:hAnsi="宋体" w:eastAsia="宋体"/>
                <w:sz w:val="16"/>
              </w:rPr>
              <w:t>保障农民用种安全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23DA7">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4A3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FFA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AF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CC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61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184F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5E4F">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48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5BEE">
            <w:pPr>
              <w:jc w:val="center"/>
            </w:pPr>
            <w:r>
              <w:rPr>
                <w:rFonts w:ascii="宋体" w:hAnsi="宋体" w:eastAsia="宋体"/>
                <w:sz w:val="16"/>
              </w:rPr>
              <w:t>部分农民对优质种子的重要性认识不足，选择购买低价种子或者种植自留种，存在偏差。改进措施：积极推介优良品种，提高良种覆盖率，依托科技人员加大优良品种的宣传力度。</w:t>
            </w:r>
          </w:p>
        </w:tc>
      </w:tr>
      <w:tr w14:paraId="29926E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99D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46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8B1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36D36">
            <w:pPr>
              <w:jc w:val="center"/>
            </w:pPr>
            <w:r>
              <w:rPr>
                <w:rFonts w:ascii="宋体" w:hAnsi="宋体" w:eastAsia="宋体"/>
                <w:sz w:val="16"/>
              </w:rPr>
              <w:t>受检企业满意度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6B9D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3F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E5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3D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4B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4E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266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4E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97C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1A56F">
            <w:pPr>
              <w:jc w:val="center"/>
            </w:pPr>
          </w:p>
        </w:tc>
      </w:tr>
      <w:tr w14:paraId="24ABD9A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B5F09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9E3F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C42C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BEAD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5D6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D615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1513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7042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6438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E75C">
            <w:pPr>
              <w:jc w:val="center"/>
            </w:pPr>
            <w:r>
              <w:rPr>
                <w:rFonts w:ascii="宋体" w:hAnsi="宋体" w:eastAsia="宋体"/>
                <w:sz w:val="16"/>
              </w:rPr>
              <w:t>98.87分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9C49B9"/>
        </w:tc>
      </w:tr>
    </w:tbl>
    <w:p w14:paraId="0355C7A4">
      <w:r>
        <w:br w:type="page"/>
      </w:r>
    </w:p>
    <w:p w14:paraId="741353A0">
      <w:pPr>
        <w:spacing w:line="640" w:lineRule="exact"/>
        <w:ind w:firstLine="640"/>
        <w:jc w:val="both"/>
        <w:outlineLvl w:val="2"/>
      </w:pPr>
      <w:r>
        <w:rPr>
          <w:rFonts w:ascii="黑体" w:hAnsi="黑体" w:eastAsia="黑体"/>
          <w:sz w:val="32"/>
        </w:rPr>
        <w:t>十二、其他需说明的事项</w:t>
      </w:r>
    </w:p>
    <w:p w14:paraId="14861D1D">
      <w:pPr>
        <w:spacing w:line="580" w:lineRule="exact"/>
        <w:ind w:firstLine="640"/>
        <w:jc w:val="both"/>
      </w:pPr>
      <w:r>
        <w:rPr>
          <w:rFonts w:ascii="仿宋_GB2312" w:hAnsi="仿宋_GB2312" w:eastAsia="仿宋_GB2312"/>
          <w:b w:val="0"/>
          <w:sz w:val="32"/>
        </w:rPr>
        <w:t>本年度本单位整体绩效自评表由主管部门编报并公开。</w:t>
      </w:r>
    </w:p>
    <w:p w14:paraId="604CDA3B">
      <w:r>
        <w:br w:type="page"/>
      </w:r>
    </w:p>
    <w:p w14:paraId="58C350C2">
      <w:pPr>
        <w:spacing w:line="240" w:lineRule="auto"/>
        <w:jc w:val="center"/>
        <w:outlineLvl w:val="1"/>
      </w:pPr>
      <w:r>
        <w:rPr>
          <w:rFonts w:ascii="黑体" w:hAnsi="黑体" w:eastAsia="黑体"/>
          <w:sz w:val="32"/>
        </w:rPr>
        <w:t>第三部分 专业名词解释</w:t>
      </w:r>
    </w:p>
    <w:p w14:paraId="7D16CD5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B7F283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37B16C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6240D7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CB189D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7737E2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1D7FA4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B95629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2B8767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08F274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D03459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50F3A6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355A44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35FFEC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FBD2E61">
      <w:r>
        <w:br w:type="page"/>
      </w:r>
    </w:p>
    <w:p w14:paraId="7D07B2F4">
      <w:pPr>
        <w:spacing w:line="240" w:lineRule="auto"/>
        <w:jc w:val="center"/>
        <w:outlineLvl w:val="1"/>
      </w:pPr>
      <w:r>
        <w:rPr>
          <w:rFonts w:ascii="黑体" w:hAnsi="黑体" w:eastAsia="黑体"/>
          <w:sz w:val="32"/>
        </w:rPr>
        <w:t>第四部分 部门决算报表（见附表）</w:t>
      </w:r>
    </w:p>
    <w:p w14:paraId="5B599F7A">
      <w:pPr>
        <w:spacing w:line="240" w:lineRule="auto"/>
        <w:ind w:firstLine="640"/>
        <w:jc w:val="both"/>
      </w:pPr>
      <w:r>
        <w:rPr>
          <w:rFonts w:ascii="仿宋_GB2312" w:hAnsi="仿宋_GB2312" w:eastAsia="仿宋_GB2312"/>
          <w:b w:val="0"/>
          <w:sz w:val="32"/>
        </w:rPr>
        <w:t>一、《收入支出决算总表》</w:t>
      </w:r>
    </w:p>
    <w:p w14:paraId="11DB326D">
      <w:pPr>
        <w:spacing w:line="240" w:lineRule="auto"/>
        <w:ind w:firstLine="640"/>
        <w:jc w:val="both"/>
      </w:pPr>
      <w:r>
        <w:rPr>
          <w:rFonts w:ascii="仿宋_GB2312" w:hAnsi="仿宋_GB2312" w:eastAsia="仿宋_GB2312"/>
          <w:b w:val="0"/>
          <w:sz w:val="32"/>
        </w:rPr>
        <w:t>二、《收入决算表》</w:t>
      </w:r>
    </w:p>
    <w:p w14:paraId="7809797E">
      <w:pPr>
        <w:spacing w:line="240" w:lineRule="auto"/>
        <w:ind w:firstLine="640"/>
        <w:jc w:val="both"/>
      </w:pPr>
      <w:r>
        <w:rPr>
          <w:rFonts w:ascii="仿宋_GB2312" w:hAnsi="仿宋_GB2312" w:eastAsia="仿宋_GB2312"/>
          <w:b w:val="0"/>
          <w:sz w:val="32"/>
        </w:rPr>
        <w:t>三、《支出决算表》</w:t>
      </w:r>
    </w:p>
    <w:p w14:paraId="0340E712">
      <w:pPr>
        <w:spacing w:line="240" w:lineRule="auto"/>
        <w:ind w:firstLine="640"/>
        <w:jc w:val="both"/>
      </w:pPr>
      <w:r>
        <w:rPr>
          <w:rFonts w:ascii="仿宋_GB2312" w:hAnsi="仿宋_GB2312" w:eastAsia="仿宋_GB2312"/>
          <w:b w:val="0"/>
          <w:sz w:val="32"/>
        </w:rPr>
        <w:t>四、《财政拨款收入支出决算总表》</w:t>
      </w:r>
    </w:p>
    <w:p w14:paraId="4E686690">
      <w:pPr>
        <w:spacing w:line="240" w:lineRule="auto"/>
        <w:ind w:firstLine="640"/>
        <w:jc w:val="both"/>
      </w:pPr>
      <w:r>
        <w:rPr>
          <w:rFonts w:ascii="仿宋_GB2312" w:hAnsi="仿宋_GB2312" w:eastAsia="仿宋_GB2312"/>
          <w:b w:val="0"/>
          <w:sz w:val="32"/>
        </w:rPr>
        <w:t>五、《一般公共预算财政拨款支出决算表》</w:t>
      </w:r>
    </w:p>
    <w:p w14:paraId="09FC7B6E">
      <w:pPr>
        <w:spacing w:line="240" w:lineRule="auto"/>
        <w:ind w:firstLine="640"/>
        <w:jc w:val="both"/>
      </w:pPr>
      <w:r>
        <w:rPr>
          <w:rFonts w:ascii="仿宋_GB2312" w:hAnsi="仿宋_GB2312" w:eastAsia="仿宋_GB2312"/>
          <w:b w:val="0"/>
          <w:sz w:val="32"/>
        </w:rPr>
        <w:t>六、《一般公共预算财政拨款基本支出决算表》</w:t>
      </w:r>
    </w:p>
    <w:p w14:paraId="14438E4E">
      <w:pPr>
        <w:spacing w:line="240" w:lineRule="auto"/>
        <w:ind w:firstLine="640"/>
        <w:jc w:val="both"/>
      </w:pPr>
      <w:r>
        <w:rPr>
          <w:rFonts w:ascii="仿宋_GB2312" w:hAnsi="仿宋_GB2312" w:eastAsia="仿宋_GB2312"/>
          <w:b w:val="0"/>
          <w:sz w:val="32"/>
        </w:rPr>
        <w:t>七、《政府性基金预算财政拨款收入支出决算表》</w:t>
      </w:r>
    </w:p>
    <w:p w14:paraId="4ACE7363">
      <w:pPr>
        <w:spacing w:line="240" w:lineRule="auto"/>
        <w:ind w:firstLine="640"/>
        <w:jc w:val="both"/>
      </w:pPr>
      <w:r>
        <w:rPr>
          <w:rFonts w:ascii="仿宋_GB2312" w:hAnsi="仿宋_GB2312" w:eastAsia="仿宋_GB2312"/>
          <w:b w:val="0"/>
          <w:sz w:val="32"/>
        </w:rPr>
        <w:t>八、《国有资本经营预算财政拨款收入支出决算表》</w:t>
      </w:r>
    </w:p>
    <w:p w14:paraId="15810F24">
      <w:pPr>
        <w:spacing w:line="240" w:lineRule="auto"/>
        <w:ind w:firstLine="640"/>
        <w:jc w:val="both"/>
      </w:pPr>
      <w:r>
        <w:rPr>
          <w:rFonts w:ascii="仿宋_GB2312" w:hAnsi="仿宋_GB2312" w:eastAsia="仿宋_GB2312"/>
          <w:b w:val="0"/>
          <w:sz w:val="32"/>
        </w:rPr>
        <w:t>九、《财政拨款“三公”经费支出决算表》</w:t>
      </w:r>
    </w:p>
    <w:p w14:paraId="12547F58">
      <w:pPr>
        <w:spacing w:line="240" w:lineRule="auto"/>
        <w:ind w:firstLine="640"/>
        <w:jc w:val="both"/>
      </w:pPr>
    </w:p>
    <w:p w14:paraId="60D92C4A">
      <w:pPr>
        <w:spacing w:line="240" w:lineRule="auto"/>
        <w:ind w:firstLine="640"/>
        <w:jc w:val="both"/>
      </w:pPr>
    </w:p>
    <w:p w14:paraId="057F111C">
      <w:pPr>
        <w:spacing w:line="240" w:lineRule="auto"/>
        <w:ind w:firstLine="640"/>
        <w:jc w:val="both"/>
      </w:pPr>
    </w:p>
    <w:p w14:paraId="5EC338FB">
      <w:pPr>
        <w:spacing w:line="240" w:lineRule="auto"/>
        <w:ind w:firstLine="640"/>
        <w:jc w:val="both"/>
      </w:pPr>
    </w:p>
    <w:p w14:paraId="7E18DEB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7B9BB8B-1234-42A9-81B0-22CE4FD7277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F7FC243-A07A-48CC-A38D-8A8A1E8D5611}"/>
  </w:font>
  <w:font w:name="仿宋_GB2312">
    <w:panose1 w:val="02010609030101010101"/>
    <w:charset w:val="86"/>
    <w:family w:val="modern"/>
    <w:pitch w:val="default"/>
    <w:sig w:usb0="00000001" w:usb1="080E0000" w:usb2="00000000" w:usb3="00000000" w:csb0="00040000" w:csb1="00000000"/>
    <w:embedRegular r:id="rId3" w:fontKey="{3D1D7DAC-351B-4346-8C57-BF7ADB03C18A}"/>
  </w:font>
  <w:font w:name="楷体_GB2312">
    <w:panose1 w:val="02010609030101010101"/>
    <w:charset w:val="86"/>
    <w:family w:val="auto"/>
    <w:pitch w:val="default"/>
    <w:sig w:usb0="00000001" w:usb1="080E0000" w:usb2="00000000" w:usb3="00000000" w:csb0="00040000" w:csb1="00000000"/>
    <w:embedRegular r:id="rId4" w:fontKey="{85C50A46-416E-459D-A54A-FAC63CD73EE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97139D"/>
    <w:rsid w:val="29116777"/>
    <w:rsid w:val="2A053397"/>
    <w:rsid w:val="2A444FB1"/>
    <w:rsid w:val="2A6064E2"/>
    <w:rsid w:val="2C1965E9"/>
    <w:rsid w:val="2D1136DF"/>
    <w:rsid w:val="2DAE0E44"/>
    <w:rsid w:val="2FD27414"/>
    <w:rsid w:val="313F1D52"/>
    <w:rsid w:val="318029AB"/>
    <w:rsid w:val="31C63837"/>
    <w:rsid w:val="326F0A17"/>
    <w:rsid w:val="3277581B"/>
    <w:rsid w:val="34A67D2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5608</Words>
  <Characters>6299</Characters>
  <Lines>0</Lines>
  <Paragraphs>0</Paragraphs>
  <TotalTime>6</TotalTime>
  <ScaleCrop>false</ScaleCrop>
  <LinksUpToDate>false</LinksUpToDate>
  <CharactersWithSpaces>6307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2025-09-11T11:59:43Z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