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8339A1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新疆巴音郭楞蒙古自治州种蜂场</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A9FD0F">
      <w:r>
        <w:br w:type="page"/>
      </w:r>
    </w:p>
    <w:p w14:paraId="4A94D9DF">
      <w:pPr>
        <w:spacing w:line="640" w:lineRule="exact"/>
        <w:jc w:val="center"/>
        <w:outlineLvl w:val="1"/>
      </w:pPr>
      <w:r>
        <w:rPr>
          <w:rFonts w:ascii="黑体" w:hAnsi="黑体" w:eastAsia="黑体"/>
          <w:sz w:val="32"/>
        </w:rPr>
        <w:t>第一部分 单位概况</w:t>
      </w:r>
    </w:p>
    <w:p w14:paraId="2F2821AC">
      <w:pPr>
        <w:spacing w:line="640" w:lineRule="exact"/>
        <w:ind w:firstLine="640"/>
        <w:jc w:val="both"/>
        <w:outlineLvl w:val="2"/>
      </w:pPr>
      <w:r>
        <w:rPr>
          <w:rFonts w:ascii="黑体" w:hAnsi="黑体" w:eastAsia="黑体"/>
          <w:sz w:val="32"/>
        </w:rPr>
        <w:t>一、主要职能</w:t>
      </w:r>
    </w:p>
    <w:p w14:paraId="35E79CCB">
      <w:pPr>
        <w:spacing w:line="580" w:lineRule="exact"/>
        <w:ind w:firstLine="640"/>
        <w:jc w:val="both"/>
      </w:pPr>
      <w:r>
        <w:rPr>
          <w:rFonts w:ascii="仿宋_GB2312" w:hAnsi="仿宋_GB2312" w:eastAsia="仿宋_GB2312"/>
          <w:sz w:val="32"/>
        </w:rPr>
        <w:t>贯彻执行国家、自治区和自治州有关蜂业的法规和政策；研究制定自治州蜂业发展规划；承担自治州蜜蜂品种、蜜蜂源植物资源的保护、管理工作；负责蜜蜂病虫害的防治及预测预报工作；组织开展蜜蜂源植物、优势蜂种的保纯、应用、推广和先进养蜂技术的试验、示范、推广等工作。</w:t>
      </w:r>
    </w:p>
    <w:p w14:paraId="0C99D76A">
      <w:pPr>
        <w:spacing w:line="640" w:lineRule="exact"/>
        <w:ind w:firstLine="640"/>
        <w:jc w:val="both"/>
        <w:outlineLvl w:val="2"/>
      </w:pPr>
      <w:r>
        <w:rPr>
          <w:rFonts w:ascii="黑体" w:hAnsi="黑体" w:eastAsia="黑体"/>
          <w:sz w:val="32"/>
        </w:rPr>
        <w:t>二、机构设置及人员情况</w:t>
      </w:r>
    </w:p>
    <w:p w14:paraId="40C2EB19">
      <w:pPr>
        <w:spacing w:line="580" w:lineRule="exact"/>
        <w:ind w:firstLine="640"/>
        <w:jc w:val="both"/>
      </w:pPr>
      <w:r>
        <w:rPr>
          <w:rFonts w:ascii="仿宋_GB2312" w:hAnsi="仿宋_GB2312" w:eastAsia="仿宋_GB2312"/>
          <w:sz w:val="32"/>
        </w:rPr>
        <w:t>新疆巴音郭楞蒙古自治州种蜂场2024年度，实有人数28人，其中：在职人员15人，增加3人；离休人员0人，增加0人；退休人员13人,减少1人。</w:t>
      </w:r>
    </w:p>
    <w:p w14:paraId="41B035A2">
      <w:pPr>
        <w:spacing w:line="580" w:lineRule="exact"/>
        <w:ind w:firstLine="640"/>
        <w:jc w:val="both"/>
      </w:pPr>
      <w:r>
        <w:rPr>
          <w:rFonts w:ascii="仿宋_GB2312" w:hAnsi="仿宋_GB2312" w:eastAsia="仿宋_GB2312"/>
          <w:sz w:val="32"/>
        </w:rPr>
        <w:t>新疆巴音郭楞蒙古自治州种蜂场无下属预算单位，下设1个科室，分别是：办公室。</w:t>
      </w:r>
    </w:p>
    <w:p w14:paraId="37C69ADD">
      <w:r>
        <w:br w:type="page"/>
      </w:r>
    </w:p>
    <w:p w14:paraId="38123D33">
      <w:pPr>
        <w:spacing w:line="240" w:lineRule="auto"/>
        <w:jc w:val="center"/>
        <w:outlineLvl w:val="1"/>
      </w:pPr>
      <w:r>
        <w:rPr>
          <w:rFonts w:ascii="黑体" w:hAnsi="黑体" w:eastAsia="黑体"/>
          <w:sz w:val="32"/>
        </w:rPr>
        <w:t>第二部分 部门决算情况说明</w:t>
      </w:r>
    </w:p>
    <w:p w14:paraId="7669AB2B">
      <w:pPr>
        <w:spacing w:line="640" w:lineRule="exact"/>
        <w:ind w:firstLine="640"/>
        <w:jc w:val="both"/>
        <w:outlineLvl w:val="2"/>
      </w:pPr>
      <w:r>
        <w:rPr>
          <w:rFonts w:ascii="黑体" w:hAnsi="黑体" w:eastAsia="黑体"/>
          <w:sz w:val="32"/>
        </w:rPr>
        <w:t>一、收入支出决算总体情况说明</w:t>
      </w:r>
    </w:p>
    <w:p w14:paraId="65BD22B0">
      <w:pPr>
        <w:spacing w:line="580" w:lineRule="exact"/>
        <w:ind w:firstLine="640"/>
        <w:jc w:val="both"/>
      </w:pPr>
      <w:r>
        <w:rPr>
          <w:rFonts w:ascii="仿宋_GB2312" w:hAnsi="仿宋_GB2312" w:eastAsia="仿宋_GB2312"/>
          <w:b/>
          <w:sz w:val="32"/>
        </w:rPr>
        <w:t>2024年度收入总计209.23万元，</w:t>
      </w:r>
      <w:r>
        <w:rPr>
          <w:rFonts w:ascii="仿宋_GB2312" w:hAnsi="仿宋_GB2312" w:eastAsia="仿宋_GB2312"/>
          <w:b w:val="0"/>
          <w:sz w:val="32"/>
        </w:rPr>
        <w:t>其中：本年收入合计209.23万元，使用非财政拨款结余（含专用结余）0.00万元，年初结转和结余0.00万元。</w:t>
      </w:r>
    </w:p>
    <w:p w14:paraId="1CCBD025">
      <w:pPr>
        <w:spacing w:line="580" w:lineRule="exact"/>
        <w:ind w:firstLine="640"/>
        <w:jc w:val="both"/>
      </w:pPr>
      <w:r>
        <w:rPr>
          <w:rFonts w:ascii="仿宋_GB2312" w:hAnsi="仿宋_GB2312" w:eastAsia="仿宋_GB2312"/>
          <w:b/>
          <w:sz w:val="32"/>
        </w:rPr>
        <w:t>2024年度支出总计209.23万元，</w:t>
      </w:r>
      <w:r>
        <w:rPr>
          <w:rFonts w:ascii="仿宋_GB2312" w:hAnsi="仿宋_GB2312" w:eastAsia="仿宋_GB2312"/>
          <w:b w:val="0"/>
          <w:sz w:val="32"/>
        </w:rPr>
        <w:t>其中：本年支出合计209.21万元，结余分配0.00万元，年末结转和结余0.02万元。</w:t>
      </w:r>
    </w:p>
    <w:p w14:paraId="4C89197C">
      <w:pPr>
        <w:spacing w:line="580" w:lineRule="exact"/>
        <w:ind w:firstLine="640"/>
        <w:jc w:val="both"/>
      </w:pPr>
      <w:r>
        <w:rPr>
          <w:rFonts w:ascii="仿宋_GB2312" w:hAnsi="仿宋_GB2312" w:eastAsia="仿宋_GB2312"/>
          <w:b w:val="0"/>
          <w:sz w:val="32"/>
        </w:rPr>
        <w:t>收入支出总体与上年相比，增加6.00万元，增长2.95%，主要原因是：本年在职人员增加，在职人员工资调增、社保、公积金基数调增，人员经费增加。</w:t>
      </w:r>
    </w:p>
    <w:p w14:paraId="6E71F28F">
      <w:pPr>
        <w:spacing w:line="640" w:lineRule="exact"/>
        <w:ind w:firstLine="640"/>
        <w:jc w:val="both"/>
        <w:outlineLvl w:val="2"/>
      </w:pPr>
      <w:r>
        <w:rPr>
          <w:rFonts w:ascii="黑体" w:hAnsi="黑体" w:eastAsia="黑体"/>
          <w:sz w:val="32"/>
        </w:rPr>
        <w:t>二、收入决算情况说明</w:t>
      </w:r>
    </w:p>
    <w:p w14:paraId="4B25974B">
      <w:pPr>
        <w:spacing w:line="580" w:lineRule="exact"/>
        <w:ind w:firstLine="640"/>
        <w:jc w:val="both"/>
      </w:pPr>
      <w:r>
        <w:rPr>
          <w:rFonts w:ascii="仿宋_GB2312" w:hAnsi="仿宋_GB2312" w:eastAsia="仿宋_GB2312"/>
          <w:b/>
          <w:sz w:val="32"/>
        </w:rPr>
        <w:t>本年收入209.23万元，</w:t>
      </w:r>
      <w:r>
        <w:rPr>
          <w:rFonts w:ascii="仿宋_GB2312" w:hAnsi="仿宋_GB2312" w:eastAsia="仿宋_GB2312"/>
          <w:b w:val="0"/>
          <w:sz w:val="32"/>
        </w:rPr>
        <w:t>其中：财政拨款收入199.73万元，占95.46%；上级补助收入0.00万元，占0.00%；事业收入0.00万元，占0.00%；经营收入0.00万元，占0.00%；附属单位上缴收入0.00万元，占0.00%；其他收入9.51万元，占4.55%。</w:t>
      </w:r>
    </w:p>
    <w:p w14:paraId="721CE482">
      <w:pPr>
        <w:spacing w:line="640" w:lineRule="exact"/>
        <w:ind w:firstLine="640"/>
        <w:jc w:val="both"/>
        <w:outlineLvl w:val="2"/>
      </w:pPr>
      <w:r>
        <w:rPr>
          <w:rFonts w:ascii="黑体" w:hAnsi="黑体" w:eastAsia="黑体"/>
          <w:sz w:val="32"/>
        </w:rPr>
        <w:t>三、支出决算情况说明</w:t>
      </w:r>
    </w:p>
    <w:p w14:paraId="11E2989F">
      <w:pPr>
        <w:spacing w:line="580" w:lineRule="exact"/>
        <w:ind w:firstLine="640"/>
        <w:jc w:val="both"/>
      </w:pPr>
      <w:r>
        <w:rPr>
          <w:rFonts w:ascii="仿宋_GB2312" w:hAnsi="仿宋_GB2312" w:eastAsia="仿宋_GB2312"/>
          <w:b/>
          <w:sz w:val="32"/>
        </w:rPr>
        <w:t>本年支出209.21万元，</w:t>
      </w:r>
      <w:r>
        <w:rPr>
          <w:rFonts w:ascii="仿宋_GB2312" w:hAnsi="仿宋_GB2312" w:eastAsia="仿宋_GB2312"/>
          <w:b w:val="0"/>
          <w:sz w:val="32"/>
        </w:rPr>
        <w:t>其中：基本支出199.51万元，占95.36%；项目支出9.70万元，占4.64%；上缴上级支出0.00万元，占0.00%；经营支出0.00万元，占0.00%；对附属单位补助支出0.00万元，占0.00%。</w:t>
      </w:r>
    </w:p>
    <w:p w14:paraId="447160A9">
      <w:pPr>
        <w:spacing w:line="640" w:lineRule="exact"/>
        <w:ind w:firstLine="640"/>
        <w:jc w:val="both"/>
        <w:outlineLvl w:val="2"/>
      </w:pPr>
      <w:r>
        <w:rPr>
          <w:rFonts w:ascii="黑体" w:hAnsi="黑体" w:eastAsia="黑体"/>
          <w:sz w:val="32"/>
        </w:rPr>
        <w:t>四、财政拨款收入支出决算总体情况说明</w:t>
      </w:r>
    </w:p>
    <w:p w14:paraId="25F4C9FA">
      <w:pPr>
        <w:spacing w:line="580" w:lineRule="exact"/>
        <w:ind w:firstLine="640"/>
        <w:jc w:val="both"/>
      </w:pPr>
      <w:r>
        <w:rPr>
          <w:rFonts w:ascii="仿宋_GB2312" w:hAnsi="仿宋_GB2312" w:eastAsia="仿宋_GB2312"/>
          <w:b/>
          <w:sz w:val="32"/>
        </w:rPr>
        <w:t>2024年度财政拨款收入总计199.73万元，</w:t>
      </w:r>
      <w:r>
        <w:rPr>
          <w:rFonts w:ascii="仿宋_GB2312" w:hAnsi="仿宋_GB2312" w:eastAsia="仿宋_GB2312"/>
          <w:b w:val="0"/>
          <w:sz w:val="32"/>
        </w:rPr>
        <w:t>其中：年初财政拨款结转和结余0.00万元，本年财政拨款收入199.73万元。</w:t>
      </w:r>
      <w:r>
        <w:rPr>
          <w:rFonts w:ascii="仿宋_GB2312" w:hAnsi="仿宋_GB2312" w:eastAsia="仿宋_GB2312"/>
          <w:b/>
          <w:sz w:val="32"/>
        </w:rPr>
        <w:t>财政拨款支出总计199.73万元，</w:t>
      </w:r>
      <w:r>
        <w:rPr>
          <w:rFonts w:ascii="仿宋_GB2312" w:hAnsi="仿宋_GB2312" w:eastAsia="仿宋_GB2312"/>
          <w:b w:val="0"/>
          <w:sz w:val="32"/>
        </w:rPr>
        <w:t>其中：年末财政拨款结转和结余0.00万元，本年财政拨款支出199.73万元。</w:t>
      </w:r>
    </w:p>
    <w:p w14:paraId="03F804A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增加4.83万元，增长2.48%，主要原因是：本年在职人员增加，在职人员工资调增、社保、公积金基数调增，人员经费增加。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年初预算数203.66万元，决算数199.73万元，预决算差异率-1.93%，主要原因是：</w:t>
      </w:r>
      <w:r>
        <w:rPr>
          <w:rFonts w:hint="eastAsia" w:ascii="仿宋_GB2312" w:hAnsi="仿宋_GB2312" w:eastAsia="仿宋_GB2312"/>
          <w:b w:val="0"/>
          <w:sz w:val="32"/>
          <w:lang w:val="en-US" w:eastAsia="zh-CN"/>
        </w:rPr>
        <w:t>年中调减人员</w:t>
      </w:r>
      <w:r>
        <w:rPr>
          <w:rFonts w:ascii="仿宋_GB2312" w:hAnsi="仿宋_GB2312" w:eastAsia="仿宋_GB2312"/>
          <w:b w:val="0"/>
          <w:sz w:val="32"/>
        </w:rPr>
        <w:t>绩效工资、奖金。</w:t>
      </w:r>
    </w:p>
    <w:p w14:paraId="41C3FDDB">
      <w:pPr>
        <w:spacing w:line="640" w:lineRule="exact"/>
        <w:ind w:firstLine="640"/>
        <w:jc w:val="both"/>
        <w:outlineLvl w:val="2"/>
      </w:pPr>
      <w:r>
        <w:rPr>
          <w:rFonts w:ascii="黑体" w:hAnsi="黑体" w:eastAsia="黑体"/>
          <w:sz w:val="32"/>
        </w:rPr>
        <w:t>五、一般公共预算财政拨款支出决算情况说明</w:t>
      </w:r>
    </w:p>
    <w:p w14:paraId="5CFF76A1">
      <w:pPr>
        <w:spacing w:line="640" w:lineRule="exact"/>
        <w:ind w:firstLine="640"/>
        <w:jc w:val="both"/>
        <w:outlineLvl w:val="3"/>
      </w:pPr>
      <w:r>
        <w:rPr>
          <w:rFonts w:ascii="楷体_GB2312" w:hAnsi="楷体_GB2312" w:eastAsia="楷体_GB2312"/>
          <w:b/>
          <w:sz w:val="32"/>
        </w:rPr>
        <w:t>（一）一般公共预算财政拨款支出决算总体情况</w:t>
      </w:r>
    </w:p>
    <w:p w14:paraId="681E6A69">
      <w:pPr>
        <w:spacing w:line="580" w:lineRule="exact"/>
        <w:ind w:firstLine="640"/>
        <w:jc w:val="both"/>
      </w:pPr>
      <w:r>
        <w:rPr>
          <w:rFonts w:ascii="仿宋_GB2312" w:hAnsi="仿宋_GB2312" w:eastAsia="仿宋_GB2312"/>
          <w:b/>
          <w:sz w:val="32"/>
        </w:rPr>
        <w:t>2024年度一般公共预算财政拨款支出199.73万元，</w:t>
      </w:r>
      <w:r>
        <w:rPr>
          <w:rFonts w:ascii="仿宋_GB2312" w:hAnsi="仿宋_GB2312" w:eastAsia="仿宋_GB2312"/>
          <w:b w:val="0"/>
          <w:sz w:val="32"/>
        </w:rPr>
        <w:t>占本年支出合计的95.47%。</w:t>
      </w:r>
      <w:r>
        <w:rPr>
          <w:rFonts w:ascii="仿宋_GB2312" w:hAnsi="仿宋_GB2312" w:eastAsia="仿宋_GB2312"/>
          <w:b/>
          <w:sz w:val="32"/>
        </w:rPr>
        <w:t>与上年相比，</w:t>
      </w:r>
      <w:r>
        <w:rPr>
          <w:rFonts w:ascii="仿宋_GB2312" w:hAnsi="仿宋_GB2312" w:eastAsia="仿宋_GB2312"/>
          <w:b w:val="0"/>
          <w:sz w:val="32"/>
        </w:rPr>
        <w:t>增加4.83万元，增长2.48%，主要原因是：本年在职人员增加，在职人员工资调增、社保、公积金基数调增，人员经费增加。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年初预算数203.66万元，决算数199.73万元，预决算差异率-1.93%，主要原因是：</w:t>
      </w:r>
      <w:r>
        <w:rPr>
          <w:rFonts w:hint="eastAsia" w:ascii="仿宋_GB2312" w:hAnsi="仿宋_GB2312" w:eastAsia="仿宋_GB2312"/>
          <w:b w:val="0"/>
          <w:sz w:val="32"/>
          <w:lang w:val="en-US" w:eastAsia="zh-CN"/>
        </w:rPr>
        <w:t>年中调减人员</w:t>
      </w:r>
      <w:r>
        <w:rPr>
          <w:rFonts w:ascii="仿宋_GB2312" w:hAnsi="仿宋_GB2312" w:eastAsia="仿宋_GB2312"/>
          <w:b w:val="0"/>
          <w:sz w:val="32"/>
        </w:rPr>
        <w:t>绩效工资、奖金。</w:t>
      </w:r>
    </w:p>
    <w:p w14:paraId="333C5DD1">
      <w:pPr>
        <w:spacing w:line="640" w:lineRule="exact"/>
        <w:ind w:firstLine="640"/>
        <w:jc w:val="both"/>
        <w:outlineLvl w:val="3"/>
      </w:pPr>
      <w:r>
        <w:rPr>
          <w:rFonts w:ascii="楷体_GB2312" w:hAnsi="楷体_GB2312" w:eastAsia="楷体_GB2312"/>
          <w:b/>
          <w:sz w:val="32"/>
        </w:rPr>
        <w:t>（二）一般公共预算财政拨款支出决算结构情况</w:t>
      </w:r>
    </w:p>
    <w:p w14:paraId="7CC56B63">
      <w:pPr>
        <w:spacing w:line="580" w:lineRule="exact"/>
        <w:ind w:firstLine="640"/>
        <w:jc w:val="both"/>
      </w:pPr>
      <w:r>
        <w:rPr>
          <w:rFonts w:ascii="仿宋_GB2312" w:hAnsi="仿宋_GB2312" w:eastAsia="仿宋_GB2312"/>
          <w:b w:val="0"/>
          <w:sz w:val="32"/>
        </w:rPr>
        <w:t>1.社会保障和就业支出(类)43.26万元,占21.66%。</w:t>
      </w:r>
    </w:p>
    <w:p w14:paraId="68DEA8A2">
      <w:pPr>
        <w:spacing w:line="580" w:lineRule="exact"/>
        <w:ind w:firstLine="640"/>
        <w:jc w:val="both"/>
      </w:pPr>
      <w:r>
        <w:rPr>
          <w:rFonts w:ascii="仿宋_GB2312" w:hAnsi="仿宋_GB2312" w:eastAsia="仿宋_GB2312"/>
          <w:b w:val="0"/>
          <w:sz w:val="32"/>
        </w:rPr>
        <w:t>2.卫生健康支出(类)7.99万元,占4.00%。</w:t>
      </w:r>
    </w:p>
    <w:p w14:paraId="47E1DA55">
      <w:pPr>
        <w:spacing w:line="580" w:lineRule="exact"/>
        <w:ind w:firstLine="640"/>
        <w:jc w:val="both"/>
      </w:pPr>
      <w:r>
        <w:rPr>
          <w:rFonts w:ascii="仿宋_GB2312" w:hAnsi="仿宋_GB2312" w:eastAsia="仿宋_GB2312"/>
          <w:b w:val="0"/>
          <w:sz w:val="32"/>
        </w:rPr>
        <w:t>3.农林水支出(类)134.45万元,占67.32%。</w:t>
      </w:r>
    </w:p>
    <w:p w14:paraId="52264F3B">
      <w:pPr>
        <w:spacing w:line="580" w:lineRule="exact"/>
        <w:ind w:firstLine="640"/>
        <w:jc w:val="both"/>
      </w:pPr>
      <w:r>
        <w:rPr>
          <w:rFonts w:ascii="仿宋_GB2312" w:hAnsi="仿宋_GB2312" w:eastAsia="仿宋_GB2312"/>
          <w:b w:val="0"/>
          <w:sz w:val="32"/>
        </w:rPr>
        <w:t>4.住房保障支出(类)14.02万元,占7.02%。</w:t>
      </w:r>
    </w:p>
    <w:p w14:paraId="0B035D0F">
      <w:pPr>
        <w:spacing w:line="640" w:lineRule="exact"/>
        <w:ind w:firstLine="640"/>
        <w:jc w:val="both"/>
        <w:outlineLvl w:val="3"/>
      </w:pPr>
      <w:r>
        <w:rPr>
          <w:rFonts w:ascii="楷体_GB2312" w:hAnsi="楷体_GB2312" w:eastAsia="楷体_GB2312"/>
          <w:b/>
          <w:sz w:val="32"/>
        </w:rPr>
        <w:t>（三）一般公共预算财政拨款支出决算具体情况</w:t>
      </w:r>
    </w:p>
    <w:p w14:paraId="627F2F0A">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1.社会保障和就业支出(类)行政事业单位养老支出(款)事业单位离退休(项):支出决算数为17.04万元，比上年决算增加1.73万元，增长11.30%,主要原因是：本年增加退休人员基础绩效奖，退休费支出增加。</w:t>
      </w:r>
    </w:p>
    <w:p w14:paraId="36BD314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17.48万元，比上年决算增加1.41万元，增长8.77%,主要原因是：本年在职人员工资基数调增，养老缴费基数上涨，相应支出增加。</w:t>
      </w:r>
    </w:p>
    <w:p w14:paraId="1DBB27C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3.社会保障和就业支出(类)行政事业单位养老支出(款)机关事业单位职业年金缴费支出(项):支出决算数为8.74万元，比上年决算增加0.71万元，增长8.84%,主要原因是：本年</w:t>
      </w:r>
      <w:r>
        <w:rPr>
          <w:rFonts w:hint="eastAsia" w:ascii="仿宋_GB2312" w:hAnsi="仿宋_GB2312" w:eastAsia="仿宋_GB2312"/>
          <w:b w:val="0"/>
          <w:sz w:val="32"/>
          <w:lang w:val="en-US" w:eastAsia="zh-CN"/>
        </w:rPr>
        <w:t>发放上年退休人员剩余职业年金</w:t>
      </w:r>
      <w:r>
        <w:rPr>
          <w:rFonts w:ascii="仿宋_GB2312" w:hAnsi="仿宋_GB2312" w:eastAsia="仿宋_GB2312"/>
          <w:b w:val="0"/>
          <w:sz w:val="32"/>
        </w:rPr>
        <w:t>，相应支出增加。</w:t>
      </w:r>
    </w:p>
    <w:p w14:paraId="01E752E5">
      <w:pPr>
        <w:spacing w:line="580" w:lineRule="exact"/>
        <w:ind w:firstLine="640"/>
        <w:jc w:val="both"/>
      </w:pPr>
      <w:r>
        <w:rPr>
          <w:rFonts w:ascii="仿宋_GB2312" w:hAnsi="仿宋_GB2312" w:eastAsia="仿宋_GB2312"/>
          <w:b w:val="0"/>
          <w:sz w:val="32"/>
        </w:rPr>
        <w:t>4.卫生健康支出(类)行政事业单位医疗(款)事业单位医疗(项):支出决算数为7.65万元，比上年决算增加0.33万元，增长4.51%,主要原因是：本年在职人员工资基数调增，医疗缴费基数上涨，相应支出增加。</w:t>
      </w:r>
    </w:p>
    <w:p w14:paraId="588786C2">
      <w:pPr>
        <w:spacing w:line="580" w:lineRule="exact"/>
        <w:ind w:firstLine="640"/>
        <w:jc w:val="both"/>
      </w:pPr>
      <w:r>
        <w:rPr>
          <w:rFonts w:ascii="仿宋_GB2312" w:hAnsi="仿宋_GB2312" w:eastAsia="仿宋_GB2312"/>
          <w:b w:val="0"/>
          <w:sz w:val="32"/>
        </w:rPr>
        <w:t>5.卫生健康支出(类)行政事业单位医疗(款)其他行政事业单位医疗支出(项):支出决算数为0.34万元，比上年决算减少0.29万元，下降46.03%,主要原因是：因退休人员医疗保险制度改革，退休人员基本医疗不再由单位缴纳，导致经费较上年减少。</w:t>
      </w:r>
    </w:p>
    <w:p w14:paraId="5B94D7FB">
      <w:pPr>
        <w:spacing w:line="580" w:lineRule="exact"/>
        <w:ind w:firstLine="640"/>
        <w:jc w:val="both"/>
      </w:pPr>
      <w:r>
        <w:rPr>
          <w:rFonts w:ascii="仿宋_GB2312" w:hAnsi="仿宋_GB2312" w:eastAsia="仿宋_GB2312"/>
          <w:b w:val="0"/>
          <w:sz w:val="32"/>
        </w:rPr>
        <w:t>6.农林水支出(类)农业农村(款)事业运行(项):支出决算数为124.75万元，比上年决算减少0.27万元，下降0.22%,主要原因是：本年在职人员的绩效工资、奖金较上年减少。</w:t>
      </w:r>
    </w:p>
    <w:p w14:paraId="5B6556C6">
      <w:pPr>
        <w:spacing w:line="580" w:lineRule="exact"/>
        <w:ind w:firstLine="640"/>
        <w:jc w:val="both"/>
      </w:pPr>
      <w:r>
        <w:rPr>
          <w:rFonts w:ascii="仿宋_GB2312" w:hAnsi="仿宋_GB2312" w:eastAsia="仿宋_GB2312"/>
          <w:b w:val="0"/>
          <w:sz w:val="32"/>
        </w:rPr>
        <w:t>7.农林水支出(类)农业农村(款)其他农业农村支出(项):支出决算数为9.7万元，比上年决算增加0.00万元，增长0.00%,主要原因是：本年优良蜂种的保护与推广项目资金与上年一致无变化。</w:t>
      </w:r>
    </w:p>
    <w:p w14:paraId="331ABDC1">
      <w:pPr>
        <w:spacing w:line="580" w:lineRule="exact"/>
        <w:ind w:firstLine="640"/>
        <w:jc w:val="both"/>
      </w:pPr>
      <w:r>
        <w:rPr>
          <w:rFonts w:ascii="仿宋_GB2312" w:hAnsi="仿宋_GB2312" w:eastAsia="仿宋_GB2312"/>
          <w:b w:val="0"/>
          <w:sz w:val="32"/>
        </w:rPr>
        <w:t>8.住房保障支出(类)住房改革支出(款)住房公积金(项):支出决算数为14.02万元，比上年决算增加1.20万元，增长9.36%,主要原因是：本年在职人员增加，住房公积金支出较上年增加。</w:t>
      </w:r>
    </w:p>
    <w:p w14:paraId="4C47022E">
      <w:pPr>
        <w:spacing w:line="640" w:lineRule="exact"/>
        <w:ind w:firstLine="640"/>
        <w:jc w:val="both"/>
        <w:outlineLvl w:val="2"/>
      </w:pPr>
      <w:r>
        <w:rPr>
          <w:rFonts w:ascii="黑体" w:hAnsi="黑体" w:eastAsia="黑体"/>
          <w:sz w:val="32"/>
        </w:rPr>
        <w:t>六、一般公共预算财政拨款基本支出决算情况说明</w:t>
      </w:r>
    </w:p>
    <w:p w14:paraId="6C6BAF59">
      <w:pPr>
        <w:spacing w:line="580" w:lineRule="exact"/>
        <w:ind w:firstLine="640"/>
        <w:jc w:val="both"/>
      </w:pPr>
      <w:r>
        <w:rPr>
          <w:rFonts w:ascii="仿宋_GB2312" w:hAnsi="仿宋_GB2312" w:eastAsia="仿宋_GB2312"/>
          <w:b w:val="0"/>
          <w:sz w:val="32"/>
        </w:rPr>
        <w:t>2024年度一般公共预算财政拨款基本支出190.03万元，其中：</w:t>
      </w:r>
      <w:r>
        <w:rPr>
          <w:rFonts w:ascii="仿宋_GB2312" w:hAnsi="仿宋_GB2312" w:eastAsia="仿宋_GB2312"/>
          <w:b/>
          <w:sz w:val="32"/>
        </w:rPr>
        <w:t>人员经费190.03万元，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包括：基本工资、津贴补贴、奖金、机关事业单位基本养老保险缴费、职业年金缴费、职工基本医疗保险缴费、其他社会保障缴费、住房公积金、医疗费、退休费、抚恤金、奖励金。</w:t>
      </w:r>
    </w:p>
    <w:p w14:paraId="40C88F6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D632E44">
      <w:pPr>
        <w:spacing w:line="640" w:lineRule="exact"/>
        <w:ind w:firstLine="640"/>
        <w:jc w:val="both"/>
        <w:outlineLvl w:val="2"/>
      </w:pPr>
      <w:r>
        <w:rPr>
          <w:rFonts w:ascii="黑体" w:hAnsi="黑体" w:eastAsia="黑体"/>
          <w:sz w:val="32"/>
        </w:rPr>
        <w:t>七、政府性基金预算财政拨款收入支出决算情况说明</w:t>
      </w:r>
    </w:p>
    <w:p w14:paraId="4FFD294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7CE71F">
      <w:pPr>
        <w:spacing w:line="640" w:lineRule="exact"/>
        <w:ind w:firstLine="640"/>
        <w:jc w:val="both"/>
        <w:outlineLvl w:val="2"/>
      </w:pPr>
      <w:r>
        <w:rPr>
          <w:rFonts w:ascii="黑体" w:hAnsi="黑体" w:eastAsia="黑体"/>
          <w:sz w:val="32"/>
        </w:rPr>
        <w:t>八、国有资本经营预算财政拨款收入支出决算情况说明</w:t>
      </w:r>
    </w:p>
    <w:p w14:paraId="44A0838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4D27D9E">
      <w:pPr>
        <w:spacing w:line="640" w:lineRule="exact"/>
        <w:ind w:firstLine="640"/>
        <w:jc w:val="both"/>
        <w:outlineLvl w:val="2"/>
      </w:pPr>
      <w:r>
        <w:rPr>
          <w:rFonts w:ascii="黑体" w:hAnsi="黑体" w:eastAsia="黑体"/>
          <w:sz w:val="32"/>
        </w:rPr>
        <w:t>九、财政拨款“三公”经费支出决算情况说明</w:t>
      </w:r>
    </w:p>
    <w:p w14:paraId="3F18E39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12EA3B0">
      <w:pPr>
        <w:spacing w:line="580" w:lineRule="exact"/>
        <w:ind w:firstLine="640"/>
        <w:jc w:val="both"/>
      </w:pPr>
      <w:r>
        <w:rPr>
          <w:rFonts w:ascii="仿宋_GB2312" w:hAnsi="仿宋_GB2312" w:eastAsia="仿宋_GB2312"/>
          <w:b/>
          <w:sz w:val="32"/>
        </w:rPr>
        <w:t>具体情况如下：</w:t>
      </w:r>
    </w:p>
    <w:p w14:paraId="73829CF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029D0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w:t>
      </w:r>
      <w:r>
        <w:rPr>
          <w:rFonts w:hint="eastAsia" w:ascii="仿宋_GB2312" w:hAnsi="仿宋_GB2312" w:eastAsia="仿宋_GB2312"/>
          <w:b w:val="0"/>
          <w:sz w:val="32"/>
          <w:lang w:val="en-US" w:eastAsia="zh-CN"/>
        </w:rPr>
        <w:t>差异车辆</w:t>
      </w:r>
      <w:r>
        <w:rPr>
          <w:rFonts w:ascii="仿宋_GB2312" w:hAnsi="仿宋_GB2312" w:eastAsia="仿宋_GB2312"/>
          <w:b w:val="0"/>
          <w:sz w:val="32"/>
        </w:rPr>
        <w:t>为单位业务用车，车辆费用未使用财政拨款公务用车运行维护费支付，由单位自有资金支付。</w:t>
      </w:r>
    </w:p>
    <w:p w14:paraId="76F50F2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7CB43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22FD8D8">
      <w:pPr>
        <w:spacing w:line="640" w:lineRule="exact"/>
        <w:ind w:firstLine="640"/>
        <w:jc w:val="both"/>
        <w:outlineLvl w:val="2"/>
      </w:pPr>
      <w:r>
        <w:rPr>
          <w:rFonts w:ascii="黑体" w:hAnsi="黑体" w:eastAsia="黑体"/>
          <w:sz w:val="32"/>
        </w:rPr>
        <w:t>十、其他重要事项的情况说明</w:t>
      </w:r>
    </w:p>
    <w:p w14:paraId="73BB89B2">
      <w:pPr>
        <w:spacing w:line="640" w:lineRule="exact"/>
        <w:ind w:firstLine="640"/>
        <w:jc w:val="both"/>
        <w:outlineLvl w:val="3"/>
      </w:pPr>
      <w:r>
        <w:rPr>
          <w:rFonts w:ascii="楷体_GB2312" w:hAnsi="楷体_GB2312" w:eastAsia="楷体_GB2312"/>
          <w:b/>
          <w:sz w:val="32"/>
        </w:rPr>
        <w:t>（一）机关运行经费及公用经费支出情况</w:t>
      </w:r>
    </w:p>
    <w:p w14:paraId="0402189D">
      <w:pPr>
        <w:spacing w:line="580" w:lineRule="exact"/>
        <w:ind w:firstLine="640"/>
        <w:jc w:val="both"/>
      </w:pPr>
      <w:r>
        <w:rPr>
          <w:rFonts w:ascii="仿宋_GB2312" w:hAnsi="仿宋_GB2312" w:eastAsia="仿宋_GB2312"/>
          <w:b w:val="0"/>
          <w:sz w:val="32"/>
        </w:rPr>
        <w:t>2024年度新疆巴音郭楞蒙古自治州种蜂场（事业单位）公用经费支出0.00万元，比上年增加0.00万元，增长0.00%，主要原因是：2023年与2024年均未安排公用经费支出。</w:t>
      </w:r>
    </w:p>
    <w:p w14:paraId="54DD9D27">
      <w:pPr>
        <w:spacing w:line="640" w:lineRule="exact"/>
        <w:ind w:firstLine="640"/>
        <w:jc w:val="both"/>
        <w:outlineLvl w:val="3"/>
      </w:pPr>
      <w:r>
        <w:rPr>
          <w:rFonts w:ascii="楷体_GB2312" w:hAnsi="楷体_GB2312" w:eastAsia="楷体_GB2312"/>
          <w:b/>
          <w:sz w:val="32"/>
        </w:rPr>
        <w:t>（二）政府采购情况</w:t>
      </w:r>
    </w:p>
    <w:p w14:paraId="6F8D2335">
      <w:pPr>
        <w:spacing w:line="580" w:lineRule="exact"/>
        <w:ind w:firstLine="640"/>
        <w:jc w:val="both"/>
      </w:pPr>
      <w:r>
        <w:rPr>
          <w:rFonts w:ascii="仿宋_GB2312" w:hAnsi="仿宋_GB2312" w:eastAsia="仿宋_GB2312"/>
          <w:b w:val="0"/>
          <w:sz w:val="32"/>
        </w:rPr>
        <w:t>2024年度政府采购支出总额3.43万元，其中：政府采购货物支出2.99万元、政府采购工程支出0.00万元、政府采购服务支出0.45万元。</w:t>
      </w:r>
    </w:p>
    <w:p w14:paraId="4B13AACB">
      <w:pPr>
        <w:spacing w:line="580" w:lineRule="exact"/>
        <w:ind w:firstLine="640"/>
        <w:jc w:val="both"/>
      </w:pPr>
      <w:r>
        <w:rPr>
          <w:rFonts w:ascii="仿宋_GB2312" w:hAnsi="仿宋_GB2312" w:eastAsia="仿宋_GB2312"/>
          <w:b w:val="0"/>
          <w:sz w:val="32"/>
        </w:rPr>
        <w:t>授予中小企业合同金额3.25万元，占政府采购支出总额的94.75%，其中：授予小微企业合同金额2.75万元，占政府采购支出总额的80.17%。</w:t>
      </w:r>
    </w:p>
    <w:p w14:paraId="7D784F1E">
      <w:pPr>
        <w:spacing w:line="640" w:lineRule="exact"/>
        <w:ind w:firstLine="640"/>
        <w:jc w:val="both"/>
        <w:outlineLvl w:val="3"/>
      </w:pPr>
      <w:r>
        <w:rPr>
          <w:rFonts w:ascii="楷体_GB2312" w:hAnsi="楷体_GB2312" w:eastAsia="楷体_GB2312"/>
          <w:b/>
          <w:sz w:val="32"/>
        </w:rPr>
        <w:t>（三）国有资产占用情况说明</w:t>
      </w:r>
    </w:p>
    <w:p w14:paraId="18B4D048">
      <w:pPr>
        <w:spacing w:line="580" w:lineRule="exact"/>
        <w:ind w:firstLine="640"/>
        <w:jc w:val="both"/>
      </w:pPr>
      <w:r>
        <w:rPr>
          <w:rFonts w:ascii="仿宋_GB2312" w:hAnsi="仿宋_GB2312" w:eastAsia="仿宋_GB2312"/>
          <w:b w:val="0"/>
          <w:sz w:val="32"/>
        </w:rPr>
        <w:t>截至2024年12月31日，房屋1,471.71平方米，价值60.00万元。车辆1辆，价值10.81万元，其中：副部（省）级及以上领导用车0辆、主要负责人用车0辆、机要通信用车0辆、应急保障用车0辆、执法执勤用车0辆、特种专业技术用车0辆、离退休干部服务用车0辆、其他用车1辆，其他用车主要是：开展蜂业技术指导车辆。单价100万元（含）以上设备（不含车辆）0台（套）。</w:t>
      </w:r>
    </w:p>
    <w:p w14:paraId="25289CBE">
      <w:pPr>
        <w:spacing w:line="640" w:lineRule="exact"/>
        <w:ind w:firstLine="640"/>
        <w:jc w:val="both"/>
        <w:outlineLvl w:val="2"/>
      </w:pPr>
      <w:r>
        <w:rPr>
          <w:rFonts w:ascii="黑体" w:hAnsi="黑体" w:eastAsia="黑体"/>
          <w:sz w:val="32"/>
        </w:rPr>
        <w:t>十一、预算绩效的情况说明</w:t>
      </w:r>
    </w:p>
    <w:p w14:paraId="77B8B785">
      <w:pPr>
        <w:spacing w:line="580" w:lineRule="exact"/>
        <w:ind w:firstLine="640"/>
        <w:jc w:val="both"/>
      </w:pPr>
      <w:r>
        <w:rPr>
          <w:rFonts w:ascii="仿宋_GB2312" w:hAnsi="仿宋_GB2312" w:eastAsia="仿宋_GB2312"/>
          <w:b w:val="0"/>
          <w:sz w:val="32"/>
        </w:rPr>
        <w:t>根据预算绩效管理要求，本单位预算绩效评价项目2个，全年预算数24.70万元，全年执行数18.93万元。预算绩效管理取得的成效：一是有效保障了高效履行工作职能，打牢绩效管理工作基础；二是加强内部管理，提高责任意识。发现的问题及原因：一是绩效管理有待提高；二是相关绩效管理方面专业知识的系统性学习有待加强。原因分析：一是对绩效管理工作认识不足、重视不够；二是对预算绩效管理、绩效理念尚未真正贯穿于实践工作，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下一步改进措施：一是加强绩效评价管理制度和流程的学习和建设，进一步深化学习、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2D9639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282983BD">
        <w:tblPrEx>
          <w:tblCellMar>
            <w:top w:w="0" w:type="dxa"/>
            <w:left w:w="108" w:type="dxa"/>
            <w:bottom w:w="0" w:type="dxa"/>
            <w:right w:w="108" w:type="dxa"/>
          </w:tblCellMar>
        </w:tblPrEx>
        <w:tc>
          <w:tcPr>
            <w:tcW w:w="8848" w:type="dxa"/>
            <w:gridSpan w:val="14"/>
            <w:vAlign w:val="center"/>
          </w:tcPr>
          <w:p w14:paraId="76346D54">
            <w:pPr>
              <w:jc w:val="center"/>
            </w:pPr>
            <w:r>
              <w:rPr>
                <w:rFonts w:ascii="宋体" w:hAnsi="宋体" w:eastAsia="宋体"/>
                <w:sz w:val="24"/>
              </w:rPr>
              <w:t>项目支出绩效自评表</w:t>
            </w:r>
          </w:p>
        </w:tc>
      </w:tr>
      <w:tr w14:paraId="3EE73F68">
        <w:tblPrEx>
          <w:tblCellMar>
            <w:top w:w="0" w:type="dxa"/>
            <w:left w:w="108" w:type="dxa"/>
            <w:bottom w:w="0" w:type="dxa"/>
            <w:right w:w="108" w:type="dxa"/>
          </w:tblCellMar>
        </w:tblPrEx>
        <w:tc>
          <w:tcPr>
            <w:tcW w:w="8848" w:type="dxa"/>
            <w:gridSpan w:val="14"/>
            <w:vAlign w:val="center"/>
          </w:tcPr>
          <w:p w14:paraId="26867633">
            <w:pPr>
              <w:jc w:val="center"/>
            </w:pPr>
            <w:r>
              <w:rPr>
                <w:rFonts w:ascii="宋体" w:hAnsi="宋体" w:eastAsia="宋体"/>
                <w:sz w:val="24"/>
              </w:rPr>
              <w:t>(2024年度)</w:t>
            </w:r>
          </w:p>
        </w:tc>
      </w:tr>
      <w:tr w14:paraId="45714F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8F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E3DEC9">
            <w:pPr>
              <w:jc w:val="center"/>
            </w:pPr>
            <w:r>
              <w:rPr>
                <w:rFonts w:ascii="宋体" w:hAnsi="宋体" w:eastAsia="宋体"/>
                <w:sz w:val="16"/>
              </w:rPr>
              <w:t>2024年自有资金项目</w:t>
            </w:r>
          </w:p>
        </w:tc>
      </w:tr>
      <w:tr w14:paraId="6356D9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98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DB42F">
            <w:pPr>
              <w:jc w:val="center"/>
            </w:pPr>
            <w:r>
              <w:rPr>
                <w:rFonts w:ascii="宋体" w:hAnsi="宋体" w:eastAsia="宋体"/>
                <w:sz w:val="16"/>
              </w:rPr>
              <w:t>新疆巴音郭楞蒙古自治州种蜂场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74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B335A">
            <w:pPr>
              <w:jc w:val="center"/>
            </w:pPr>
            <w:r>
              <w:rPr>
                <w:rFonts w:ascii="宋体" w:hAnsi="宋体" w:eastAsia="宋体"/>
                <w:sz w:val="16"/>
              </w:rPr>
              <w:t>新疆巴音郭楞蒙古自治州种蜂场</w:t>
            </w:r>
          </w:p>
        </w:tc>
      </w:tr>
      <w:tr w14:paraId="56B69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0F9B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DA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4C5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EE0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28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791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75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BD4F">
            <w:pPr>
              <w:jc w:val="center"/>
            </w:pPr>
            <w:r>
              <w:rPr>
                <w:rFonts w:ascii="宋体" w:hAnsi="宋体" w:eastAsia="宋体"/>
                <w:sz w:val="16"/>
              </w:rPr>
              <w:t>得分</w:t>
            </w:r>
          </w:p>
        </w:tc>
      </w:tr>
      <w:tr w14:paraId="6EE345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050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4BA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3B6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409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21B3F">
            <w:pPr>
              <w:jc w:val="center"/>
            </w:pPr>
            <w:r>
              <w:rPr>
                <w:rFonts w:ascii="宋体" w:hAnsi="宋体" w:eastAsia="宋体"/>
                <w:sz w:val="16"/>
              </w:rPr>
              <w:t>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1E6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7760C">
            <w:pPr>
              <w:jc w:val="center"/>
            </w:pPr>
            <w:r>
              <w:rPr>
                <w:rFonts w:ascii="宋体" w:hAnsi="宋体" w:eastAsia="宋体"/>
                <w:sz w:val="16"/>
              </w:rPr>
              <w:t>61.53%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FDC8">
            <w:pPr>
              <w:jc w:val="center"/>
            </w:pPr>
            <w:r>
              <w:rPr>
                <w:rFonts w:ascii="宋体" w:hAnsi="宋体" w:eastAsia="宋体"/>
                <w:sz w:val="16"/>
              </w:rPr>
              <w:t>0.38</w:t>
            </w:r>
          </w:p>
        </w:tc>
      </w:tr>
      <w:tr w14:paraId="64B78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9A7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8B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55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249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99D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77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CA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988E">
            <w:pPr>
              <w:jc w:val="center"/>
            </w:pPr>
            <w:r>
              <w:rPr>
                <w:rFonts w:ascii="宋体" w:hAnsi="宋体" w:eastAsia="宋体"/>
                <w:sz w:val="16"/>
              </w:rPr>
              <w:t>-</w:t>
            </w:r>
          </w:p>
        </w:tc>
      </w:tr>
      <w:tr w14:paraId="55E2F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8C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C31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4D1D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C226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31B97">
            <w:pPr>
              <w:jc w:val="center"/>
            </w:pPr>
            <w:r>
              <w:rPr>
                <w:rFonts w:ascii="宋体" w:hAnsi="宋体" w:eastAsia="宋体"/>
                <w:sz w:val="16"/>
              </w:rPr>
              <w:t>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F35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68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8BEC">
            <w:pPr>
              <w:jc w:val="center"/>
            </w:pPr>
            <w:r>
              <w:rPr>
                <w:rFonts w:ascii="宋体" w:hAnsi="宋体" w:eastAsia="宋体"/>
                <w:sz w:val="16"/>
              </w:rPr>
              <w:t>-</w:t>
            </w:r>
          </w:p>
        </w:tc>
      </w:tr>
      <w:tr w14:paraId="17D658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3CB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D43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83EC6">
            <w:pPr>
              <w:jc w:val="center"/>
            </w:pPr>
            <w:r>
              <w:rPr>
                <w:rFonts w:ascii="宋体" w:hAnsi="宋体" w:eastAsia="宋体"/>
                <w:sz w:val="16"/>
              </w:rPr>
              <w:t>总体目标完成情况</w:t>
            </w:r>
          </w:p>
        </w:tc>
      </w:tr>
      <w:tr w14:paraId="36258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043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D752C">
            <w:pPr>
              <w:jc w:val="both"/>
            </w:pPr>
            <w:r>
              <w:rPr>
                <w:rFonts w:ascii="宋体" w:hAnsi="宋体" w:eastAsia="宋体"/>
                <w:sz w:val="16"/>
              </w:rPr>
              <w:t>为向我州蜂农提供优质蜂王，减少蜂农资金投入，通过授粉进一步提升我州农作物品质，为农民、蜂农增产增收，促进我州蜂业技术向更好的方向发展，因此实施该项目，具体目标为：一是保障我场基本运转，进而有效保障我场12名干部职工能顺利开展各项工作。二是完善实验室、档案室办公至少16个设备，购买至少4批次实验器具及试剂，使我场能更有效精准开展蜜蜂授精实验，同时规范档案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4031A0">
            <w:pPr>
              <w:jc w:val="both"/>
            </w:pPr>
            <w:r>
              <w:rPr>
                <w:rFonts w:ascii="宋体" w:hAnsi="宋体" w:eastAsia="宋体"/>
                <w:sz w:val="16"/>
              </w:rPr>
              <w:t>本年度自有资金项目具体完成情况：一是保障了</w:t>
            </w:r>
            <w:bookmarkStart w:id="0" w:name="_GoBack"/>
            <w:r>
              <w:rPr>
                <w:rFonts w:hint="eastAsia" w:ascii="宋体" w:hAnsi="宋体"/>
                <w:sz w:val="16"/>
                <w:lang w:eastAsia="zh-CN"/>
              </w:rPr>
              <w:t>本单位</w:t>
            </w:r>
            <w:bookmarkEnd w:id="0"/>
            <w:r>
              <w:rPr>
                <w:rFonts w:ascii="宋体" w:hAnsi="宋体" w:eastAsia="宋体"/>
                <w:sz w:val="16"/>
              </w:rPr>
              <w:t>2024年度正常运转以及12名办公人员正常开展各项工作；二是政府采购，采购了我场实验室及档案室所需设备及用具等，主要包括完成了14</w:t>
            </w:r>
            <w:r>
              <w:rPr>
                <w:rFonts w:hint="eastAsia" w:ascii="宋体" w:hAnsi="宋体"/>
                <w:sz w:val="16"/>
                <w:lang w:eastAsia="zh-CN"/>
              </w:rPr>
              <w:t>台</w:t>
            </w:r>
            <w:r>
              <w:rPr>
                <w:rFonts w:ascii="宋体" w:hAnsi="宋体" w:eastAsia="宋体"/>
                <w:sz w:val="16"/>
              </w:rPr>
              <w:t>设备用具的采购及安装工作，并全部投入使用，有效改善了办公环境，提升了工作效率；三是购买了3批实验器具及试剂，通过实验解决了蜜蜂绿色治螨问题，并通过技术推广，有效促进了我州蜂业发展。</w:t>
            </w:r>
          </w:p>
        </w:tc>
      </w:tr>
      <w:tr w14:paraId="1F164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F59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F5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F5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CD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5EE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49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3EF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FE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11A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0B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A44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10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B4B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2800">
            <w:pPr>
              <w:jc w:val="center"/>
            </w:pPr>
            <w:r>
              <w:rPr>
                <w:rFonts w:ascii="宋体" w:hAnsi="宋体" w:eastAsia="宋体"/>
                <w:sz w:val="16"/>
              </w:rPr>
              <w:t>偏差原因分析及改进措施</w:t>
            </w:r>
          </w:p>
        </w:tc>
      </w:tr>
      <w:tr w14:paraId="2D85B4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A12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A10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832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F7D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3D92">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9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5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12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8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5B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7732">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2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C5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48C3">
            <w:pPr>
              <w:jc w:val="center"/>
            </w:pPr>
          </w:p>
        </w:tc>
      </w:tr>
      <w:tr w14:paraId="66E92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33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82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EB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0C72">
            <w:pPr>
              <w:jc w:val="center"/>
            </w:pPr>
            <w:r>
              <w:rPr>
                <w:rFonts w:ascii="宋体" w:hAnsi="宋体" w:eastAsia="宋体"/>
                <w:sz w:val="16"/>
              </w:rPr>
              <w:t>采购设备数量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EB25">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5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4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1E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2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48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0D73">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71A2">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B716">
            <w:pPr>
              <w:jc w:val="center"/>
            </w:pPr>
            <w:r>
              <w:rPr>
                <w:rFonts w:ascii="宋体" w:hAnsi="宋体" w:eastAsia="宋体"/>
                <w:sz w:val="16"/>
              </w:rPr>
              <w:t>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FF42">
            <w:pPr>
              <w:jc w:val="center"/>
            </w:pPr>
            <w:r>
              <w:rPr>
                <w:rFonts w:ascii="宋体" w:hAnsi="宋体" w:eastAsia="宋体"/>
                <w:sz w:val="16"/>
              </w:rPr>
              <w:t>根据单位实际需求，暂时未采购实验柜，故存在偏差。改进措施：今后严格制定采购计划，减少偏差。</w:t>
            </w:r>
          </w:p>
        </w:tc>
      </w:tr>
      <w:tr w14:paraId="58506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AA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C4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04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CBE7">
            <w:pPr>
              <w:jc w:val="center"/>
            </w:pPr>
            <w:r>
              <w:rPr>
                <w:rFonts w:ascii="宋体" w:hAnsi="宋体" w:eastAsia="宋体"/>
                <w:sz w:val="16"/>
              </w:rPr>
              <w:t>购买实验器具及试剂批次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569C">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5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58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0E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4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C4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C037">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C79D">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D6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C3CD">
            <w:pPr>
              <w:jc w:val="center"/>
            </w:pPr>
            <w:r>
              <w:rPr>
                <w:rFonts w:ascii="宋体" w:hAnsi="宋体" w:eastAsia="宋体"/>
                <w:sz w:val="16"/>
              </w:rPr>
              <w:t>根据实验需求所购买的实验器具及试剂所购买批次少于预期购批次。改进措施：今后尽量精确估算实验所需物品数量，减少偏差。</w:t>
            </w:r>
          </w:p>
        </w:tc>
      </w:tr>
      <w:tr w14:paraId="5B50E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6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9E7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052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4FD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C2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0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1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E7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5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0D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1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E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32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DB48">
            <w:pPr>
              <w:jc w:val="center"/>
            </w:pPr>
            <w:r>
              <w:rPr>
                <w:rFonts w:ascii="宋体" w:hAnsi="宋体" w:eastAsia="宋体"/>
                <w:sz w:val="16"/>
              </w:rPr>
              <w:t>根据实际验收情况，设备均验收合格，与年初预期合格率存在偏差。改进措施：根据以往设备验收情况，今后改进合格率标准，减少误差。</w:t>
            </w:r>
          </w:p>
        </w:tc>
      </w:tr>
      <w:tr w14:paraId="3D76A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D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53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B5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C80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2F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E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B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3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B5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91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8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8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10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960E">
            <w:pPr>
              <w:jc w:val="center"/>
            </w:pPr>
            <w:r>
              <w:rPr>
                <w:rFonts w:ascii="宋体" w:hAnsi="宋体" w:eastAsia="宋体"/>
                <w:sz w:val="16"/>
              </w:rPr>
              <w:t>根据实际使用情况，设备质量合格，与年初预期合格率存在偏差。改进措施：根据以往设备使用情况，今后改进合格率标准，减少误差。</w:t>
            </w:r>
          </w:p>
        </w:tc>
      </w:tr>
      <w:tr w14:paraId="7BA61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C5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578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68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C299">
            <w:pPr>
              <w:jc w:val="center"/>
            </w:pPr>
            <w:r>
              <w:rPr>
                <w:rFonts w:ascii="宋体" w:hAnsi="宋体" w:eastAsia="宋体"/>
                <w:sz w:val="16"/>
              </w:rPr>
              <w:t>实验器具及试剂质量合格率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7A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C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B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92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8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FE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7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2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E3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7FDB">
            <w:pPr>
              <w:jc w:val="center"/>
            </w:pPr>
            <w:r>
              <w:rPr>
                <w:rFonts w:ascii="宋体" w:hAnsi="宋体" w:eastAsia="宋体"/>
                <w:sz w:val="16"/>
              </w:rPr>
              <w:t>根据实际使用情况，实验器具及试剂质量合格，与年初预期合格率存在偏差。改进措施：根据以往实验器具及试剂使用情况，今后改进合格率标准，减少误差。</w:t>
            </w:r>
          </w:p>
        </w:tc>
      </w:tr>
      <w:tr w14:paraId="08861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F8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1E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F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94C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4E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27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2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26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D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B7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1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5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F7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D5DA">
            <w:pPr>
              <w:jc w:val="center"/>
            </w:pPr>
            <w:r>
              <w:rPr>
                <w:rFonts w:ascii="宋体" w:hAnsi="宋体" w:eastAsia="宋体"/>
                <w:sz w:val="16"/>
              </w:rPr>
              <w:t>所需的设备均从政府采购网站上采购，故与年初计划的政府采购率存在偏差。改进措施：按照采购要求，今后设备尽可能均从政采云采购，同时更改年初采购率标准，减少偏差。</w:t>
            </w:r>
          </w:p>
        </w:tc>
      </w:tr>
      <w:tr w14:paraId="788F9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14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777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702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4063">
            <w:pPr>
              <w:jc w:val="center"/>
            </w:pPr>
            <w:r>
              <w:rPr>
                <w:rFonts w:ascii="宋体" w:hAnsi="宋体" w:eastAsia="宋体"/>
                <w:sz w:val="16"/>
              </w:rPr>
              <w:t>公用经费支出及时率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39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3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3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0E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7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FB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8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3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00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31C0">
            <w:pPr>
              <w:jc w:val="center"/>
            </w:pPr>
            <w:r>
              <w:rPr>
                <w:rFonts w:ascii="宋体" w:hAnsi="宋体" w:eastAsia="宋体"/>
                <w:sz w:val="16"/>
              </w:rPr>
              <w:t>根据实际所发生的各项经费支出，及时进行支付，与年初的经费支出及时率存在偏差，改进措施：今后及时调整公用经费支出及时率，减少偏差。</w:t>
            </w:r>
          </w:p>
        </w:tc>
      </w:tr>
      <w:tr w14:paraId="16972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3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76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15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5532">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018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7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C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4F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E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5C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F5DE">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7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D7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19C8">
            <w:pPr>
              <w:jc w:val="center"/>
            </w:pPr>
          </w:p>
        </w:tc>
      </w:tr>
      <w:tr w14:paraId="7413A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B9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89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AEE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C404">
            <w:pPr>
              <w:jc w:val="center"/>
            </w:pPr>
            <w:r>
              <w:rPr>
                <w:rFonts w:ascii="宋体" w:hAnsi="宋体" w:eastAsia="宋体"/>
                <w:sz w:val="16"/>
              </w:rPr>
              <w:t>实验器具及试剂购买完成时间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937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A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9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27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40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85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0F52">
            <w:pPr>
              <w:jc w:val="center"/>
            </w:pPr>
            <w:r>
              <w:rPr>
                <w:rFonts w:ascii="宋体" w:hAnsi="宋体" w:eastAsia="宋体"/>
                <w:sz w:val="16"/>
              </w:rPr>
              <w:t>2024年6月21日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8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AE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316E">
            <w:pPr>
              <w:jc w:val="center"/>
            </w:pPr>
          </w:p>
        </w:tc>
      </w:tr>
      <w:tr w14:paraId="56CEF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608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BB5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346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F578">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FACA">
            <w:pPr>
              <w:jc w:val="center"/>
            </w:pPr>
            <w:r>
              <w:rPr>
                <w:rFonts w:ascii="宋体" w:hAnsi="宋体" w:eastAsia="宋体"/>
                <w:sz w:val="16"/>
              </w:rPr>
              <w:t>&lt;=0.94万元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7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E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4E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F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29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1905">
            <w:pPr>
              <w:jc w:val="center"/>
            </w:pPr>
            <w:r>
              <w:rPr>
                <w:rFonts w:ascii="宋体" w:hAnsi="宋体" w:eastAsia="宋体"/>
                <w:sz w:val="16"/>
              </w:rPr>
              <w: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6C8F">
            <w:pPr>
              <w:jc w:val="center"/>
            </w:pPr>
            <w:r>
              <w:rPr>
                <w:rFonts w:ascii="宋体" w:hAnsi="宋体" w:eastAsia="宋体"/>
                <w:sz w:val="16"/>
              </w:rPr>
              <w:t>57.45%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B9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89C0">
            <w:pPr>
              <w:jc w:val="center"/>
            </w:pPr>
            <w:r>
              <w:rPr>
                <w:rFonts w:ascii="宋体" w:hAnsi="宋体" w:eastAsia="宋体"/>
                <w:sz w:val="16"/>
              </w:rPr>
              <w:t>因年初制定自有资金预算时，将单位所有可能会发生的业务全部纳入预算，以防有需要支出时因没有编制预算而不能进行资金支付，为秉持节约经费以及根据实际需求，部分预算细目并未发生支出，故于年初预算数存在差异。改进措施：根据单位实有资金情况，合理安排单位自有资金，制定合理的标准。</w:t>
            </w:r>
          </w:p>
        </w:tc>
      </w:tr>
      <w:tr w14:paraId="3E8FD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3B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44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CF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5903">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FC6D">
            <w:pPr>
              <w:jc w:val="center"/>
            </w:pPr>
            <w:r>
              <w:rPr>
                <w:rFonts w:ascii="宋体" w:hAnsi="宋体" w:eastAsia="宋体"/>
                <w:sz w:val="16"/>
              </w:rPr>
              <w:t>&lt;=2.98万元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E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6D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17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7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E5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6B80">
            <w:pPr>
              <w:jc w:val="center"/>
            </w:pPr>
            <w:r>
              <w:rPr>
                <w:rFonts w:ascii="宋体" w:hAnsi="宋体" w:eastAsia="宋体"/>
                <w:sz w:val="16"/>
              </w:rPr>
              <w:t>=2.51万元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E503">
            <w:pPr>
              <w:jc w:val="center"/>
            </w:pPr>
            <w:r>
              <w:rPr>
                <w:rFonts w:ascii="宋体" w:hAnsi="宋体" w:eastAsia="宋体"/>
                <w:sz w:val="16"/>
              </w:rPr>
              <w:t>84.23%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BE24">
            <w:pPr>
              <w:jc w:val="center"/>
            </w:pPr>
            <w:r>
              <w:rPr>
                <w:rFonts w:ascii="宋体" w:hAnsi="宋体" w:eastAsia="宋体"/>
                <w:sz w:val="16"/>
              </w:rPr>
              <w:t>3.63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B0D7">
            <w:pPr>
              <w:jc w:val="center"/>
            </w:pPr>
            <w:r>
              <w:rPr>
                <w:rFonts w:ascii="宋体" w:hAnsi="宋体" w:eastAsia="宋体"/>
                <w:sz w:val="16"/>
              </w:rPr>
              <w:t>根据单位实际需求，暂时未采购实验柜，故存在偏差。改进措施：今后严格制定采购计划，减少偏差。</w:t>
            </w:r>
          </w:p>
        </w:tc>
      </w:tr>
      <w:tr w14:paraId="3AA1D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D7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DE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B8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55B1">
            <w:pPr>
              <w:jc w:val="center"/>
            </w:pPr>
            <w:r>
              <w:rPr>
                <w:rFonts w:ascii="宋体" w:hAnsi="宋体" w:eastAsia="宋体"/>
                <w:sz w:val="16"/>
              </w:rPr>
              <w:t>实验器具及试剂采购成本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9D95">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8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B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03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7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4C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C299">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6892">
            <w:pPr>
              <w:jc w:val="center"/>
            </w:pPr>
            <w:r>
              <w:rPr>
                <w:rFonts w:ascii="宋体" w:hAnsi="宋体" w:eastAsia="宋体"/>
                <w:sz w:val="16"/>
              </w:rPr>
              <w:t>28.57%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7D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DEF2">
            <w:pPr>
              <w:jc w:val="center"/>
            </w:pPr>
            <w:r>
              <w:rPr>
                <w:rFonts w:ascii="宋体" w:hAnsi="宋体" w:eastAsia="宋体"/>
                <w:sz w:val="16"/>
              </w:rPr>
              <w:t>根据实验需求所购买的实验器具及试剂所购买的量少于预期购买量。改进措施：今后尽量精确估算实验所需物品及成本，减少偏差。</w:t>
            </w:r>
          </w:p>
        </w:tc>
      </w:tr>
      <w:tr w14:paraId="21F7A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AAA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CB5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8F0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226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C5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F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80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C6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0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D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F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D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42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DEEF">
            <w:pPr>
              <w:jc w:val="center"/>
            </w:pPr>
            <w:r>
              <w:rPr>
                <w:rFonts w:ascii="宋体" w:hAnsi="宋体" w:eastAsia="宋体"/>
                <w:sz w:val="16"/>
              </w:rPr>
              <w:t>设备采购及安装后全部投入使用，与年初指定的利用率标准存在偏差。改进措施：今后根据设备使用情况，调整年初目标，减少偏差。</w:t>
            </w:r>
          </w:p>
        </w:tc>
      </w:tr>
      <w:tr w14:paraId="2E31A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6A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D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24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5529">
            <w:pPr>
              <w:jc w:val="center"/>
            </w:pPr>
            <w:r>
              <w:rPr>
                <w:rFonts w:ascii="宋体" w:hAnsi="宋体" w:eastAsia="宋体"/>
                <w:sz w:val="16"/>
              </w:rPr>
              <w:t>促进蜂业发展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699F">
            <w:pPr>
              <w:jc w:val="center"/>
            </w:pPr>
            <w:r>
              <w:rPr>
                <w:rFonts w:ascii="宋体" w:hAnsi="宋体" w:eastAsia="宋体"/>
                <w:sz w:val="16"/>
              </w:rPr>
              <w:t>成效显著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E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2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F0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D8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D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D87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E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E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EA18">
            <w:pPr>
              <w:jc w:val="center"/>
            </w:pPr>
          </w:p>
        </w:tc>
      </w:tr>
      <w:tr w14:paraId="4F2D6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AF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38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3B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BA84">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72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C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B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CA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F6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F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5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3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D8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D8EA">
            <w:pPr>
              <w:jc w:val="center"/>
            </w:pPr>
            <w:r>
              <w:rPr>
                <w:rFonts w:ascii="宋体" w:hAnsi="宋体" w:eastAsia="宋体"/>
                <w:sz w:val="16"/>
              </w:rPr>
              <w:t>干部均认为该项目的实施有效改善了办公环境，提升了工作效率，均对该项目感到满意，故与年初目标存在偏差。改进措施：今后根据以往经验，调整目标，并在实施过程中努力达成目标，减少偏差。</w:t>
            </w:r>
          </w:p>
        </w:tc>
      </w:tr>
      <w:tr w14:paraId="06EC25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82D4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8EA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DF6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6C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9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323D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5DAC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6C38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05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7646">
            <w:pPr>
              <w:jc w:val="center"/>
            </w:pPr>
            <w:r>
              <w:rPr>
                <w:rFonts w:ascii="宋体" w:hAnsi="宋体" w:eastAsia="宋体"/>
                <w:sz w:val="16"/>
              </w:rPr>
              <w:t>70.26分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26E12"/>
        </w:tc>
      </w:tr>
    </w:tbl>
    <w:p w14:paraId="37378659">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96"/>
        <w:gridCol w:w="606"/>
        <w:gridCol w:w="614"/>
        <w:gridCol w:w="614"/>
        <w:gridCol w:w="606"/>
        <w:gridCol w:w="606"/>
        <w:gridCol w:w="776"/>
        <w:gridCol w:w="776"/>
        <w:gridCol w:w="630"/>
        <w:gridCol w:w="696"/>
      </w:tblGrid>
      <w:tr w14:paraId="1B001803">
        <w:tblPrEx>
          <w:tblCellMar>
            <w:top w:w="0" w:type="dxa"/>
            <w:left w:w="108" w:type="dxa"/>
            <w:bottom w:w="0" w:type="dxa"/>
            <w:right w:w="108" w:type="dxa"/>
          </w:tblCellMar>
        </w:tblPrEx>
        <w:tc>
          <w:tcPr>
            <w:tcW w:w="8848" w:type="dxa"/>
            <w:gridSpan w:val="14"/>
            <w:vAlign w:val="center"/>
          </w:tcPr>
          <w:p w14:paraId="33D9D5A7">
            <w:pPr>
              <w:jc w:val="center"/>
            </w:pPr>
            <w:r>
              <w:rPr>
                <w:rFonts w:ascii="宋体" w:hAnsi="宋体" w:eastAsia="宋体"/>
                <w:sz w:val="24"/>
              </w:rPr>
              <w:t>项目支出绩效自评表</w:t>
            </w:r>
          </w:p>
        </w:tc>
      </w:tr>
      <w:tr w14:paraId="62E03DB3">
        <w:tblPrEx>
          <w:tblCellMar>
            <w:top w:w="0" w:type="dxa"/>
            <w:left w:w="108" w:type="dxa"/>
            <w:bottom w:w="0" w:type="dxa"/>
            <w:right w:w="108" w:type="dxa"/>
          </w:tblCellMar>
        </w:tblPrEx>
        <w:tc>
          <w:tcPr>
            <w:tcW w:w="8848" w:type="dxa"/>
            <w:gridSpan w:val="14"/>
            <w:vAlign w:val="center"/>
          </w:tcPr>
          <w:p w14:paraId="25179311">
            <w:pPr>
              <w:jc w:val="center"/>
            </w:pPr>
            <w:r>
              <w:rPr>
                <w:rFonts w:ascii="宋体" w:hAnsi="宋体" w:eastAsia="宋体"/>
                <w:sz w:val="24"/>
              </w:rPr>
              <w:t>(2024年度)</w:t>
            </w:r>
          </w:p>
        </w:tc>
      </w:tr>
      <w:tr w14:paraId="516AD0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39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1C7F60">
            <w:pPr>
              <w:jc w:val="center"/>
            </w:pPr>
            <w:r>
              <w:rPr>
                <w:rFonts w:ascii="宋体" w:hAnsi="宋体" w:eastAsia="宋体"/>
                <w:sz w:val="16"/>
              </w:rPr>
              <w:t>优良蜂种的保护与推广</w:t>
            </w:r>
          </w:p>
        </w:tc>
      </w:tr>
      <w:tr w14:paraId="574100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23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FC473">
            <w:pPr>
              <w:jc w:val="center"/>
            </w:pPr>
            <w:r>
              <w:rPr>
                <w:rFonts w:ascii="宋体" w:hAnsi="宋体" w:eastAsia="宋体"/>
                <w:sz w:val="16"/>
              </w:rPr>
              <w:t>新疆巴音郭楞蒙古自治州种蜂场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C4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418706">
            <w:pPr>
              <w:jc w:val="center"/>
            </w:pPr>
            <w:r>
              <w:rPr>
                <w:rFonts w:ascii="宋体" w:hAnsi="宋体" w:eastAsia="宋体"/>
                <w:sz w:val="16"/>
              </w:rPr>
              <w:t>新疆巴音郭楞蒙古自治州种蜂场</w:t>
            </w:r>
          </w:p>
        </w:tc>
      </w:tr>
      <w:tr w14:paraId="6C2F1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68F7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386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650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9D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054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EE9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BE3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4733">
            <w:pPr>
              <w:jc w:val="center"/>
            </w:pPr>
            <w:r>
              <w:rPr>
                <w:rFonts w:ascii="宋体" w:hAnsi="宋体" w:eastAsia="宋体"/>
                <w:sz w:val="16"/>
              </w:rPr>
              <w:t>得分</w:t>
            </w:r>
          </w:p>
        </w:tc>
      </w:tr>
      <w:tr w14:paraId="23D69C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CA7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241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4EFC">
            <w:pPr>
              <w:jc w:val="center"/>
            </w:pPr>
            <w:r>
              <w:rPr>
                <w:rFonts w:ascii="宋体" w:hAnsi="宋体" w:eastAsia="宋体"/>
                <w:sz w:val="16"/>
              </w:rPr>
              <w:t>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2E618">
            <w:pPr>
              <w:jc w:val="center"/>
            </w:pPr>
            <w:r>
              <w:rPr>
                <w:rFonts w:ascii="宋体" w:hAnsi="宋体" w:eastAsia="宋体"/>
                <w:sz w:val="16"/>
              </w:rPr>
              <w:t>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D06AB">
            <w:pPr>
              <w:jc w:val="center"/>
            </w:pPr>
            <w:r>
              <w:rPr>
                <w:rFonts w:ascii="宋体" w:hAnsi="宋体" w:eastAsia="宋体"/>
                <w:sz w:val="16"/>
              </w:rPr>
              <w:t>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CB4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9C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B209">
            <w:pPr>
              <w:jc w:val="center"/>
            </w:pPr>
            <w:r>
              <w:rPr>
                <w:rFonts w:ascii="宋体" w:hAnsi="宋体" w:eastAsia="宋体"/>
                <w:sz w:val="16"/>
              </w:rPr>
              <w:t>10.00</w:t>
            </w:r>
          </w:p>
        </w:tc>
      </w:tr>
      <w:tr w14:paraId="12DB0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C8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3A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45593">
            <w:pPr>
              <w:jc w:val="center"/>
            </w:pPr>
            <w:r>
              <w:rPr>
                <w:rFonts w:ascii="宋体" w:hAnsi="宋体" w:eastAsia="宋体"/>
                <w:sz w:val="16"/>
              </w:rPr>
              <w:t>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9CECA">
            <w:pPr>
              <w:jc w:val="center"/>
            </w:pPr>
            <w:r>
              <w:rPr>
                <w:rFonts w:ascii="宋体" w:hAnsi="宋体" w:eastAsia="宋体"/>
                <w:sz w:val="16"/>
              </w:rPr>
              <w:t>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FDF5A">
            <w:pPr>
              <w:jc w:val="center"/>
            </w:pPr>
            <w:r>
              <w:rPr>
                <w:rFonts w:ascii="宋体" w:hAnsi="宋体" w:eastAsia="宋体"/>
                <w:sz w:val="16"/>
              </w:rPr>
              <w:t>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0D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92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594C">
            <w:pPr>
              <w:jc w:val="center"/>
            </w:pPr>
            <w:r>
              <w:rPr>
                <w:rFonts w:ascii="宋体" w:hAnsi="宋体" w:eastAsia="宋体"/>
                <w:sz w:val="16"/>
              </w:rPr>
              <w:t>-</w:t>
            </w:r>
          </w:p>
        </w:tc>
      </w:tr>
      <w:tr w14:paraId="330AE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A59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D445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AA4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84A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E43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39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1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16BE">
            <w:pPr>
              <w:jc w:val="center"/>
            </w:pPr>
            <w:r>
              <w:rPr>
                <w:rFonts w:ascii="宋体" w:hAnsi="宋体" w:eastAsia="宋体"/>
                <w:sz w:val="16"/>
              </w:rPr>
              <w:t>-</w:t>
            </w:r>
          </w:p>
        </w:tc>
      </w:tr>
      <w:tr w14:paraId="76A748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84F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A92F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ADB5C">
            <w:pPr>
              <w:jc w:val="center"/>
            </w:pPr>
            <w:r>
              <w:rPr>
                <w:rFonts w:ascii="宋体" w:hAnsi="宋体" w:eastAsia="宋体"/>
                <w:sz w:val="16"/>
              </w:rPr>
              <w:t>总体目标完成情况</w:t>
            </w:r>
          </w:p>
        </w:tc>
      </w:tr>
      <w:tr w14:paraId="2BA33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88A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34700">
            <w:pPr>
              <w:jc w:val="both"/>
            </w:pPr>
            <w:r>
              <w:rPr>
                <w:rFonts w:ascii="宋体" w:hAnsi="宋体" w:eastAsia="宋体"/>
                <w:sz w:val="16"/>
              </w:rPr>
              <w:t>优良蜂种的保种与推广项目旨在对4个优良种蜂进行保种与繁育，保种原种王20只，并购进智能蜂箱20套，推进科技化、智能化培育种蜂工作，从而可向我州蜂农按照育王扩繁时间的需要，稳定提供优质良种王。培训蜂农140人次左右，通过蜜蜂养殖技术的培训和推广，使我州蜂农基本掌握规模化养殖技术和无公害养殖技术，从而消除影响巴州蜂业发展的障碍，增加我州蜂农收入，从源头上做好蜂产品质量安全工作，使我州蜂业达到良性、可持续的发展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3CFDD">
            <w:pPr>
              <w:jc w:val="both"/>
            </w:pPr>
            <w:r>
              <w:rPr>
                <w:rFonts w:ascii="宋体" w:hAnsi="宋体" w:eastAsia="宋体"/>
                <w:sz w:val="16"/>
              </w:rPr>
              <w:t>优良蜂种的保种与推广项目，2024年度完成引进保种原种王24只，通过交尾培育出新蜂群；购进智能蜂箱20套，有效推进科技化、智能化培育种蜂；开展养蜂技术培训2场次，参训人员达141人，大力宣传了蜜蜂高效养殖技术以及蜂产品网络销售方式；为推进蜜蜂养殖技术，完成走访82户蜂农，与蜂农交流蜜蜂养殖中存在的问题，并提出指导性建议。</w:t>
            </w:r>
          </w:p>
        </w:tc>
      </w:tr>
      <w:tr w14:paraId="5E3F25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CA8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E8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76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8E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5A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85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9B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034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8D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EB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497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91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67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5E7D">
            <w:pPr>
              <w:jc w:val="center"/>
            </w:pPr>
            <w:r>
              <w:rPr>
                <w:rFonts w:ascii="宋体" w:hAnsi="宋体" w:eastAsia="宋体"/>
                <w:sz w:val="16"/>
              </w:rPr>
              <w:t>偏差原因分析及改进措施</w:t>
            </w:r>
          </w:p>
        </w:tc>
      </w:tr>
      <w:tr w14:paraId="063F95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9A9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669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ADD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47E8">
            <w:pPr>
              <w:jc w:val="center"/>
            </w:pPr>
            <w:r>
              <w:rPr>
                <w:rFonts w:ascii="宋体" w:hAnsi="宋体" w:eastAsia="宋体"/>
                <w:sz w:val="16"/>
              </w:rPr>
              <w:t>购进智能蜂箱数量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CE2B">
            <w:pPr>
              <w:jc w:val="center"/>
            </w:pPr>
            <w:r>
              <w:rPr>
                <w:rFonts w:ascii="宋体" w:hAnsi="宋体" w:eastAsia="宋体"/>
                <w:sz w:val="16"/>
              </w:rPr>
              <w:t>&gt;=20套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9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30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F0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E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95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AECB">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3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E3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DA25">
            <w:pPr>
              <w:jc w:val="center"/>
            </w:pPr>
          </w:p>
        </w:tc>
      </w:tr>
      <w:tr w14:paraId="37A56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EA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28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1F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A4B3">
            <w:pPr>
              <w:jc w:val="center"/>
            </w:pPr>
            <w:r>
              <w:rPr>
                <w:rFonts w:ascii="宋体" w:hAnsi="宋体" w:eastAsia="宋体"/>
                <w:sz w:val="16"/>
              </w:rPr>
              <w:t>引进优良蜂种数量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1686">
            <w:pPr>
              <w:jc w:val="center"/>
            </w:pPr>
            <w:r>
              <w:rPr>
                <w:rFonts w:ascii="宋体" w:hAnsi="宋体" w:eastAsia="宋体"/>
                <w:sz w:val="16"/>
              </w:rPr>
              <w:t>&gt;=20只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A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4064">
            <w:pPr>
              <w:jc w:val="center"/>
            </w:pPr>
            <w:r>
              <w:rPr>
                <w:rFonts w:hint="eastAsia" w:ascii="宋体" w:hAnsi="宋体" w:eastAsia="宋体"/>
                <w:sz w:val="16"/>
              </w:rPr>
              <w:t>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69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9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D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E1B9">
            <w:pPr>
              <w:jc w:val="center"/>
            </w:pPr>
            <w:r>
              <w:rPr>
                <w:rFonts w:ascii="宋体" w:hAnsi="宋体" w:eastAsia="宋体"/>
                <w:sz w:val="16"/>
              </w:rPr>
              <w:t>=24只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2CBC">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CE64">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F9AE">
            <w:pPr>
              <w:jc w:val="center"/>
            </w:pPr>
            <w:r>
              <w:rPr>
                <w:rFonts w:ascii="宋体" w:hAnsi="宋体" w:eastAsia="宋体"/>
                <w:sz w:val="16"/>
              </w:rPr>
              <w:t>本年度为尽早繁育蜂群，故于5月份完成引进优良蜂种，其中从中国农业科学院蜜蜂研究所引进了8只自然交尾的蜂王，较人工授精的蜂王价格较低，故多了4只，优良蜂种邮寄到库尔勒时均存活，故均合格。改进措施：</w:t>
            </w:r>
            <w:r>
              <w:rPr>
                <w:rFonts w:hint="eastAsia" w:ascii="宋体" w:hAnsi="宋体"/>
                <w:sz w:val="16"/>
                <w:lang w:eastAsia="zh-CN"/>
              </w:rPr>
              <w:t>本单位</w:t>
            </w:r>
            <w:r>
              <w:rPr>
                <w:rFonts w:ascii="宋体" w:hAnsi="宋体" w:eastAsia="宋体"/>
                <w:sz w:val="16"/>
              </w:rPr>
              <w:t>将在下一阶段围绕该项目进行讨论研究，严格按照年初制定目标执行，减少预算执行中出现的偏差。</w:t>
            </w:r>
            <w:r>
              <w:rPr>
                <w:rFonts w:ascii="宋体" w:hAnsi="宋体" w:eastAsia="宋体"/>
                <w:sz w:val="16"/>
              </w:rPr>
              <w:tab/>
            </w:r>
          </w:p>
        </w:tc>
      </w:tr>
      <w:tr w14:paraId="4EC25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B7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EE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55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897D">
            <w:pPr>
              <w:jc w:val="center"/>
            </w:pPr>
            <w:r>
              <w:rPr>
                <w:rFonts w:ascii="宋体" w:hAnsi="宋体" w:eastAsia="宋体"/>
                <w:sz w:val="16"/>
              </w:rPr>
              <w:t>参加技术培训蜂农人次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5E7C">
            <w:pPr>
              <w:jc w:val="center"/>
            </w:pPr>
            <w:r>
              <w:rPr>
                <w:rFonts w:ascii="宋体" w:hAnsi="宋体" w:eastAsia="宋体"/>
                <w:sz w:val="16"/>
              </w:rPr>
              <w:t>&gt;=140人次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5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45D5">
            <w:pPr>
              <w:jc w:val="center"/>
            </w:pPr>
            <w:r>
              <w:rPr>
                <w:rFonts w:hint="eastAsia" w:ascii="宋体" w:hAnsi="宋体" w:eastAsia="宋体"/>
                <w:sz w:val="16"/>
              </w:rPr>
              <w:t>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BD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9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8E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FDC1">
            <w:pPr>
              <w:jc w:val="center"/>
            </w:pPr>
            <w:r>
              <w:rPr>
                <w:rFonts w:ascii="宋体" w:hAnsi="宋体" w:eastAsia="宋体"/>
                <w:sz w:val="16"/>
              </w:rPr>
              <w:t>=141人次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5BFC">
            <w:pPr>
              <w:jc w:val="center"/>
            </w:pPr>
            <w:r>
              <w:rPr>
                <w:rFonts w:ascii="宋体" w:hAnsi="宋体" w:eastAsia="宋体"/>
                <w:sz w:val="16"/>
              </w:rPr>
              <w:t>100.71%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D62B">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200A">
            <w:pPr>
              <w:jc w:val="center"/>
            </w:pPr>
          </w:p>
        </w:tc>
      </w:tr>
      <w:tr w14:paraId="4F236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6A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BC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66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10D0">
            <w:pPr>
              <w:jc w:val="center"/>
            </w:pPr>
            <w:r>
              <w:rPr>
                <w:rFonts w:ascii="宋体" w:hAnsi="宋体" w:eastAsia="宋体"/>
                <w:sz w:val="16"/>
              </w:rPr>
              <w:t>开展技术培训场次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704F">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9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4E84">
            <w:pPr>
              <w:jc w:val="center"/>
            </w:pPr>
            <w:r>
              <w:rPr>
                <w:rFonts w:hint="eastAsia" w:ascii="宋体" w:hAnsi="宋体" w:eastAsia="宋体"/>
                <w:sz w:val="16"/>
              </w:rPr>
              <w:t>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5B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2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1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5BC6">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5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8C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A214">
            <w:pPr>
              <w:jc w:val="center"/>
            </w:pPr>
          </w:p>
        </w:tc>
      </w:tr>
      <w:tr w14:paraId="4E404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3D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B6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4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895F">
            <w:pPr>
              <w:jc w:val="center"/>
            </w:pPr>
            <w:r>
              <w:rPr>
                <w:rFonts w:ascii="宋体" w:hAnsi="宋体" w:eastAsia="宋体"/>
                <w:sz w:val="16"/>
              </w:rPr>
              <w:t>开展技术培训天数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A144">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5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0F8B">
            <w:pPr>
              <w:jc w:val="center"/>
            </w:pPr>
            <w:r>
              <w:rPr>
                <w:rFonts w:hint="eastAsia"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72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2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38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6499">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D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C9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CC8E">
            <w:pPr>
              <w:jc w:val="center"/>
            </w:pPr>
          </w:p>
        </w:tc>
      </w:tr>
      <w:tr w14:paraId="642C1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39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5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2E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1B2F">
            <w:pPr>
              <w:jc w:val="center"/>
            </w:pPr>
            <w:r>
              <w:rPr>
                <w:rFonts w:ascii="宋体" w:hAnsi="宋体" w:eastAsia="宋体"/>
                <w:sz w:val="16"/>
              </w:rPr>
              <w:t>优良种蜂养殖技术推广户数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2C47">
            <w:pPr>
              <w:jc w:val="center"/>
            </w:pPr>
            <w:r>
              <w:rPr>
                <w:rFonts w:ascii="宋体" w:hAnsi="宋体" w:eastAsia="宋体"/>
                <w:sz w:val="16"/>
              </w:rPr>
              <w:t>&gt;=50户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3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7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1A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B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7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257D">
            <w:pPr>
              <w:jc w:val="center"/>
            </w:pPr>
            <w:r>
              <w:rPr>
                <w:rFonts w:ascii="宋体" w:hAnsi="宋体" w:eastAsia="宋体"/>
                <w:sz w:val="16"/>
              </w:rPr>
              <w:t>=82户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97B8">
            <w:pPr>
              <w:jc w:val="center"/>
            </w:pPr>
            <w:r>
              <w:rPr>
                <w:rFonts w:ascii="宋体" w:hAnsi="宋体" w:eastAsia="宋体"/>
                <w:sz w:val="16"/>
              </w:rPr>
              <w:t>164%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DCB7">
            <w:pPr>
              <w:jc w:val="center"/>
            </w:pPr>
            <w:r>
              <w:rPr>
                <w:rFonts w:ascii="宋体" w:hAnsi="宋体" w:eastAsia="宋体"/>
                <w:sz w:val="16"/>
              </w:rPr>
              <w:t>0.72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E646">
            <w:pPr>
              <w:jc w:val="center"/>
            </w:pPr>
            <w:r>
              <w:rPr>
                <w:rFonts w:ascii="宋体" w:hAnsi="宋体" w:eastAsia="宋体"/>
                <w:sz w:val="16"/>
              </w:rPr>
              <w:t>2024年度为加大绿色治螨技术推广力度，故走访户数增加。改进措施：往后尽量集中进行推广，且按照工作目标，合理预计推广户数。</w:t>
            </w:r>
          </w:p>
        </w:tc>
      </w:tr>
      <w:tr w14:paraId="26AF7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FC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902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4BD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089C">
            <w:pPr>
              <w:jc w:val="center"/>
            </w:pPr>
            <w:r>
              <w:rPr>
                <w:rFonts w:ascii="宋体" w:hAnsi="宋体" w:eastAsia="宋体"/>
                <w:sz w:val="16"/>
              </w:rPr>
              <w:t>智能蜂箱质量合格率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1F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7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A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CA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B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EA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4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6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76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08C3">
            <w:pPr>
              <w:jc w:val="center"/>
            </w:pPr>
            <w:r>
              <w:rPr>
                <w:rFonts w:ascii="宋体" w:hAnsi="宋体" w:eastAsia="宋体"/>
                <w:sz w:val="16"/>
              </w:rPr>
              <w:t>为尽早实现养蜂规模化、机械化、标准化、集约化，我场于5月份一次性将20套智能蜂箱采购完毕，经验收质量均合格达100%。改进措施：</w:t>
            </w:r>
            <w:r>
              <w:rPr>
                <w:rFonts w:hint="eastAsia" w:ascii="宋体" w:hAnsi="宋体"/>
                <w:sz w:val="16"/>
                <w:lang w:eastAsia="zh-CN"/>
              </w:rPr>
              <w:t>本单位</w:t>
            </w:r>
            <w:r>
              <w:rPr>
                <w:rFonts w:ascii="宋体" w:hAnsi="宋体" w:eastAsia="宋体"/>
                <w:sz w:val="16"/>
              </w:rPr>
              <w:t>将在下一阶段围绕该项目进行讨论研究，严格按照年初制定目标执行，减少预算执行中出现的偏差。</w:t>
            </w:r>
          </w:p>
        </w:tc>
      </w:tr>
      <w:tr w14:paraId="30029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26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52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79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4795">
            <w:pPr>
              <w:jc w:val="center"/>
            </w:pPr>
            <w:r>
              <w:rPr>
                <w:rFonts w:ascii="宋体" w:hAnsi="宋体" w:eastAsia="宋体"/>
                <w:sz w:val="16"/>
              </w:rPr>
              <w:t>培育优良蜂种合格率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54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1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9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6E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A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E7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7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9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95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C906">
            <w:pPr>
              <w:jc w:val="center"/>
            </w:pPr>
            <w:r>
              <w:rPr>
                <w:rFonts w:ascii="宋体" w:hAnsi="宋体" w:eastAsia="宋体"/>
                <w:sz w:val="16"/>
              </w:rPr>
              <w:t>引入的蜂种均完成交尾，培育出新蜂，培育优良蜂种合格率达100%，故存在偏差。改进措施：今后根据所引进的优良蜂种以及以往经验，调整培育优良蜂种的合格率目标值，减少偏差。</w:t>
            </w:r>
          </w:p>
        </w:tc>
      </w:tr>
      <w:tr w14:paraId="6D5F9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76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58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4B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1DFC">
            <w:pPr>
              <w:jc w:val="center"/>
            </w:pPr>
            <w:r>
              <w:rPr>
                <w:rFonts w:ascii="宋体" w:hAnsi="宋体" w:eastAsia="宋体"/>
                <w:sz w:val="16"/>
              </w:rPr>
              <w:t>技术培训出勤率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21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0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70CD">
            <w:pPr>
              <w:jc w:val="center"/>
            </w:pPr>
            <w:r>
              <w:rPr>
                <w:rFonts w:hint="eastAsia"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8A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6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BC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6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3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D2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BD64">
            <w:pPr>
              <w:jc w:val="center"/>
            </w:pPr>
            <w:r>
              <w:rPr>
                <w:rFonts w:ascii="宋体" w:hAnsi="宋体" w:eastAsia="宋体"/>
                <w:sz w:val="16"/>
              </w:rPr>
              <w:t>根据往年走访及电话询问蜂农，年初计划有140人参训，实际到场人数141人，对蜂农参训积极性有所偏差。改进措施：今后再组织培训时，事先与蜂农沟通，确定人数，减少偏差。</w:t>
            </w:r>
          </w:p>
        </w:tc>
      </w:tr>
      <w:tr w14:paraId="02691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D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CA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A3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579F">
            <w:pPr>
              <w:jc w:val="center"/>
            </w:pPr>
            <w:r>
              <w:rPr>
                <w:rFonts w:ascii="宋体" w:hAnsi="宋体" w:eastAsia="宋体"/>
                <w:sz w:val="16"/>
              </w:rPr>
              <w:t>技术推广应用率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DD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1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A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20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E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1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B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5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0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73CB">
            <w:pPr>
              <w:jc w:val="center"/>
            </w:pPr>
            <w:r>
              <w:rPr>
                <w:rFonts w:ascii="宋体" w:hAnsi="宋体" w:eastAsia="宋体"/>
                <w:sz w:val="16"/>
              </w:rPr>
              <w:t>低估蜂农对我场所推广的绿色治螨等技术的认可。改进措施:今后调整工作目标，并在实施过程中尽可能达成目标，减少偏差。</w:t>
            </w:r>
          </w:p>
        </w:tc>
      </w:tr>
      <w:tr w14:paraId="427B1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C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1E9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A00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2D83">
            <w:pPr>
              <w:jc w:val="center"/>
            </w:pPr>
            <w:r>
              <w:rPr>
                <w:rFonts w:ascii="宋体" w:hAnsi="宋体" w:eastAsia="宋体"/>
                <w:sz w:val="16"/>
              </w:rPr>
              <w:t>智能蜂箱采购完成时间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953B">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C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8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31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56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74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AAAB">
            <w:pPr>
              <w:jc w:val="center"/>
            </w:pPr>
            <w:r>
              <w:rPr>
                <w:rFonts w:ascii="宋体" w:hAnsi="宋体" w:eastAsia="宋体"/>
                <w:sz w:val="16"/>
              </w:rPr>
              <w:t>2024年5月24日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7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6A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FD57">
            <w:pPr>
              <w:jc w:val="center"/>
            </w:pPr>
          </w:p>
        </w:tc>
      </w:tr>
      <w:tr w14:paraId="25237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9B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15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5B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B712">
            <w:pPr>
              <w:jc w:val="center"/>
            </w:pPr>
            <w:r>
              <w:rPr>
                <w:rFonts w:ascii="宋体" w:hAnsi="宋体" w:eastAsia="宋体"/>
                <w:sz w:val="16"/>
              </w:rPr>
              <w:t>优良蜂种采购完成时间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2352">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1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9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19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A1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E0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116C">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D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6B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D9F8">
            <w:pPr>
              <w:jc w:val="center"/>
            </w:pPr>
          </w:p>
        </w:tc>
      </w:tr>
      <w:tr w14:paraId="12E59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7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2D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5E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486B">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B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A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1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4C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D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0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8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C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CD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E29C">
            <w:pPr>
              <w:jc w:val="center"/>
            </w:pPr>
          </w:p>
        </w:tc>
      </w:tr>
      <w:tr w14:paraId="4F62B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F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EE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F6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3170">
            <w:pPr>
              <w:jc w:val="center"/>
            </w:pPr>
            <w:r>
              <w:rPr>
                <w:rFonts w:ascii="宋体" w:hAnsi="宋体" w:eastAsia="宋体"/>
                <w:sz w:val="16"/>
              </w:rPr>
              <w:t>技术推广按时完成率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0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D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FA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B5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6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6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A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2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C0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376D">
            <w:pPr>
              <w:jc w:val="center"/>
            </w:pPr>
          </w:p>
        </w:tc>
      </w:tr>
      <w:tr w14:paraId="16EF6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AB9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EEB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0A5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A7E6">
            <w:pPr>
              <w:jc w:val="center"/>
            </w:pPr>
            <w:r>
              <w:rPr>
                <w:rFonts w:ascii="宋体" w:hAnsi="宋体" w:eastAsia="宋体"/>
                <w:sz w:val="16"/>
              </w:rPr>
              <w:t>智能蜂箱采购成本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57A7">
            <w:pPr>
              <w:jc w:val="center"/>
            </w:pPr>
            <w:r>
              <w:rPr>
                <w:rFonts w:ascii="宋体" w:hAnsi="宋体" w:eastAsia="宋体"/>
                <w:sz w:val="16"/>
              </w:rPr>
              <w:t>&lt;=4.84万元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D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3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25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0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27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6533">
            <w:pPr>
              <w:jc w:val="center"/>
            </w:pPr>
            <w:r>
              <w:rPr>
                <w:rFonts w:ascii="宋体" w:hAnsi="宋体" w:eastAsia="宋体"/>
                <w:sz w:val="16"/>
              </w:rPr>
              <w: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3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67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D45B">
            <w:pPr>
              <w:jc w:val="center"/>
            </w:pPr>
          </w:p>
        </w:tc>
      </w:tr>
      <w:tr w14:paraId="413B2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36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7E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82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4F4B">
            <w:pPr>
              <w:jc w:val="center"/>
            </w:pPr>
            <w:r>
              <w:rPr>
                <w:rFonts w:ascii="宋体" w:hAnsi="宋体" w:eastAsia="宋体"/>
                <w:sz w:val="16"/>
              </w:rPr>
              <w:t>优良蜂种采购成本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2197">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F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246D">
            <w:pPr>
              <w:jc w:val="center"/>
            </w:pPr>
            <w:r>
              <w:rPr>
                <w:rFonts w:hint="eastAsia"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7E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81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8F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97E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9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62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45F9">
            <w:pPr>
              <w:jc w:val="center"/>
            </w:pPr>
          </w:p>
        </w:tc>
      </w:tr>
      <w:tr w14:paraId="4B91A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D6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32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DD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6998">
            <w:pPr>
              <w:jc w:val="center"/>
            </w:pPr>
            <w:r>
              <w:rPr>
                <w:rFonts w:ascii="宋体" w:hAnsi="宋体" w:eastAsia="宋体"/>
                <w:sz w:val="16"/>
              </w:rPr>
              <w:t>技术推广费用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162D">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0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CE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6D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B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2E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CB45">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6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1D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2C20">
            <w:pPr>
              <w:jc w:val="center"/>
            </w:pPr>
          </w:p>
        </w:tc>
      </w:tr>
      <w:tr w14:paraId="676EE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30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EF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16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2611">
            <w:pPr>
              <w:jc w:val="center"/>
            </w:pPr>
            <w:r>
              <w:rPr>
                <w:rFonts w:ascii="宋体" w:hAnsi="宋体" w:eastAsia="宋体"/>
                <w:sz w:val="16"/>
              </w:rPr>
              <w:t>技术培训费用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9C40">
            <w:pPr>
              <w:jc w:val="center"/>
            </w:pPr>
            <w:r>
              <w:rPr>
                <w:rFonts w:ascii="宋体" w:hAnsi="宋体" w:eastAsia="宋体"/>
                <w:sz w:val="16"/>
              </w:rPr>
              <w:t>&lt;=2.06万元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E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B283">
            <w:pPr>
              <w:jc w:val="center"/>
            </w:pPr>
            <w:r>
              <w:rPr>
                <w:rFonts w:hint="eastAsia"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B0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4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87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7A76">
            <w:pPr>
              <w:jc w:val="center"/>
            </w:pPr>
            <w:r>
              <w:rPr>
                <w:rFonts w:ascii="宋体" w:hAnsi="宋体" w:eastAsia="宋体"/>
                <w:sz w:val="16"/>
              </w:rPr>
              <w:t>=2.06万元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5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96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5896">
            <w:pPr>
              <w:jc w:val="center"/>
            </w:pPr>
          </w:p>
        </w:tc>
      </w:tr>
      <w:tr w14:paraId="1A9CC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FA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7A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B7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30BB">
            <w:pPr>
              <w:jc w:val="center"/>
            </w:pPr>
            <w:r>
              <w:rPr>
                <w:rFonts w:ascii="宋体" w:hAnsi="宋体" w:eastAsia="宋体"/>
                <w:sz w:val="16"/>
              </w:rPr>
              <w:t>提高蜂种品质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C50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C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3D3E">
            <w:pPr>
              <w:jc w:val="center"/>
            </w:pPr>
            <w:r>
              <w:rPr>
                <w:rFonts w:hint="eastAsia"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C3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D9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A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5CA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0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C6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89CA">
            <w:pPr>
              <w:jc w:val="center"/>
            </w:pPr>
          </w:p>
        </w:tc>
      </w:tr>
      <w:tr w14:paraId="59DD2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24C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4906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36F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52EA">
            <w:pPr>
              <w:jc w:val="center"/>
            </w:pPr>
            <w:r>
              <w:rPr>
                <w:rFonts w:ascii="宋体" w:hAnsi="宋体" w:eastAsia="宋体"/>
                <w:sz w:val="16"/>
              </w:rPr>
              <w:t>蜂农满意度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C9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6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92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75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96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9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EF4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C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F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0772">
            <w:pPr>
              <w:jc w:val="center"/>
            </w:pPr>
          </w:p>
        </w:tc>
      </w:tr>
      <w:tr w14:paraId="06A56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78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E2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F6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F960">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FA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9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C1F7">
            <w:pPr>
              <w:jc w:val="center"/>
            </w:pPr>
            <w:r>
              <w:rPr>
                <w:rFonts w:hint="eastAsia"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A2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F8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8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D444">
            <w:pPr>
              <w:jc w:val="center"/>
            </w:pPr>
            <w:r>
              <w:rPr>
                <w:rFonts w:ascii="宋体" w:hAnsi="宋体" w:eastAsia="宋体"/>
                <w:sz w:val="16"/>
              </w:rPr>
              <w:t>=95.24%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D1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6F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16F6">
            <w:pPr>
              <w:jc w:val="center"/>
            </w:pPr>
            <w:r>
              <w:rPr>
                <w:rFonts w:ascii="宋体" w:hAnsi="宋体" w:eastAsia="宋体"/>
                <w:sz w:val="16"/>
              </w:rPr>
              <w:t>我场开展技术培训满意度调查，满意度达96%，低估蜂农对培训工作的认可。改进措施:今后调整工作目标，并在培训实施过程中尽可能达成目标，减少偏差。</w:t>
            </w:r>
          </w:p>
        </w:tc>
      </w:tr>
      <w:tr w14:paraId="315EEA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F5B8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DE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D64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0A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C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0B7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E24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08D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D0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0CB6">
            <w:pPr>
              <w:jc w:val="center"/>
            </w:pPr>
            <w:r>
              <w:rPr>
                <w:rFonts w:ascii="宋体" w:hAnsi="宋体" w:eastAsia="宋体"/>
                <w:sz w:val="16"/>
              </w:rPr>
              <w:t>98.31分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24D3B"/>
        </w:tc>
      </w:tr>
    </w:tbl>
    <w:p w14:paraId="0C3E600B">
      <w:r>
        <w:br w:type="page"/>
      </w:r>
    </w:p>
    <w:p w14:paraId="2923054C">
      <w:pPr>
        <w:spacing w:line="640" w:lineRule="exact"/>
        <w:ind w:firstLine="640"/>
        <w:jc w:val="both"/>
        <w:outlineLvl w:val="2"/>
      </w:pPr>
      <w:r>
        <w:rPr>
          <w:rFonts w:ascii="黑体" w:hAnsi="黑体" w:eastAsia="黑体"/>
          <w:sz w:val="32"/>
        </w:rPr>
        <w:t>十二、其他需说明的事项</w:t>
      </w:r>
    </w:p>
    <w:p w14:paraId="2E951DA3">
      <w:pPr>
        <w:spacing w:line="580" w:lineRule="exact"/>
        <w:ind w:firstLine="640"/>
        <w:jc w:val="both"/>
      </w:pPr>
      <w:r>
        <w:rPr>
          <w:rFonts w:ascii="仿宋_GB2312" w:hAnsi="仿宋_GB2312" w:eastAsia="仿宋_GB2312"/>
          <w:b w:val="0"/>
          <w:sz w:val="32"/>
        </w:rPr>
        <w:t>本年度本单位整体绩效自评表由主管部门编报并公开。</w:t>
      </w:r>
    </w:p>
    <w:p w14:paraId="5A8B01A9">
      <w:r>
        <w:br w:type="page"/>
      </w:r>
    </w:p>
    <w:p w14:paraId="67E1D370">
      <w:pPr>
        <w:spacing w:line="240" w:lineRule="auto"/>
        <w:jc w:val="center"/>
        <w:outlineLvl w:val="1"/>
      </w:pPr>
      <w:r>
        <w:rPr>
          <w:rFonts w:ascii="黑体" w:hAnsi="黑体" w:eastAsia="黑体"/>
          <w:sz w:val="32"/>
        </w:rPr>
        <w:t>第三部分 专业名词解释</w:t>
      </w:r>
    </w:p>
    <w:p w14:paraId="1E348F9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15FA5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E947E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A758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3CDAC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26208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4CAA6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3D13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8B72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9279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621CC4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A554A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655E2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A1D2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AEB64E4">
      <w:r>
        <w:br w:type="page"/>
      </w:r>
    </w:p>
    <w:p w14:paraId="6BF6B304">
      <w:pPr>
        <w:spacing w:line="240" w:lineRule="auto"/>
        <w:jc w:val="center"/>
        <w:outlineLvl w:val="1"/>
      </w:pPr>
      <w:r>
        <w:rPr>
          <w:rFonts w:ascii="黑体" w:hAnsi="黑体" w:eastAsia="黑体"/>
          <w:sz w:val="32"/>
        </w:rPr>
        <w:t>第四部分 部门决算报表（见附表）</w:t>
      </w:r>
    </w:p>
    <w:p w14:paraId="734CEA15">
      <w:pPr>
        <w:spacing w:line="240" w:lineRule="auto"/>
        <w:ind w:firstLine="640"/>
        <w:jc w:val="both"/>
      </w:pPr>
      <w:r>
        <w:rPr>
          <w:rFonts w:ascii="仿宋_GB2312" w:hAnsi="仿宋_GB2312" w:eastAsia="仿宋_GB2312"/>
          <w:b w:val="0"/>
          <w:sz w:val="32"/>
        </w:rPr>
        <w:t>一、《收入支出决算总表》</w:t>
      </w:r>
    </w:p>
    <w:p w14:paraId="4EC04EAD">
      <w:pPr>
        <w:spacing w:line="240" w:lineRule="auto"/>
        <w:ind w:firstLine="640"/>
        <w:jc w:val="both"/>
      </w:pPr>
      <w:r>
        <w:rPr>
          <w:rFonts w:ascii="仿宋_GB2312" w:hAnsi="仿宋_GB2312" w:eastAsia="仿宋_GB2312"/>
          <w:b w:val="0"/>
          <w:sz w:val="32"/>
        </w:rPr>
        <w:t>二、《收入决算表》</w:t>
      </w:r>
    </w:p>
    <w:p w14:paraId="58679A4F">
      <w:pPr>
        <w:spacing w:line="240" w:lineRule="auto"/>
        <w:ind w:firstLine="640"/>
        <w:jc w:val="both"/>
      </w:pPr>
      <w:r>
        <w:rPr>
          <w:rFonts w:ascii="仿宋_GB2312" w:hAnsi="仿宋_GB2312" w:eastAsia="仿宋_GB2312"/>
          <w:b w:val="0"/>
          <w:sz w:val="32"/>
        </w:rPr>
        <w:t>三、《支出决算表》</w:t>
      </w:r>
    </w:p>
    <w:p w14:paraId="11C201E4">
      <w:pPr>
        <w:spacing w:line="240" w:lineRule="auto"/>
        <w:ind w:firstLine="640"/>
        <w:jc w:val="both"/>
      </w:pPr>
      <w:r>
        <w:rPr>
          <w:rFonts w:ascii="仿宋_GB2312" w:hAnsi="仿宋_GB2312" w:eastAsia="仿宋_GB2312"/>
          <w:b w:val="0"/>
          <w:sz w:val="32"/>
        </w:rPr>
        <w:t>四、《财政拨款收入支出决算总表》</w:t>
      </w:r>
    </w:p>
    <w:p w14:paraId="71FBD148">
      <w:pPr>
        <w:spacing w:line="240" w:lineRule="auto"/>
        <w:ind w:firstLine="640"/>
        <w:jc w:val="both"/>
      </w:pPr>
      <w:r>
        <w:rPr>
          <w:rFonts w:ascii="仿宋_GB2312" w:hAnsi="仿宋_GB2312" w:eastAsia="仿宋_GB2312"/>
          <w:b w:val="0"/>
          <w:sz w:val="32"/>
        </w:rPr>
        <w:t>五、《一般公共预算财政拨款支出决算表》</w:t>
      </w:r>
    </w:p>
    <w:p w14:paraId="725E56DA">
      <w:pPr>
        <w:spacing w:line="240" w:lineRule="auto"/>
        <w:ind w:firstLine="640"/>
        <w:jc w:val="both"/>
      </w:pPr>
      <w:r>
        <w:rPr>
          <w:rFonts w:ascii="仿宋_GB2312" w:hAnsi="仿宋_GB2312" w:eastAsia="仿宋_GB2312"/>
          <w:b w:val="0"/>
          <w:sz w:val="32"/>
        </w:rPr>
        <w:t>六、《一般公共预算财政拨款基本支出决算表》</w:t>
      </w:r>
    </w:p>
    <w:p w14:paraId="103D6A8B">
      <w:pPr>
        <w:spacing w:line="240" w:lineRule="auto"/>
        <w:ind w:firstLine="640"/>
        <w:jc w:val="both"/>
      </w:pPr>
      <w:r>
        <w:rPr>
          <w:rFonts w:ascii="仿宋_GB2312" w:hAnsi="仿宋_GB2312" w:eastAsia="仿宋_GB2312"/>
          <w:b w:val="0"/>
          <w:sz w:val="32"/>
        </w:rPr>
        <w:t>七、《政府性基金预算财政拨款收入支出决算表》</w:t>
      </w:r>
    </w:p>
    <w:p w14:paraId="5D59FA8E">
      <w:pPr>
        <w:spacing w:line="240" w:lineRule="auto"/>
        <w:ind w:firstLine="640"/>
        <w:jc w:val="both"/>
      </w:pPr>
      <w:r>
        <w:rPr>
          <w:rFonts w:ascii="仿宋_GB2312" w:hAnsi="仿宋_GB2312" w:eastAsia="仿宋_GB2312"/>
          <w:b w:val="0"/>
          <w:sz w:val="32"/>
        </w:rPr>
        <w:t>八、《国有资本经营预算财政拨款收入支出决算表》</w:t>
      </w:r>
    </w:p>
    <w:p w14:paraId="13DDE174">
      <w:pPr>
        <w:spacing w:line="240" w:lineRule="auto"/>
        <w:ind w:firstLine="640"/>
        <w:jc w:val="both"/>
      </w:pPr>
      <w:r>
        <w:rPr>
          <w:rFonts w:ascii="仿宋_GB2312" w:hAnsi="仿宋_GB2312" w:eastAsia="仿宋_GB2312"/>
          <w:b w:val="0"/>
          <w:sz w:val="32"/>
        </w:rPr>
        <w:t>九、《财政拨款“三公”经费支出决算表》</w:t>
      </w:r>
    </w:p>
    <w:p w14:paraId="62488673">
      <w:pPr>
        <w:spacing w:line="240" w:lineRule="auto"/>
        <w:ind w:firstLine="640"/>
        <w:jc w:val="both"/>
      </w:pPr>
    </w:p>
    <w:p w14:paraId="514CC243">
      <w:pPr>
        <w:spacing w:line="240" w:lineRule="auto"/>
        <w:ind w:firstLine="640"/>
        <w:jc w:val="both"/>
      </w:pPr>
    </w:p>
    <w:p w14:paraId="38B12F6A">
      <w:pPr>
        <w:spacing w:line="240" w:lineRule="auto"/>
        <w:ind w:firstLine="640"/>
        <w:jc w:val="both"/>
      </w:pPr>
    </w:p>
    <w:p w14:paraId="0C754A15">
      <w:pPr>
        <w:spacing w:line="240" w:lineRule="auto"/>
        <w:ind w:firstLine="640"/>
        <w:jc w:val="both"/>
      </w:pPr>
    </w:p>
    <w:p w14:paraId="7B8C1AD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5864A5-3BE6-4AB3-ACBA-6A52D597C8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4A57A7A-FD3B-4FF3-BCA0-33C44C25FE9B}"/>
  </w:font>
  <w:font w:name="仿宋_GB2312">
    <w:panose1 w:val="02010609030101010101"/>
    <w:charset w:val="86"/>
    <w:family w:val="modern"/>
    <w:pitch w:val="default"/>
    <w:sig w:usb0="00000001" w:usb1="080E0000" w:usb2="00000000" w:usb3="00000000" w:csb0="00040000" w:csb1="00000000"/>
    <w:embedRegular r:id="rId3" w:fontKey="{5E9050A9-8F45-4983-A29F-253401239996}"/>
  </w:font>
  <w:font w:name="楷体_GB2312">
    <w:panose1 w:val="02010609030101010101"/>
    <w:charset w:val="86"/>
    <w:family w:val="auto"/>
    <w:pitch w:val="default"/>
    <w:sig w:usb0="00000001" w:usb1="080E0000" w:usb2="00000000" w:usb3="00000000" w:csb0="00040000" w:csb1="00000000"/>
    <w:embedRegular r:id="rId4" w:fontKey="{31CB4D3B-D50B-4DB3-8CF7-3FB1EEF64D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AB2F3C"/>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4D535E"/>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0C3CA0"/>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4336</Words>
  <Characters>4965</Characters>
  <Lines>0</Lines>
  <Paragraphs>0</Paragraphs>
  <TotalTime>2</TotalTime>
  <ScaleCrop>false</ScaleCrop>
  <LinksUpToDate>false</LinksUpToDate>
  <CharactersWithSpaces>4973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