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新疆巴音郭楞蒙古自治州住房和城乡建设局（部门）2024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420B331">
      <w:r>
        <w:br w:type="page"/>
      </w:r>
    </w:p>
    <w:p w14:paraId="5DB119AB">
      <w:pPr>
        <w:spacing w:line="640" w:lineRule="exact"/>
        <w:jc w:val="center"/>
        <w:outlineLvl w:val="1"/>
      </w:pPr>
      <w:r>
        <w:rPr>
          <w:rFonts w:ascii="黑体" w:hAnsi="黑体" w:eastAsia="黑体"/>
          <w:sz w:val="32"/>
        </w:rPr>
        <w:t>第一部分 部门概况</w:t>
      </w:r>
    </w:p>
    <w:p w14:paraId="4247BF1F">
      <w:pPr>
        <w:spacing w:line="640" w:lineRule="exact"/>
        <w:ind w:firstLine="640"/>
        <w:jc w:val="both"/>
        <w:outlineLvl w:val="2"/>
      </w:pPr>
      <w:r>
        <w:rPr>
          <w:rFonts w:ascii="黑体" w:hAnsi="黑体" w:eastAsia="黑体"/>
          <w:sz w:val="32"/>
        </w:rPr>
        <w:t>一、主要职能</w:t>
      </w:r>
    </w:p>
    <w:p w14:paraId="2F8E2514">
      <w:pPr>
        <w:spacing w:line="580" w:lineRule="exact"/>
        <w:ind w:firstLine="640"/>
        <w:jc w:val="both"/>
      </w:pPr>
      <w:r>
        <w:rPr>
          <w:rFonts w:ascii="仿宋_GB2312" w:hAnsi="仿宋_GB2312" w:eastAsia="仿宋_GB2312"/>
          <w:sz w:val="32"/>
        </w:rPr>
        <w:t>（一）贯彻执行国家、自治区关于住房和城乡建设与人民防空的法律、法规、方针、政策，拟订自治州住房和城乡建设与人民防空事业发展的政策及中长期规划并指导实施，对全州住房和城乡建设与人民防空事业进行监督管理。</w:t>
      </w:r>
    </w:p>
    <w:p w14:paraId="7910409E">
      <w:pPr>
        <w:spacing w:line="580" w:lineRule="exact"/>
        <w:ind w:firstLine="640"/>
        <w:jc w:val="both"/>
      </w:pPr>
      <w:r>
        <w:rPr>
          <w:rFonts w:ascii="仿宋_GB2312" w:hAnsi="仿宋_GB2312" w:eastAsia="仿宋_GB2312"/>
          <w:sz w:val="32"/>
        </w:rPr>
        <w:t>（二）指导城市管理相关工作，指导督促各县市履行主体责任，认真落实城市管理责任；检查指导城市建设档案管理。</w:t>
      </w:r>
    </w:p>
    <w:p w14:paraId="456501DC">
      <w:pPr>
        <w:spacing w:line="580" w:lineRule="exact"/>
        <w:ind w:firstLine="640"/>
        <w:jc w:val="both"/>
      </w:pPr>
      <w:r>
        <w:rPr>
          <w:rFonts w:ascii="仿宋_GB2312" w:hAnsi="仿宋_GB2312" w:eastAsia="仿宋_GB2312"/>
          <w:sz w:val="32"/>
        </w:rPr>
        <w:t>（三）指导城市园林绿化、供水、排水（生活污水）、燃气、供热、市政道路桥梁设施等行业管理；指导城市市容环境治理和</w:t>
      </w:r>
      <w:r>
        <w:rPr>
          <w:rFonts w:hint="eastAsia" w:ascii="仿宋_GB2312" w:hAnsi="仿宋_GB2312" w:eastAsia="仿宋_GB2312"/>
          <w:sz w:val="32"/>
          <w:lang w:eastAsia="zh-CN"/>
        </w:rPr>
        <w:t>建设</w:t>
      </w:r>
      <w:r>
        <w:rPr>
          <w:rFonts w:ascii="仿宋_GB2312" w:hAnsi="仿宋_GB2312" w:eastAsia="仿宋_GB2312"/>
          <w:sz w:val="32"/>
        </w:rPr>
        <w:t>监察工作。</w:t>
      </w:r>
    </w:p>
    <w:p w14:paraId="160BF51A">
      <w:pPr>
        <w:spacing w:line="580" w:lineRule="exact"/>
        <w:ind w:firstLine="640"/>
        <w:jc w:val="both"/>
      </w:pPr>
      <w:r>
        <w:rPr>
          <w:rFonts w:ascii="仿宋_GB2312" w:hAnsi="仿宋_GB2312" w:eastAsia="仿宋_GB2312"/>
          <w:sz w:val="32"/>
        </w:rPr>
        <w:t>（四）负责农村安居工程建设的指导监督；指导农村危房改造和农村住房建设；指导农村生活垃圾专项治理。</w:t>
      </w:r>
    </w:p>
    <w:p w14:paraId="073EFD59">
      <w:pPr>
        <w:spacing w:line="580" w:lineRule="exact"/>
        <w:ind w:firstLine="640"/>
        <w:jc w:val="both"/>
      </w:pPr>
      <w:r>
        <w:rPr>
          <w:rFonts w:ascii="仿宋_GB2312" w:hAnsi="仿宋_GB2312" w:eastAsia="仿宋_GB2312"/>
          <w:sz w:val="32"/>
        </w:rPr>
        <w:t>（五）负责全州城镇保障性住房工程建设的指导监督；拟订保障性住房规划和年度计划并监督实施；做好各类保障性住房建设项目申报和资金争取工作，监督各县市组织实施。</w:t>
      </w:r>
    </w:p>
    <w:p w14:paraId="0E448FEB">
      <w:pPr>
        <w:spacing w:line="580" w:lineRule="exact"/>
        <w:ind w:firstLine="640"/>
        <w:jc w:val="both"/>
      </w:pPr>
      <w:r>
        <w:rPr>
          <w:rFonts w:ascii="仿宋_GB2312" w:hAnsi="仿宋_GB2312" w:eastAsia="仿宋_GB2312"/>
          <w:sz w:val="32"/>
        </w:rPr>
        <w:t>（六）指导全州建筑业管理工作，培育和规范建筑市场；指导监督建筑业市场管理；制定勘察、设计、招投标、施工质量和安全、监理和相关中介服务管理的规章制度并监督实施。</w:t>
      </w:r>
    </w:p>
    <w:p w14:paraId="4079F189">
      <w:pPr>
        <w:spacing w:line="580" w:lineRule="exact"/>
        <w:ind w:firstLine="640"/>
        <w:jc w:val="both"/>
      </w:pPr>
      <w:r>
        <w:rPr>
          <w:rFonts w:ascii="仿宋_GB2312" w:hAnsi="仿宋_GB2312" w:eastAsia="仿宋_GB2312"/>
          <w:sz w:val="32"/>
        </w:rPr>
        <w:t>（七）指导全州住宅建设和城镇住房制度改革工作。负责全州住宅和房地产业的监督管理，指导全州住宅建设和房地产开发；负责本行政区域内物业管理活动的监督管理；承担规范房地产市场秩序、监督管理房地产市场的责任。</w:t>
      </w:r>
    </w:p>
    <w:p w14:paraId="67BD32A4">
      <w:pPr>
        <w:spacing w:line="580" w:lineRule="exact"/>
        <w:ind w:firstLine="640"/>
        <w:jc w:val="both"/>
      </w:pPr>
      <w:r>
        <w:rPr>
          <w:rFonts w:ascii="仿宋_GB2312" w:hAnsi="仿宋_GB2312" w:eastAsia="仿宋_GB2312"/>
          <w:sz w:val="32"/>
        </w:rPr>
        <w:t>（八）编制自治州人民防空工作中长期发展规划和年度计划并组织实施；依法对城市和重要经济目标的人民防空建设进行监督检查；负责编制自治州人民防空工程建设总体规划；负责全州人民防空工程建设与管理；拟订人口疏散计划和疏散地域建设（基地）规划，会同有关部门建设疏散地域。</w:t>
      </w:r>
    </w:p>
    <w:p w14:paraId="69C08312">
      <w:pPr>
        <w:spacing w:line="580" w:lineRule="exact"/>
        <w:ind w:firstLine="640"/>
        <w:jc w:val="both"/>
      </w:pPr>
      <w:r>
        <w:rPr>
          <w:rFonts w:ascii="仿宋_GB2312" w:hAnsi="仿宋_GB2312" w:eastAsia="仿宋_GB2312"/>
          <w:sz w:val="32"/>
        </w:rPr>
        <w:t>（九）负责人民防空组织指挥、通信、警报、信息化建设与管理，指导各县市编制防空袭预案并组织实施专项演习（练），指导和监督全州重要经济</w:t>
      </w:r>
      <w:r>
        <w:rPr>
          <w:rFonts w:hint="eastAsia" w:ascii="仿宋_GB2312" w:hAnsi="仿宋_GB2312" w:eastAsia="仿宋_GB2312"/>
          <w:sz w:val="32"/>
          <w:lang w:eastAsia="zh-CN"/>
        </w:rPr>
        <w:t>目标</w:t>
      </w:r>
      <w:r>
        <w:rPr>
          <w:rFonts w:ascii="仿宋_GB2312" w:hAnsi="仿宋_GB2312" w:eastAsia="仿宋_GB2312"/>
          <w:sz w:val="32"/>
        </w:rPr>
        <w:t>防护和人民防空平战结合工作。</w:t>
      </w:r>
    </w:p>
    <w:p w14:paraId="2D9B112F">
      <w:pPr>
        <w:spacing w:line="580" w:lineRule="exact"/>
        <w:ind w:firstLine="640"/>
        <w:jc w:val="both"/>
      </w:pPr>
      <w:r>
        <w:rPr>
          <w:rFonts w:ascii="仿宋_GB2312" w:hAnsi="仿宋_GB2312" w:eastAsia="仿宋_GB2312"/>
          <w:sz w:val="32"/>
        </w:rPr>
        <w:t>（十）指导城乡建设抗震防灾工作。组织编制城乡抗震减灾、市政设施安全管理规划并监督实施；监督各类房屋建筑及其附属设施、城市市政工程的抗震设计规范的实施；指导震后重建工作；指导城市地下空间的开发利用。</w:t>
      </w:r>
    </w:p>
    <w:p w14:paraId="44282144">
      <w:pPr>
        <w:spacing w:line="580" w:lineRule="exact"/>
        <w:ind w:firstLine="640"/>
        <w:jc w:val="both"/>
      </w:pPr>
      <w:r>
        <w:rPr>
          <w:rFonts w:ascii="仿宋_GB2312" w:hAnsi="仿宋_GB2312" w:eastAsia="仿宋_GB2312"/>
          <w:sz w:val="32"/>
        </w:rPr>
        <w:t>（十一）指导全州房屋建筑、市政设施突发公共事件应急处置工作。</w:t>
      </w:r>
    </w:p>
    <w:p w14:paraId="6729EED3">
      <w:pPr>
        <w:spacing w:line="580" w:lineRule="exact"/>
        <w:ind w:firstLine="640"/>
        <w:jc w:val="both"/>
      </w:pPr>
      <w:r>
        <w:rPr>
          <w:rFonts w:ascii="仿宋_GB2312" w:hAnsi="仿宋_GB2312" w:eastAsia="仿宋_GB2312"/>
          <w:sz w:val="32"/>
        </w:rPr>
        <w:t>（十二）组织</w:t>
      </w:r>
      <w:r>
        <w:rPr>
          <w:rFonts w:hint="eastAsia" w:ascii="仿宋_GB2312" w:hAnsi="仿宋_GB2312" w:eastAsia="仿宋_GB2312"/>
          <w:sz w:val="32"/>
          <w:lang w:eastAsia="zh-CN"/>
        </w:rPr>
        <w:t>实施</w:t>
      </w:r>
      <w:r>
        <w:rPr>
          <w:rFonts w:ascii="仿宋_GB2312" w:hAnsi="仿宋_GB2312" w:eastAsia="仿宋_GB2312"/>
          <w:sz w:val="32"/>
        </w:rPr>
        <w:t>阶段的国家标准、全国统一定额和行业标准；组织拟定全州工程造价管理办法；组织拟订和发布工程经济技术参数及评价方法；指导并监督各类工程建设标准定额的实施；贯彻执行建筑节能法律、法规和规章，组织拟订建筑节能的政策、规划并监督实施。</w:t>
      </w:r>
    </w:p>
    <w:p w14:paraId="4DE84164">
      <w:pPr>
        <w:spacing w:line="580" w:lineRule="exact"/>
        <w:ind w:firstLine="640"/>
        <w:jc w:val="both"/>
      </w:pPr>
      <w:r>
        <w:rPr>
          <w:rFonts w:ascii="仿宋_GB2312" w:hAnsi="仿宋_GB2312" w:eastAsia="仿宋_GB2312"/>
          <w:sz w:val="32"/>
        </w:rPr>
        <w:t>（十三）指导自治州墙体材料革新与散装水泥发展。</w:t>
      </w:r>
    </w:p>
    <w:p w14:paraId="284C87A5">
      <w:pPr>
        <w:spacing w:line="580" w:lineRule="exact"/>
        <w:ind w:firstLine="640"/>
        <w:jc w:val="both"/>
      </w:pPr>
      <w:r>
        <w:rPr>
          <w:rFonts w:ascii="仿宋_GB2312" w:hAnsi="仿宋_GB2312" w:eastAsia="仿宋_GB2312"/>
          <w:sz w:val="32"/>
        </w:rPr>
        <w:t>（十四）负责建设工程消防设计审查验收工作。</w:t>
      </w:r>
    </w:p>
    <w:p w14:paraId="2557BCC7">
      <w:pPr>
        <w:spacing w:line="580" w:lineRule="exact"/>
        <w:ind w:firstLine="640"/>
        <w:jc w:val="both"/>
      </w:pPr>
      <w:r>
        <w:rPr>
          <w:rFonts w:ascii="仿宋_GB2312" w:hAnsi="仿宋_GB2312" w:eastAsia="仿宋_GB2312"/>
          <w:sz w:val="32"/>
        </w:rPr>
        <w:t>（十五）拟订全州住房和城乡建设科技发展规划、计划和技术经济措施，组织重大科技项目攻关合作交流、技术创新与成果推广应用工作。</w:t>
      </w:r>
    </w:p>
    <w:p w14:paraId="4EC473F2">
      <w:pPr>
        <w:spacing w:line="580" w:lineRule="exact"/>
        <w:ind w:firstLine="640"/>
        <w:jc w:val="both"/>
      </w:pPr>
      <w:r>
        <w:rPr>
          <w:rFonts w:ascii="仿宋_GB2312" w:hAnsi="仿宋_GB2312" w:eastAsia="仿宋_GB2312"/>
          <w:sz w:val="32"/>
        </w:rPr>
        <w:t>（十六）组织开展住房和城乡建设行业的对外经济技术合作；引导企业开拓国内国际建筑市场和房地产市场，指导协调建筑企业对外工程承包和劳务合作。</w:t>
      </w:r>
    </w:p>
    <w:p w14:paraId="7BE68F73">
      <w:pPr>
        <w:spacing w:line="580" w:lineRule="exact"/>
        <w:ind w:firstLine="640"/>
        <w:jc w:val="both"/>
      </w:pPr>
      <w:r>
        <w:rPr>
          <w:rFonts w:ascii="仿宋_GB2312" w:hAnsi="仿宋_GB2312" w:eastAsia="仿宋_GB2312"/>
          <w:sz w:val="32"/>
        </w:rPr>
        <w:t>（十七）指导管理住房和城乡建设行业和人民防空宣传教育工作。</w:t>
      </w:r>
    </w:p>
    <w:p w14:paraId="5EED1EE5">
      <w:pPr>
        <w:spacing w:line="580" w:lineRule="exact"/>
        <w:ind w:firstLine="640"/>
        <w:jc w:val="both"/>
      </w:pPr>
      <w:r>
        <w:rPr>
          <w:rFonts w:ascii="仿宋_GB2312" w:hAnsi="仿宋_GB2312" w:eastAsia="仿宋_GB2312"/>
          <w:sz w:val="32"/>
        </w:rPr>
        <w:t>（十八）指导管理住房和城乡建设行业的干部职工培训及继续教育工作。</w:t>
      </w:r>
    </w:p>
    <w:p w14:paraId="765891DB">
      <w:pPr>
        <w:spacing w:line="580" w:lineRule="exact"/>
        <w:ind w:firstLine="640"/>
        <w:jc w:val="both"/>
      </w:pPr>
      <w:r>
        <w:rPr>
          <w:rFonts w:ascii="仿宋_GB2312" w:hAnsi="仿宋_GB2312" w:eastAsia="仿宋_GB2312"/>
          <w:sz w:val="32"/>
        </w:rPr>
        <w:t>（十九）指导全州住房和城乡建设行业各类协会的业务工作。</w:t>
      </w:r>
    </w:p>
    <w:p w14:paraId="1529E763">
      <w:pPr>
        <w:spacing w:line="580" w:lineRule="exact"/>
        <w:ind w:firstLine="640"/>
        <w:jc w:val="both"/>
      </w:pPr>
      <w:r>
        <w:rPr>
          <w:rFonts w:ascii="仿宋_GB2312" w:hAnsi="仿宋_GB2312" w:eastAsia="仿宋_GB2312"/>
          <w:sz w:val="32"/>
        </w:rPr>
        <w:t>（二十）组织拟订全州住房和城乡建设行业改革方案并协调实施；承担有关规范性文件的审核、修改、发布和备案工作；指导全州住房和城乡建设行业普法、行政执法、执法监督、行政复议和行政应诉工作；受理有关群众举报、投诉等综合性案件；负责局机关、所属单位的纪律检查和行政监察工作；负责全州住房和城乡建设行业政风行风建设监督检查工作。</w:t>
      </w:r>
    </w:p>
    <w:p w14:paraId="7ACAA6E0">
      <w:pPr>
        <w:spacing w:line="580" w:lineRule="exact"/>
        <w:ind w:firstLine="640"/>
        <w:jc w:val="both"/>
      </w:pPr>
      <w:r>
        <w:rPr>
          <w:rFonts w:ascii="仿宋_GB2312" w:hAnsi="仿宋_GB2312" w:eastAsia="仿宋_GB2312"/>
          <w:sz w:val="32"/>
        </w:rPr>
        <w:t>（二十一）承担本部门党的建设、党风廉政建设和反腐败、精神文明、维护稳定、“</w:t>
      </w:r>
      <w:r>
        <w:rPr>
          <w:rFonts w:hint="eastAsia" w:ascii="仿宋_GB2312" w:hAnsi="仿宋_GB2312" w:eastAsia="仿宋_GB2312"/>
          <w:sz w:val="32"/>
          <w:lang w:eastAsia="zh-CN"/>
        </w:rPr>
        <w:t>为民办实事</w:t>
      </w:r>
      <w:r>
        <w:rPr>
          <w:rFonts w:ascii="仿宋_GB2312" w:hAnsi="仿宋_GB2312" w:eastAsia="仿宋_GB2312"/>
          <w:sz w:val="32"/>
        </w:rPr>
        <w:t>”、综合治理、民族团结、“两个全覆盖”、安全生产、扶贫等工作。</w:t>
      </w:r>
    </w:p>
    <w:p w14:paraId="24CAA509">
      <w:pPr>
        <w:spacing w:line="580" w:lineRule="exact"/>
        <w:ind w:firstLine="640"/>
        <w:jc w:val="both"/>
      </w:pPr>
      <w:r>
        <w:rPr>
          <w:rFonts w:ascii="仿宋_GB2312" w:hAnsi="仿宋_GB2312" w:eastAsia="仿宋_GB2312"/>
          <w:sz w:val="32"/>
        </w:rPr>
        <w:t>（二十二）完成自治州党委、自治州人民政府交办的其他任务。</w:t>
      </w:r>
    </w:p>
    <w:p w14:paraId="2D7C0CE1">
      <w:pPr>
        <w:spacing w:line="640" w:lineRule="exact"/>
        <w:ind w:firstLine="640"/>
        <w:jc w:val="both"/>
        <w:outlineLvl w:val="2"/>
      </w:pPr>
      <w:r>
        <w:rPr>
          <w:rFonts w:ascii="黑体" w:hAnsi="黑体" w:eastAsia="黑体"/>
          <w:sz w:val="32"/>
        </w:rPr>
        <w:t>二、机构设置及人员情况</w:t>
      </w:r>
    </w:p>
    <w:p w14:paraId="669E22A3">
      <w:pPr>
        <w:spacing w:line="580" w:lineRule="exact"/>
        <w:ind w:firstLine="640"/>
        <w:jc w:val="both"/>
      </w:pPr>
      <w:r>
        <w:rPr>
          <w:rFonts w:ascii="仿宋_GB2312" w:hAnsi="仿宋_GB2312" w:eastAsia="仿宋_GB2312"/>
          <w:sz w:val="32"/>
        </w:rPr>
        <w:t>新疆巴音郭楞蒙古自治州住房和城乡建设局（部门）2024年度，实有人数151人，其中：在职人员68人，减少5人；离休人员0人，增加0人；退休人员83人,增加6人。</w:t>
      </w:r>
    </w:p>
    <w:p w14:paraId="3CB13A66">
      <w:pPr>
        <w:spacing w:line="580" w:lineRule="exact"/>
        <w:ind w:firstLine="640"/>
        <w:jc w:val="both"/>
      </w:pPr>
      <w:r>
        <w:rPr>
          <w:rFonts w:ascii="仿宋_GB2312" w:hAnsi="仿宋_GB2312" w:eastAsia="仿宋_GB2312"/>
          <w:sz w:val="32"/>
        </w:rPr>
        <w:t>从部门决算单位构成看，新疆巴音郭楞蒙古自治州住房和城乡建设局（部门）部门决算包括：新疆巴音郭楞蒙古自治州住房和城乡建设局（本级）决算及所属单位决算。</w:t>
      </w:r>
    </w:p>
    <w:p w14:paraId="5D1427F4">
      <w:pPr>
        <w:spacing w:line="580" w:lineRule="exact"/>
        <w:ind w:firstLine="640"/>
        <w:jc w:val="both"/>
      </w:pPr>
      <w:r>
        <w:rPr>
          <w:rFonts w:ascii="仿宋_GB2312" w:hAnsi="仿宋_GB2312" w:eastAsia="仿宋_GB2312"/>
          <w:sz w:val="32"/>
        </w:rPr>
        <w:t>新疆巴音郭楞蒙古自治州住房和城乡建设局本级下设8个科室，分别是：办公室、城市建设管理科、村镇建设管理科、住房保障与房地产市场监管科、科技节能与建筑市场监管科、质量安全监督与抗震应急保障科、组织指挥与信息保障科、执法监督科（督查室）。</w:t>
      </w:r>
    </w:p>
    <w:p w14:paraId="1E7EC159">
      <w:pPr>
        <w:spacing w:line="580" w:lineRule="exact"/>
        <w:ind w:firstLine="640"/>
        <w:jc w:val="both"/>
      </w:pPr>
      <w:r>
        <w:rPr>
          <w:rFonts w:ascii="仿宋_GB2312" w:hAnsi="仿宋_GB2312" w:eastAsia="仿宋_GB2312"/>
          <w:sz w:val="32"/>
        </w:rPr>
        <w:t>纳入新疆巴音郭楞蒙古自治州住房和城乡建设局（部门）2024年度部门决算编制范围的下属预算单位包括：</w:t>
      </w:r>
    </w:p>
    <w:p w14:paraId="789064BE">
      <w:pPr>
        <w:spacing w:line="580" w:lineRule="exact"/>
        <w:ind w:firstLine="640"/>
        <w:jc w:val="both"/>
      </w:pPr>
      <w:r>
        <w:rPr>
          <w:rFonts w:ascii="仿宋_GB2312" w:hAnsi="仿宋_GB2312" w:eastAsia="仿宋_GB2312"/>
          <w:sz w:val="32"/>
        </w:rPr>
        <w:t>1.</w:t>
      </w:r>
      <w:r>
        <w:rPr>
          <w:rFonts w:hint="eastAsia" w:ascii="仿宋_GB2312" w:hAnsi="仿宋_GB2312" w:eastAsia="仿宋_GB2312"/>
          <w:sz w:val="32"/>
        </w:rPr>
        <w:t>新疆巴音郭楞蒙古自治州住房和城乡建设局</w:t>
      </w:r>
    </w:p>
    <w:p w14:paraId="5206777D">
      <w:pPr>
        <w:spacing w:line="580" w:lineRule="exact"/>
        <w:ind w:firstLine="640"/>
        <w:jc w:val="both"/>
      </w:pPr>
      <w:r>
        <w:rPr>
          <w:rFonts w:ascii="仿宋_GB2312" w:hAnsi="仿宋_GB2312" w:eastAsia="仿宋_GB2312"/>
          <w:sz w:val="32"/>
        </w:rPr>
        <w:t>2.</w:t>
      </w:r>
      <w:r>
        <w:rPr>
          <w:rFonts w:hint="eastAsia" w:ascii="仿宋_GB2312" w:hAnsi="仿宋_GB2312" w:eastAsia="仿宋_GB2312"/>
          <w:sz w:val="32"/>
        </w:rPr>
        <w:t>新疆巴音郭楞蒙古自治州建设工程服务中心</w:t>
      </w:r>
    </w:p>
    <w:p w14:paraId="4F2C62CF">
      <w:r>
        <w:br w:type="page"/>
      </w:r>
    </w:p>
    <w:p w14:paraId="32F14C96">
      <w:pPr>
        <w:spacing w:line="240" w:lineRule="auto"/>
        <w:jc w:val="center"/>
        <w:outlineLvl w:val="1"/>
      </w:pPr>
      <w:r>
        <w:rPr>
          <w:rFonts w:ascii="黑体" w:hAnsi="黑体" w:eastAsia="黑体"/>
          <w:sz w:val="32"/>
        </w:rPr>
        <w:t>第二部分 部门决算情况说明</w:t>
      </w:r>
    </w:p>
    <w:p w14:paraId="343ADBB1">
      <w:pPr>
        <w:spacing w:line="640" w:lineRule="exact"/>
        <w:ind w:firstLine="640"/>
        <w:jc w:val="both"/>
        <w:outlineLvl w:val="2"/>
      </w:pPr>
      <w:r>
        <w:rPr>
          <w:rFonts w:ascii="黑体" w:hAnsi="黑体" w:eastAsia="黑体"/>
          <w:sz w:val="32"/>
        </w:rPr>
        <w:t>一、收入支出决算总体情况说明</w:t>
      </w:r>
    </w:p>
    <w:p w14:paraId="04BAAD17">
      <w:pPr>
        <w:spacing w:line="580" w:lineRule="exact"/>
        <w:ind w:firstLine="640"/>
        <w:jc w:val="both"/>
      </w:pPr>
      <w:r>
        <w:rPr>
          <w:rFonts w:ascii="仿宋_GB2312" w:hAnsi="仿宋_GB2312" w:eastAsia="仿宋_GB2312"/>
          <w:b/>
          <w:sz w:val="32"/>
        </w:rPr>
        <w:t>2024年度收入总计2,521.56万元，</w:t>
      </w:r>
      <w:r>
        <w:rPr>
          <w:rFonts w:ascii="仿宋_GB2312" w:hAnsi="仿宋_GB2312" w:eastAsia="仿宋_GB2312"/>
          <w:b w:val="0"/>
          <w:sz w:val="32"/>
        </w:rPr>
        <w:t>其中：本年收入合计2,521.56万元，使用非财政拨款结余（含专用结余）0.00万元，年初结转和结余0.00万元。</w:t>
      </w:r>
    </w:p>
    <w:p w14:paraId="0C4AA849">
      <w:pPr>
        <w:spacing w:line="580" w:lineRule="exact"/>
        <w:ind w:firstLine="640"/>
        <w:jc w:val="both"/>
      </w:pPr>
      <w:r>
        <w:rPr>
          <w:rFonts w:ascii="仿宋_GB2312" w:hAnsi="仿宋_GB2312" w:eastAsia="仿宋_GB2312"/>
          <w:b/>
          <w:sz w:val="32"/>
        </w:rPr>
        <w:t>2024年度支出总计2,521.56万元，</w:t>
      </w:r>
      <w:r>
        <w:rPr>
          <w:rFonts w:ascii="仿宋_GB2312" w:hAnsi="仿宋_GB2312" w:eastAsia="仿宋_GB2312"/>
          <w:b w:val="0"/>
          <w:sz w:val="32"/>
        </w:rPr>
        <w:t>其中：本年支出合计2,521.56万元，结余分配0.00万元，年末结转和结余0.00万元。</w:t>
      </w:r>
    </w:p>
    <w:p w14:paraId="47F2DFEC">
      <w:pPr>
        <w:spacing w:line="580" w:lineRule="exact"/>
        <w:ind w:firstLine="640"/>
        <w:jc w:val="both"/>
      </w:pPr>
      <w:r>
        <w:rPr>
          <w:rFonts w:ascii="仿宋_GB2312" w:hAnsi="仿宋_GB2312" w:eastAsia="仿宋_GB2312"/>
          <w:b w:val="0"/>
          <w:sz w:val="32"/>
        </w:rPr>
        <w:t>收入支出总体与上年相比，增加505.65万元，增长25.08%，主要原因是：本年</w:t>
      </w:r>
      <w:r>
        <w:rPr>
          <w:rFonts w:hint="eastAsia" w:ascii="仿宋_GB2312" w:hAnsi="仿宋_GB2312" w:eastAsia="仿宋_GB2312"/>
          <w:b w:val="0"/>
          <w:sz w:val="32"/>
          <w:lang w:val="en-US" w:eastAsia="zh-CN"/>
        </w:rPr>
        <w:t>增加人防异地建设费</w:t>
      </w:r>
      <w:r>
        <w:rPr>
          <w:rFonts w:ascii="仿宋_GB2312" w:hAnsi="仿宋_GB2312" w:eastAsia="仿宋_GB2312"/>
          <w:b w:val="0"/>
          <w:sz w:val="32"/>
        </w:rPr>
        <w:t>。</w:t>
      </w:r>
    </w:p>
    <w:p w14:paraId="686DF520">
      <w:pPr>
        <w:spacing w:line="640" w:lineRule="exact"/>
        <w:ind w:firstLine="640"/>
        <w:jc w:val="both"/>
        <w:outlineLvl w:val="2"/>
      </w:pPr>
      <w:r>
        <w:rPr>
          <w:rFonts w:ascii="黑体" w:hAnsi="黑体" w:eastAsia="黑体"/>
          <w:sz w:val="32"/>
        </w:rPr>
        <w:t>二、收入决算情况说明</w:t>
      </w:r>
    </w:p>
    <w:p w14:paraId="310B0F26">
      <w:pPr>
        <w:spacing w:line="580" w:lineRule="exact"/>
        <w:ind w:firstLine="640"/>
        <w:jc w:val="both"/>
      </w:pPr>
      <w:r>
        <w:rPr>
          <w:rFonts w:ascii="仿宋_GB2312" w:hAnsi="仿宋_GB2312" w:eastAsia="仿宋_GB2312"/>
          <w:b/>
          <w:sz w:val="32"/>
        </w:rPr>
        <w:t>本年收入2,521.56万元，</w:t>
      </w:r>
      <w:r>
        <w:rPr>
          <w:rFonts w:ascii="仿宋_GB2312" w:hAnsi="仿宋_GB2312" w:eastAsia="仿宋_GB2312"/>
          <w:b w:val="0"/>
          <w:sz w:val="32"/>
        </w:rPr>
        <w:t>其中：财政拨款收入1,878.54万元，占74.50%；上级补助收入0.00万元，占0.00%；事业收入0.00万元，占0.00%；经营收入0.00万元，占0.00%；附属单位上缴收入0.00万元，占0.00%；其他收入643.03万元，占25.50%。</w:t>
      </w:r>
    </w:p>
    <w:p w14:paraId="66AFC760">
      <w:pPr>
        <w:spacing w:line="640" w:lineRule="exact"/>
        <w:ind w:firstLine="640"/>
        <w:jc w:val="both"/>
        <w:outlineLvl w:val="2"/>
      </w:pPr>
      <w:r>
        <w:rPr>
          <w:rFonts w:ascii="黑体" w:hAnsi="黑体" w:eastAsia="黑体"/>
          <w:sz w:val="32"/>
        </w:rPr>
        <w:t>三、支出决算情况说明</w:t>
      </w:r>
    </w:p>
    <w:p w14:paraId="66260A47">
      <w:pPr>
        <w:spacing w:line="580" w:lineRule="exact"/>
        <w:ind w:firstLine="640"/>
        <w:jc w:val="both"/>
      </w:pPr>
      <w:r>
        <w:rPr>
          <w:rFonts w:ascii="仿宋_GB2312" w:hAnsi="仿宋_GB2312" w:eastAsia="仿宋_GB2312"/>
          <w:b/>
          <w:sz w:val="32"/>
        </w:rPr>
        <w:t>本年支出2,521.56万元，</w:t>
      </w:r>
      <w:r>
        <w:rPr>
          <w:rFonts w:ascii="仿宋_GB2312" w:hAnsi="仿宋_GB2312" w:eastAsia="仿宋_GB2312"/>
          <w:b w:val="0"/>
          <w:sz w:val="32"/>
        </w:rPr>
        <w:t>其中：基本支出1,574.11万元，占62.43%；项目支出947.45万元，占37.57%；上缴上级支出0.00万元，占0.00%；经营支出0.00万元，占0.00%；对附属单位补助支出0.00万元，占0.00%。</w:t>
      </w:r>
    </w:p>
    <w:p w14:paraId="77348CF7">
      <w:pPr>
        <w:spacing w:line="640" w:lineRule="exact"/>
        <w:ind w:firstLine="640"/>
        <w:jc w:val="both"/>
        <w:outlineLvl w:val="2"/>
      </w:pPr>
      <w:r>
        <w:rPr>
          <w:rFonts w:ascii="黑体" w:hAnsi="黑体" w:eastAsia="黑体"/>
          <w:sz w:val="32"/>
        </w:rPr>
        <w:t>四、财政拨款收入支出决算总体情况说明</w:t>
      </w:r>
    </w:p>
    <w:p w14:paraId="5AEFCC40">
      <w:pPr>
        <w:spacing w:line="580" w:lineRule="exact"/>
        <w:ind w:firstLine="640"/>
        <w:jc w:val="both"/>
      </w:pPr>
      <w:r>
        <w:rPr>
          <w:rFonts w:ascii="仿宋_GB2312" w:hAnsi="仿宋_GB2312" w:eastAsia="仿宋_GB2312"/>
          <w:b/>
          <w:sz w:val="32"/>
        </w:rPr>
        <w:t>2024年度财政拨款收入总计1,878.54万元，</w:t>
      </w:r>
      <w:r>
        <w:rPr>
          <w:rFonts w:ascii="仿宋_GB2312" w:hAnsi="仿宋_GB2312" w:eastAsia="仿宋_GB2312"/>
          <w:b w:val="0"/>
          <w:sz w:val="32"/>
        </w:rPr>
        <w:t>其中：年初财政拨款结转和结余0.00万元，本年财政拨款收入1,878.54万元。</w:t>
      </w:r>
      <w:r>
        <w:rPr>
          <w:rFonts w:ascii="仿宋_GB2312" w:hAnsi="仿宋_GB2312" w:eastAsia="仿宋_GB2312"/>
          <w:b/>
          <w:sz w:val="32"/>
        </w:rPr>
        <w:t>财政拨款支出总计1,878.54万元，</w:t>
      </w:r>
      <w:r>
        <w:rPr>
          <w:rFonts w:ascii="仿宋_GB2312" w:hAnsi="仿宋_GB2312" w:eastAsia="仿宋_GB2312"/>
          <w:b w:val="0"/>
          <w:sz w:val="32"/>
        </w:rPr>
        <w:t>其中：年末财政拨款结转和结余0.00万元，本年财政拨款支出1,878.54万元。</w:t>
      </w:r>
    </w:p>
    <w:p w14:paraId="66BB5A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减少82.02万元，下降4.18%，主要原因是：本年在职人员减少，相关人员经费减少，本年减少建设工程监管检查项目，导致经费较上年减少。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1,749.31万元，决算数1,878.54万元，预决算差异率7.39%，主要原因是：年中追加人防易地建设费清缴法律服务费、园林城市建设高层次人才聘用经费、自治州“十五五”城市高质量发展战略研究，导致预决算存在差异。</w:t>
      </w:r>
    </w:p>
    <w:p w14:paraId="3721AD99">
      <w:pPr>
        <w:spacing w:line="640" w:lineRule="exact"/>
        <w:ind w:firstLine="640"/>
        <w:jc w:val="both"/>
        <w:outlineLvl w:val="2"/>
      </w:pPr>
      <w:r>
        <w:rPr>
          <w:rFonts w:ascii="黑体" w:hAnsi="黑体" w:eastAsia="黑体"/>
          <w:sz w:val="32"/>
        </w:rPr>
        <w:t>五、一般公共预算财政拨款支出决算情况说明</w:t>
      </w:r>
    </w:p>
    <w:p w14:paraId="491B0F54">
      <w:pPr>
        <w:spacing w:line="640" w:lineRule="exact"/>
        <w:ind w:firstLine="640"/>
        <w:jc w:val="both"/>
        <w:outlineLvl w:val="3"/>
      </w:pPr>
      <w:r>
        <w:rPr>
          <w:rFonts w:ascii="楷体_GB2312" w:hAnsi="楷体_GB2312" w:eastAsia="楷体_GB2312"/>
          <w:b/>
          <w:sz w:val="32"/>
        </w:rPr>
        <w:t>（一）一般公共预算财政拨款支出决算总体情况</w:t>
      </w:r>
    </w:p>
    <w:p w14:paraId="4FD81A3C">
      <w:pPr>
        <w:spacing w:line="580" w:lineRule="exact"/>
        <w:ind w:firstLine="640"/>
        <w:jc w:val="both"/>
      </w:pPr>
      <w:r>
        <w:rPr>
          <w:rFonts w:ascii="仿宋_GB2312" w:hAnsi="仿宋_GB2312" w:eastAsia="仿宋_GB2312"/>
          <w:b/>
          <w:sz w:val="32"/>
        </w:rPr>
        <w:t>2024年度一般公共预算财政拨款支出1,878.54万元，</w:t>
      </w:r>
      <w:r>
        <w:rPr>
          <w:rFonts w:ascii="仿宋_GB2312" w:hAnsi="仿宋_GB2312" w:eastAsia="仿宋_GB2312"/>
          <w:b w:val="0"/>
          <w:sz w:val="32"/>
        </w:rPr>
        <w:t>占本年支出合计的74.50%。</w:t>
      </w:r>
      <w:r>
        <w:rPr>
          <w:rFonts w:ascii="仿宋_GB2312" w:hAnsi="仿宋_GB2312" w:eastAsia="仿宋_GB2312"/>
          <w:b/>
          <w:sz w:val="32"/>
        </w:rPr>
        <w:t>与上年相比，</w:t>
      </w:r>
      <w:r>
        <w:rPr>
          <w:rFonts w:ascii="仿宋_GB2312" w:hAnsi="仿宋_GB2312" w:eastAsia="仿宋_GB2312"/>
          <w:b w:val="0"/>
          <w:sz w:val="32"/>
        </w:rPr>
        <w:t>减少82.02万元，下降4.18%，主要原因是：本年在职人员减少，相关人员经费减少，本年减少建设工程监管检查项目，导致经费较上年减少。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1,749.31万元，决算数1,878.54万元，预决算差异率7.39%，主要原因是：年中追加人防易地建设费清缴法律服务费、园林城市建设高层次人才聘用经费、自治州“十五五”城市高质量发展战略研究，导致预决算存在差异。</w:t>
      </w:r>
    </w:p>
    <w:p w14:paraId="0B83BBBD">
      <w:pPr>
        <w:spacing w:line="640" w:lineRule="exact"/>
        <w:ind w:firstLine="640"/>
        <w:jc w:val="both"/>
        <w:outlineLvl w:val="3"/>
      </w:pPr>
      <w:r>
        <w:rPr>
          <w:rFonts w:ascii="楷体_GB2312" w:hAnsi="楷体_GB2312" w:eastAsia="楷体_GB2312"/>
          <w:b/>
          <w:sz w:val="32"/>
        </w:rPr>
        <w:t>（二）一般公共预算财政拨款支出决算结构情况</w:t>
      </w:r>
    </w:p>
    <w:p w14:paraId="2F264F7D">
      <w:pPr>
        <w:spacing w:line="580" w:lineRule="exact"/>
        <w:ind w:firstLine="640"/>
        <w:jc w:val="both"/>
      </w:pPr>
      <w:r>
        <w:rPr>
          <w:rFonts w:ascii="仿宋_GB2312" w:hAnsi="仿宋_GB2312" w:eastAsia="仿宋_GB2312"/>
          <w:b w:val="0"/>
          <w:sz w:val="32"/>
        </w:rPr>
        <w:t>1.一般公共服务支出(类)10万元,占0.53%。</w:t>
      </w:r>
    </w:p>
    <w:p w14:paraId="74B0C948">
      <w:pPr>
        <w:spacing w:line="580" w:lineRule="exact"/>
        <w:ind w:firstLine="640"/>
        <w:jc w:val="both"/>
      </w:pPr>
      <w:r>
        <w:rPr>
          <w:rFonts w:ascii="仿宋_GB2312" w:hAnsi="仿宋_GB2312" w:eastAsia="仿宋_GB2312"/>
          <w:b w:val="0"/>
          <w:sz w:val="32"/>
        </w:rPr>
        <w:t>2.教育支出(类)3.28万元,占0.17%。</w:t>
      </w:r>
    </w:p>
    <w:p w14:paraId="75D3C8F5">
      <w:pPr>
        <w:spacing w:line="580" w:lineRule="exact"/>
        <w:ind w:firstLine="640"/>
        <w:jc w:val="both"/>
      </w:pPr>
      <w:r>
        <w:rPr>
          <w:rFonts w:ascii="仿宋_GB2312" w:hAnsi="仿宋_GB2312" w:eastAsia="仿宋_GB2312"/>
          <w:b w:val="0"/>
          <w:sz w:val="32"/>
        </w:rPr>
        <w:t>3.社会保障和就业支出(类)323.92万元,占17.24%。</w:t>
      </w:r>
    </w:p>
    <w:p w14:paraId="4550BF56">
      <w:pPr>
        <w:spacing w:line="580" w:lineRule="exact"/>
        <w:ind w:firstLine="640"/>
        <w:jc w:val="both"/>
      </w:pPr>
      <w:r>
        <w:rPr>
          <w:rFonts w:ascii="仿宋_GB2312" w:hAnsi="仿宋_GB2312" w:eastAsia="仿宋_GB2312"/>
          <w:b w:val="0"/>
          <w:sz w:val="32"/>
        </w:rPr>
        <w:t>4.卫生健康支出(类)70.16万元,占3.73%。</w:t>
      </w:r>
    </w:p>
    <w:p w14:paraId="63AE4338">
      <w:pPr>
        <w:spacing w:line="580" w:lineRule="exact"/>
        <w:ind w:firstLine="640"/>
        <w:jc w:val="both"/>
      </w:pPr>
      <w:r>
        <w:rPr>
          <w:rFonts w:ascii="仿宋_GB2312" w:hAnsi="仿宋_GB2312" w:eastAsia="仿宋_GB2312"/>
          <w:b w:val="0"/>
          <w:sz w:val="32"/>
        </w:rPr>
        <w:t>5.城乡社区支出(类)1365.35万元,占72.68%。</w:t>
      </w:r>
    </w:p>
    <w:p w14:paraId="6289E15D">
      <w:pPr>
        <w:spacing w:line="580" w:lineRule="exact"/>
        <w:ind w:firstLine="640"/>
        <w:jc w:val="both"/>
      </w:pPr>
      <w:r>
        <w:rPr>
          <w:rFonts w:ascii="仿宋_GB2312" w:hAnsi="仿宋_GB2312" w:eastAsia="仿宋_GB2312"/>
          <w:b w:val="0"/>
          <w:sz w:val="32"/>
        </w:rPr>
        <w:t>6.住房保障支出(类)105.83万元,占5.63%。</w:t>
      </w:r>
    </w:p>
    <w:p w14:paraId="2582ADD2">
      <w:pPr>
        <w:spacing w:line="640" w:lineRule="exact"/>
        <w:ind w:firstLine="640"/>
        <w:jc w:val="both"/>
        <w:outlineLvl w:val="3"/>
      </w:pPr>
      <w:r>
        <w:rPr>
          <w:rFonts w:ascii="楷体_GB2312" w:hAnsi="楷体_GB2312" w:eastAsia="楷体_GB2312"/>
          <w:b/>
          <w:sz w:val="32"/>
        </w:rPr>
        <w:t>（三）一般公共预算财政拨款支出决算具体情况</w:t>
      </w:r>
    </w:p>
    <w:p w14:paraId="52449D63">
      <w:pPr>
        <w:spacing w:line="580" w:lineRule="exact"/>
        <w:ind w:firstLine="640"/>
        <w:jc w:val="both"/>
      </w:pPr>
      <w:r>
        <w:rPr>
          <w:rFonts w:ascii="仿宋_GB2312" w:hAnsi="仿宋_GB2312" w:eastAsia="仿宋_GB2312"/>
          <w:b w:val="0"/>
          <w:sz w:val="32"/>
        </w:rPr>
        <w:t>1.一般公共服务支出(类)发展与改革事务(款)经济体制改革研究(项):支出决算数为10万元，比上年决算增加10.00万元，增长100.00%,主要原因是：本年新增自治州“十五五”城市高质量发展战略研究经费，相关支出增加。</w:t>
      </w:r>
    </w:p>
    <w:p w14:paraId="2AF61247">
      <w:pPr>
        <w:spacing w:line="580" w:lineRule="exact"/>
        <w:ind w:firstLine="640"/>
        <w:jc w:val="both"/>
      </w:pPr>
      <w:r>
        <w:rPr>
          <w:rFonts w:ascii="仿宋_GB2312" w:hAnsi="仿宋_GB2312" w:eastAsia="仿宋_GB2312"/>
          <w:b w:val="0"/>
          <w:sz w:val="32"/>
        </w:rPr>
        <w:t>2.教育支出(类)进修及培训(款)培训支出(项):支出决算数为3.28万元，比上年决算减少1.46万元，下降30.80%,主要原因是：本年外出业务培训活动减少，相关培训经费减少。</w:t>
      </w:r>
    </w:p>
    <w:p w14:paraId="51AD4D74">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81.59万元，比上年决算增加39.49万元，增长93.80%,主要原因是：本年功能科目调整，部分行政离退休人员经费上年度在事业单位离退休科目列支，本年调整至本科目列支，导致经费较上年增加。</w:t>
      </w:r>
    </w:p>
    <w:p w14:paraId="4427D8BA">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3.35万元，比上年决算减少20.18万元，下降85.76%,主要原因是：本年功能科目调整，部分行政离退休人员经费上年度在本科目列支，本年调整至行政单位离退休科目列支，导致经费较上年减少。</w:t>
      </w:r>
    </w:p>
    <w:p w14:paraId="0FEEE74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138.44万元，比上年决算增加12.86万元，增长10.24%,主要原因是：本年在职人员工资基数调增，养老缴费基数上涨，相应支出增加。</w:t>
      </w:r>
    </w:p>
    <w:p w14:paraId="603BAAC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6.社会保障和就业支出(类)行政事业单位养老支出(款)机关事业单位职业年金缴费支出(项):支出决算数为54.16万元，比上年决算增加26.08万元，增长92.88%,主要原因是：本年新增退休人员，职业年金缴费支出增加。</w:t>
      </w:r>
    </w:p>
    <w:p w14:paraId="22B09978">
      <w:pPr>
        <w:spacing w:line="580" w:lineRule="exact"/>
        <w:ind w:firstLine="640"/>
        <w:jc w:val="both"/>
      </w:pPr>
      <w:r>
        <w:rPr>
          <w:rFonts w:ascii="仿宋_GB2312" w:hAnsi="仿宋_GB2312" w:eastAsia="仿宋_GB2312"/>
          <w:b w:val="0"/>
          <w:sz w:val="32"/>
        </w:rPr>
        <w:t>7.社会保障和就业支出(类)抚恤(款)死亡抚恤(项):支出决算数为46.39万元，比上年决算增加46.39万元，增长100.00%,主要原因是：本年新增死亡人员，死亡抚恤支出增加。</w:t>
      </w:r>
    </w:p>
    <w:p w14:paraId="206D4158">
      <w:pPr>
        <w:spacing w:line="580" w:lineRule="exact"/>
        <w:ind w:firstLine="640"/>
        <w:jc w:val="both"/>
      </w:pPr>
      <w:r>
        <w:rPr>
          <w:rFonts w:ascii="仿宋_GB2312" w:hAnsi="仿宋_GB2312" w:eastAsia="仿宋_GB2312"/>
          <w:b w:val="0"/>
          <w:sz w:val="32"/>
        </w:rPr>
        <w:t>8.卫生健康支出(类)行政事业单位医疗(款)行政单位医疗(项):支出决算数为23.49万元，比上年决算减少10.91万元，下降31.72%,主要原因是：本年功能科目调整，部分事业单位医疗支出上年度在本科目列支，本年调整至事业单位医疗科目列支，导致本年行政单位医疗经费较上年减少。</w:t>
      </w:r>
    </w:p>
    <w:p w14:paraId="750EC2E8">
      <w:pPr>
        <w:spacing w:line="580" w:lineRule="exact"/>
        <w:ind w:firstLine="640"/>
        <w:jc w:val="both"/>
      </w:pPr>
      <w:r>
        <w:rPr>
          <w:rFonts w:ascii="仿宋_GB2312" w:hAnsi="仿宋_GB2312" w:eastAsia="仿宋_GB2312"/>
          <w:b w:val="0"/>
          <w:sz w:val="32"/>
        </w:rPr>
        <w:t>9.卫生健康支出(类)行政事业单位医疗(款)事业单位医疗(项):支出决算数为35.59万元，比上年决算增加7.55万元，增长26.93%,主要原因是：本年功能科目调整，部分事业单位医疗支出上年度在行政单位医疗科目列支，本年调整至本科目列支，导致本年事业单位医疗较上年增加。</w:t>
      </w:r>
    </w:p>
    <w:p w14:paraId="2A615036">
      <w:pPr>
        <w:spacing w:line="580" w:lineRule="exact"/>
        <w:ind w:firstLine="640"/>
        <w:jc w:val="both"/>
      </w:pPr>
      <w:r>
        <w:rPr>
          <w:rFonts w:ascii="仿宋_GB2312" w:hAnsi="仿宋_GB2312" w:eastAsia="仿宋_GB2312"/>
          <w:b w:val="0"/>
          <w:sz w:val="32"/>
        </w:rPr>
        <w:t>10.卫生健康支出(类)行政事业单位医疗(款)公务员医疗补助(项):支出决算数为11.08万元，比上年决算减少0.53万元，下降4.57%,主要原因是：本年在职人员减少，公务员医疗补助较上年减少。</w:t>
      </w:r>
    </w:p>
    <w:p w14:paraId="06A47A70">
      <w:pPr>
        <w:spacing w:line="580" w:lineRule="exact"/>
        <w:ind w:firstLine="640"/>
        <w:jc w:val="both"/>
      </w:pPr>
      <w:r>
        <w:rPr>
          <w:rFonts w:ascii="仿宋_GB2312" w:hAnsi="仿宋_GB2312" w:eastAsia="仿宋_GB2312"/>
          <w:b w:val="0"/>
          <w:sz w:val="32"/>
        </w:rPr>
        <w:t>11.卫生健康支出(类)行政事业单位医疗(款)其他行政事业单位医疗支出(项):支出决算数为0.00万元，比上年决算减少1.02万元，下降100.00%,主要原因是：本年功能科目调整，大额医疗缴费上年度单独列支，本年调整至事业单位医疗科目、行政单位医疗科目列支，导致经费较上年减少。</w:t>
      </w:r>
    </w:p>
    <w:p w14:paraId="0C0B7138">
      <w:pPr>
        <w:spacing w:line="580" w:lineRule="exact"/>
        <w:ind w:firstLine="640"/>
        <w:jc w:val="both"/>
      </w:pPr>
      <w:r>
        <w:rPr>
          <w:rFonts w:ascii="仿宋_GB2312" w:hAnsi="仿宋_GB2312" w:eastAsia="仿宋_GB2312"/>
          <w:b w:val="0"/>
          <w:sz w:val="32"/>
        </w:rPr>
        <w:t>12.城乡社区支出(类)城乡社区管理事务(款)行政运行(项):支出决算数为563.31万元，比上年决算增加28.13万元，增长5.26%,主要原因是：本年在职人员工资调增，导致相关人员经费较上年有所增加。</w:t>
      </w:r>
    </w:p>
    <w:p w14:paraId="7005EA37">
      <w:pPr>
        <w:spacing w:line="580" w:lineRule="exact"/>
        <w:ind w:firstLine="640"/>
        <w:jc w:val="both"/>
      </w:pPr>
      <w:r>
        <w:rPr>
          <w:rFonts w:ascii="仿宋_GB2312" w:hAnsi="仿宋_GB2312" w:eastAsia="仿宋_GB2312"/>
          <w:b w:val="0"/>
          <w:sz w:val="32"/>
        </w:rPr>
        <w:t>13.城乡社区支出(类)城乡社区管理事务(款)一般行政管理事务(项):支出决算数为294.43万元，比上年决算减少76.00万元，下降20.52%,主要原因是：本年减少人防易地建设费清缴法律服务费、早期人防工程拆除勘察测绘费、自治州历史文化名城名镇名村和街区保护规划项目费用，相关支出较上年减少。</w:t>
      </w:r>
    </w:p>
    <w:p w14:paraId="2CBF842E">
      <w:pPr>
        <w:spacing w:line="580" w:lineRule="exact"/>
        <w:ind w:firstLine="640"/>
        <w:jc w:val="both"/>
      </w:pPr>
      <w:r>
        <w:rPr>
          <w:rFonts w:ascii="仿宋_GB2312" w:hAnsi="仿宋_GB2312" w:eastAsia="仿宋_GB2312"/>
          <w:b w:val="0"/>
          <w:sz w:val="32"/>
        </w:rPr>
        <w:t>14.城乡社区支出(类)城乡社区管理事务(款)其他城乡社区管理事务支出(项):支出决算数为507.6万元，比上年决算减少152.04万元，下降23.05%,主要原因是：本年事业在职人员较上年减少，导致相关人员经费及日常公用经费较上年有所减少。</w:t>
      </w:r>
    </w:p>
    <w:p w14:paraId="2EE8750B">
      <w:pPr>
        <w:spacing w:line="580" w:lineRule="exact"/>
        <w:ind w:firstLine="640"/>
        <w:jc w:val="both"/>
      </w:pPr>
      <w:r>
        <w:rPr>
          <w:rFonts w:ascii="仿宋_GB2312" w:hAnsi="仿宋_GB2312" w:eastAsia="仿宋_GB2312"/>
          <w:b w:val="0"/>
          <w:sz w:val="32"/>
        </w:rPr>
        <w:t>15.住房保障支出(类)住房改革支出(款)住房公积金(项):支出决算数为105.83万元，比上年决算增加9.60万元，增长9.98%,主要原因是：本年在职人员工资基数调增，公积金缴费基数上涨，相应支出增加。</w:t>
      </w:r>
    </w:p>
    <w:p w14:paraId="58B06C08">
      <w:pPr>
        <w:spacing w:line="640" w:lineRule="exact"/>
        <w:ind w:firstLine="640"/>
        <w:jc w:val="both"/>
        <w:outlineLvl w:val="2"/>
      </w:pPr>
      <w:r>
        <w:rPr>
          <w:rFonts w:ascii="黑体" w:hAnsi="黑体" w:eastAsia="黑体"/>
          <w:sz w:val="32"/>
        </w:rPr>
        <w:t>六、一般公共预算财政拨款基本支出决算情况说明</w:t>
      </w:r>
    </w:p>
    <w:p w14:paraId="1C77B876">
      <w:pPr>
        <w:spacing w:line="580" w:lineRule="exact"/>
        <w:ind w:firstLine="640"/>
        <w:jc w:val="both"/>
      </w:pPr>
      <w:r>
        <w:rPr>
          <w:rFonts w:ascii="仿宋_GB2312" w:hAnsi="仿宋_GB2312" w:eastAsia="仿宋_GB2312"/>
          <w:b w:val="0"/>
          <w:sz w:val="32"/>
        </w:rPr>
        <w:t>2024年度一般公共预算财政拨款基本支出1,574.11万元，其中：</w:t>
      </w:r>
      <w:r>
        <w:rPr>
          <w:rFonts w:ascii="仿宋_GB2312" w:hAnsi="仿宋_GB2312" w:eastAsia="仿宋_GB2312"/>
          <w:b/>
          <w:sz w:val="32"/>
        </w:rPr>
        <w:t>人员经费1,478.64万元，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其他工资福利支出、退休费、抚恤金、生活补助、奖励金。</w:t>
      </w:r>
    </w:p>
    <w:p w14:paraId="4CC1E15A">
      <w:pPr>
        <w:spacing w:line="580" w:lineRule="exact"/>
        <w:ind w:firstLine="640"/>
        <w:jc w:val="both"/>
      </w:pPr>
      <w:r>
        <w:rPr>
          <w:rFonts w:ascii="仿宋_GB2312" w:hAnsi="仿宋_GB2312" w:eastAsia="仿宋_GB2312"/>
          <w:b/>
          <w:sz w:val="32"/>
        </w:rPr>
        <w:t>公用经费95.46万元，</w:t>
      </w:r>
      <w:r>
        <w:rPr>
          <w:rFonts w:ascii="仿宋_GB2312" w:hAnsi="仿宋_GB2312" w:eastAsia="仿宋_GB2312"/>
          <w:b w:val="0"/>
          <w:sz w:val="32"/>
        </w:rPr>
        <w:t>包括：办公费、印刷费、水费、电费、取暖费、物业管理费、差旅费、培训费、公务接待费、工会经费、福利费、公务用车运行维护费、其他交通费用、其他商品和服务支出。</w:t>
      </w:r>
    </w:p>
    <w:p w14:paraId="38C99701">
      <w:pPr>
        <w:spacing w:line="640" w:lineRule="exact"/>
        <w:ind w:firstLine="640"/>
        <w:jc w:val="both"/>
        <w:outlineLvl w:val="2"/>
      </w:pPr>
      <w:r>
        <w:rPr>
          <w:rFonts w:ascii="黑体" w:hAnsi="黑体" w:eastAsia="黑体"/>
          <w:sz w:val="32"/>
        </w:rPr>
        <w:t>七、政府性基金预算财政拨款收入支出决算情况说明</w:t>
      </w:r>
    </w:p>
    <w:p w14:paraId="05ECDE27">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5086C12D">
      <w:pPr>
        <w:spacing w:line="640" w:lineRule="exact"/>
        <w:ind w:firstLine="640"/>
        <w:jc w:val="both"/>
        <w:outlineLvl w:val="2"/>
      </w:pPr>
      <w:r>
        <w:rPr>
          <w:rFonts w:ascii="黑体" w:hAnsi="黑体" w:eastAsia="黑体"/>
          <w:sz w:val="32"/>
        </w:rPr>
        <w:t>八、国有资本经营预算财政拨款收入支出决算情况说明</w:t>
      </w:r>
    </w:p>
    <w:p w14:paraId="563FA23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0AF15B7">
      <w:pPr>
        <w:spacing w:line="640" w:lineRule="exact"/>
        <w:ind w:firstLine="640"/>
        <w:jc w:val="both"/>
        <w:outlineLvl w:val="2"/>
      </w:pPr>
      <w:r>
        <w:rPr>
          <w:rFonts w:ascii="黑体" w:hAnsi="黑体" w:eastAsia="黑体"/>
          <w:sz w:val="32"/>
        </w:rPr>
        <w:t>九、财政拨款“三公”经费支出决算情况说明</w:t>
      </w:r>
    </w:p>
    <w:p w14:paraId="352E0DA2">
      <w:pPr>
        <w:spacing w:line="580" w:lineRule="exact"/>
        <w:ind w:firstLine="640"/>
        <w:jc w:val="both"/>
      </w:pPr>
      <w:r>
        <w:rPr>
          <w:rFonts w:ascii="仿宋_GB2312" w:hAnsi="仿宋_GB2312" w:eastAsia="仿宋_GB2312"/>
          <w:b/>
          <w:sz w:val="32"/>
        </w:rPr>
        <w:t>2024年度财政拨款“三公”经费支出24.62万元，</w:t>
      </w:r>
      <w:r>
        <w:rPr>
          <w:rFonts w:ascii="仿宋_GB2312" w:hAnsi="仿宋_GB2312" w:eastAsia="仿宋_GB2312"/>
          <w:b w:val="0"/>
          <w:sz w:val="32"/>
        </w:rPr>
        <w:t>比上年减少4.85万元，下降16.46%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23.20万元，占94.23%，比上年减少3.91万元，下降14.42%，主要原因是：严格落实中央八项规定精神，厉行节约，减少公务用车运行维护费。公务接待费支出1.42万元，占5.77%，比上年减少0.94万元，下降39.83%，主要原因是：采取有效措施加强公务接待管理，严格控制公务接待活动，认真执行经费开支标准。</w:t>
      </w:r>
    </w:p>
    <w:p w14:paraId="45852EDD">
      <w:pPr>
        <w:spacing w:line="580" w:lineRule="exact"/>
        <w:ind w:firstLine="640"/>
        <w:jc w:val="both"/>
      </w:pPr>
      <w:r>
        <w:rPr>
          <w:rFonts w:ascii="仿宋_GB2312" w:hAnsi="仿宋_GB2312" w:eastAsia="仿宋_GB2312"/>
          <w:b/>
          <w:sz w:val="32"/>
        </w:rPr>
        <w:t>具体情况如下：</w:t>
      </w:r>
    </w:p>
    <w:p w14:paraId="2E804FD1">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62F7B82">
      <w:pPr>
        <w:spacing w:line="580" w:lineRule="exact"/>
        <w:ind w:firstLine="640"/>
        <w:jc w:val="both"/>
      </w:pPr>
      <w:r>
        <w:rPr>
          <w:rFonts w:ascii="仿宋_GB2312" w:hAnsi="仿宋_GB2312" w:eastAsia="仿宋_GB2312"/>
          <w:b w:val="0"/>
          <w:sz w:val="32"/>
        </w:rPr>
        <w:t>公务用车购置及运行维护费23.20万元，其中：公务用车购置费0.00万元，公务用车运行维护费23.20万元。公务用车运行维护费开支内容包括车辆加油费、保险费、过路费、维修费。公务用车购置数0辆，公务用车保有量7辆。国有资产占用情况中固定资产车辆7辆，与公务用车保有量差异原因是：本部门固定资产车辆与公务用车保有量一致无差异。</w:t>
      </w:r>
    </w:p>
    <w:p w14:paraId="6A932706">
      <w:pPr>
        <w:spacing w:line="580" w:lineRule="exact"/>
        <w:ind w:firstLine="640"/>
        <w:jc w:val="both"/>
      </w:pPr>
      <w:r>
        <w:rPr>
          <w:rFonts w:ascii="仿宋_GB2312" w:hAnsi="仿宋_GB2312" w:eastAsia="仿宋_GB2312"/>
          <w:b w:val="0"/>
          <w:sz w:val="32"/>
        </w:rPr>
        <w:t>公务接待费1.42万元，开支内容包括因接待上级领导检查工作产生的就餐费。部门全年安排的国内公务接待16批次，182人次。</w:t>
      </w:r>
    </w:p>
    <w:p w14:paraId="6A5281B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24.62万元，决算数24.62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23.20万元，决算数23.20万元，预决算差异率0.00%，主要原因是：严格按照预算执行，预决算无差异。公务接待费全年预算数1.42万元，决算数1.42万元，预决算差异率0.00%，主要原因是：严格按照预算执行，预决算无差异。</w:t>
      </w:r>
    </w:p>
    <w:p w14:paraId="1796C730">
      <w:pPr>
        <w:spacing w:line="640" w:lineRule="exact"/>
        <w:ind w:firstLine="640"/>
        <w:jc w:val="both"/>
        <w:outlineLvl w:val="2"/>
      </w:pPr>
      <w:r>
        <w:rPr>
          <w:rFonts w:ascii="黑体" w:hAnsi="黑体" w:eastAsia="黑体"/>
          <w:sz w:val="32"/>
        </w:rPr>
        <w:t>十、其他重要事项的情况说明</w:t>
      </w:r>
    </w:p>
    <w:p w14:paraId="4F88FF00">
      <w:pPr>
        <w:spacing w:line="640" w:lineRule="exact"/>
        <w:ind w:firstLine="640"/>
        <w:jc w:val="both"/>
        <w:outlineLvl w:val="3"/>
      </w:pPr>
      <w:r>
        <w:rPr>
          <w:rFonts w:ascii="楷体_GB2312" w:hAnsi="楷体_GB2312" w:eastAsia="楷体_GB2312"/>
          <w:b/>
          <w:sz w:val="32"/>
        </w:rPr>
        <w:t>（一）机关运行经费及公用经费支出情况</w:t>
      </w:r>
    </w:p>
    <w:p w14:paraId="37ED975F">
      <w:pPr>
        <w:spacing w:line="580" w:lineRule="exact"/>
        <w:ind w:firstLine="640"/>
        <w:jc w:val="both"/>
      </w:pPr>
      <w:r>
        <w:rPr>
          <w:rFonts w:ascii="仿宋_GB2312" w:hAnsi="仿宋_GB2312" w:eastAsia="仿宋_GB2312"/>
          <w:b w:val="0"/>
          <w:sz w:val="32"/>
        </w:rPr>
        <w:t>2024年度新疆巴音郭楞蒙古自治州住房和城乡建设局（部门）（行政单位和参照公务员法管理事业单位）机关运行经费支出95.46万元，比上年增加5.35万元，增长5.94%，主要原因是：本年增加办公费，导致机关运行经费支出增加。</w:t>
      </w:r>
    </w:p>
    <w:p w14:paraId="28E0675D">
      <w:pPr>
        <w:spacing w:line="640" w:lineRule="exact"/>
        <w:ind w:firstLine="640"/>
        <w:jc w:val="both"/>
        <w:outlineLvl w:val="3"/>
      </w:pPr>
      <w:r>
        <w:rPr>
          <w:rFonts w:ascii="楷体_GB2312" w:hAnsi="楷体_GB2312" w:eastAsia="楷体_GB2312"/>
          <w:b/>
          <w:sz w:val="32"/>
        </w:rPr>
        <w:t>（二）政府采购情况</w:t>
      </w:r>
    </w:p>
    <w:p w14:paraId="2C257ADA">
      <w:pPr>
        <w:spacing w:line="580" w:lineRule="exact"/>
        <w:ind w:firstLine="640"/>
        <w:jc w:val="both"/>
      </w:pPr>
      <w:r>
        <w:rPr>
          <w:rFonts w:ascii="仿宋_GB2312" w:hAnsi="仿宋_GB2312" w:eastAsia="仿宋_GB2312"/>
          <w:b w:val="0"/>
          <w:sz w:val="32"/>
        </w:rPr>
        <w:t>2024年度政府采购支出总额33.88万元，其中：政府采购货物支出14.68万元、政府采购工程支出0.00万元、政府采购服务支出19.20万元。</w:t>
      </w:r>
    </w:p>
    <w:p w14:paraId="0EA82BD8">
      <w:pPr>
        <w:spacing w:line="580" w:lineRule="exact"/>
        <w:ind w:firstLine="640"/>
        <w:jc w:val="both"/>
      </w:pPr>
      <w:r>
        <w:rPr>
          <w:rFonts w:ascii="仿宋_GB2312" w:hAnsi="仿宋_GB2312" w:eastAsia="仿宋_GB2312"/>
          <w:b w:val="0"/>
          <w:sz w:val="32"/>
        </w:rPr>
        <w:t>授予中小企业合同金额18.61万元，占政府采购支出总额的54.93%，其中：授予小微企业合同金额17.95万元，占政府采购支出总额的52.98%。</w:t>
      </w:r>
    </w:p>
    <w:p w14:paraId="560E3AE4">
      <w:pPr>
        <w:spacing w:line="640" w:lineRule="exact"/>
        <w:ind w:firstLine="640"/>
        <w:jc w:val="both"/>
        <w:outlineLvl w:val="3"/>
      </w:pPr>
      <w:r>
        <w:rPr>
          <w:rFonts w:ascii="楷体_GB2312" w:hAnsi="楷体_GB2312" w:eastAsia="楷体_GB2312"/>
          <w:b/>
          <w:sz w:val="32"/>
        </w:rPr>
        <w:t>（三）国有资产占用情况说明</w:t>
      </w:r>
    </w:p>
    <w:p w14:paraId="4393787A">
      <w:pPr>
        <w:spacing w:line="580" w:lineRule="exact"/>
        <w:ind w:firstLine="640"/>
        <w:jc w:val="both"/>
      </w:pPr>
      <w:r>
        <w:rPr>
          <w:rFonts w:ascii="仿宋_GB2312" w:hAnsi="仿宋_GB2312" w:eastAsia="仿宋_GB2312"/>
          <w:b w:val="0"/>
          <w:sz w:val="32"/>
        </w:rPr>
        <w:t>截至2024年12月31日，房屋12,811.98平方米，价值990.77万元。车辆7辆，价值134.64万元，其中：副部（省）级及以上领导用车0辆、主要负责人用车0辆、机要通信用车0辆、应急保障用车0辆、执法执勤用车0辆、特种专业技术用车0辆、离退休干部服务用车0辆、其他用车7辆，其他用车主要是：人防指挥车、一般公务用车。单价100万元（含）以上设备（不含车辆）1台（套）。</w:t>
      </w:r>
    </w:p>
    <w:p w14:paraId="3F7D9FDA">
      <w:pPr>
        <w:spacing w:line="640" w:lineRule="exact"/>
        <w:ind w:firstLine="640"/>
        <w:jc w:val="both"/>
        <w:outlineLvl w:val="2"/>
      </w:pPr>
      <w:r>
        <w:rPr>
          <w:rFonts w:ascii="黑体" w:hAnsi="黑体" w:eastAsia="黑体"/>
          <w:sz w:val="32"/>
        </w:rPr>
        <w:t>十一、预算绩效的情况说明</w:t>
      </w:r>
    </w:p>
    <w:p w14:paraId="5CE9991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2,521.56万元，实际执行总额2,521.56万元；预算绩效评价项目3个，全年预算数121.10万元，全年执行数120.43万元。预算绩效管理取得的成效：一是部门积极履职，强化管理，较好</w:t>
      </w:r>
      <w:r>
        <w:rPr>
          <w:rFonts w:hint="eastAsia" w:ascii="仿宋_GB2312" w:hAnsi="仿宋_GB2312" w:eastAsia="仿宋_GB2312"/>
          <w:b w:val="0"/>
          <w:sz w:val="32"/>
          <w:lang w:eastAsia="zh-CN"/>
        </w:rPr>
        <w:t>地</w:t>
      </w:r>
      <w:r>
        <w:rPr>
          <w:rFonts w:ascii="仿宋_GB2312" w:hAnsi="仿宋_GB2312" w:eastAsia="仿宋_GB2312"/>
          <w:b w:val="0"/>
          <w:sz w:val="32"/>
        </w:rPr>
        <w:t>完成了年度工作目标；二是加强预算收支管理，不断建立健全内部管理制度；三是梳理内部管理流程；四是整体支出管理水平得到提升。发现的问题及原因：一是住建局业务量大，实有编制人员少；二是</w:t>
      </w:r>
      <w:r>
        <w:rPr>
          <w:rFonts w:hint="eastAsia" w:ascii="仿宋_GB2312" w:hAnsi="仿宋_GB2312" w:eastAsia="仿宋_GB2312"/>
          <w:b w:val="0"/>
          <w:sz w:val="32"/>
          <w:lang w:eastAsia="zh-CN"/>
        </w:rPr>
        <w:t>为民办实事</w:t>
      </w:r>
      <w:r>
        <w:rPr>
          <w:rFonts w:ascii="仿宋_GB2312" w:hAnsi="仿宋_GB2312" w:eastAsia="仿宋_GB2312"/>
          <w:b w:val="0"/>
          <w:sz w:val="32"/>
        </w:rPr>
        <w:t>工作队队员多且流动性较大不利于工作的连续性。下一步改进措施：一是细化预算编制工作，认真做好预算的编制。进一步加强单位内部机构各科室的预算管理意识，严格按照预算编制的相关制度和要求进行预算编制。二是加强财务管理，严格财务审核。加强单位财务管理，健全单位财务管理制度体系，规范单位财务行为。在费用报账支付时，按照预算规定的费用项目和用途进行资金使用审核、列报支付、财务核算，杜绝超支现象的发生。具体附部门整体支出绩效自评表，项目支出绩效自评表。</w:t>
      </w:r>
    </w:p>
    <w:p w14:paraId="22DF0E2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EE38F7A">
        <w:tblPrEx>
          <w:tblCellMar>
            <w:top w:w="0" w:type="dxa"/>
            <w:left w:w="108" w:type="dxa"/>
            <w:bottom w:w="0" w:type="dxa"/>
            <w:right w:w="108" w:type="dxa"/>
          </w:tblCellMar>
        </w:tblPrEx>
        <w:tc>
          <w:tcPr>
            <w:tcW w:w="8840" w:type="dxa"/>
            <w:gridSpan w:val="8"/>
            <w:vAlign w:val="center"/>
          </w:tcPr>
          <w:p w14:paraId="073047EF">
            <w:pPr>
              <w:jc w:val="center"/>
            </w:pPr>
            <w:r>
              <w:rPr>
                <w:rFonts w:ascii="宋体" w:hAnsi="宋体" w:eastAsia="宋体"/>
                <w:sz w:val="24"/>
              </w:rPr>
              <w:t>部门整体支出绩效自评表</w:t>
            </w:r>
          </w:p>
        </w:tc>
      </w:tr>
      <w:tr w14:paraId="3A351A61">
        <w:tblPrEx>
          <w:tblCellMar>
            <w:top w:w="0" w:type="dxa"/>
            <w:left w:w="108" w:type="dxa"/>
            <w:bottom w:w="0" w:type="dxa"/>
            <w:right w:w="108" w:type="dxa"/>
          </w:tblCellMar>
        </w:tblPrEx>
        <w:tc>
          <w:tcPr>
            <w:tcW w:w="8840" w:type="dxa"/>
            <w:gridSpan w:val="8"/>
            <w:vAlign w:val="center"/>
          </w:tcPr>
          <w:p w14:paraId="72810401">
            <w:pPr>
              <w:jc w:val="center"/>
            </w:pPr>
            <w:r>
              <w:rPr>
                <w:rFonts w:ascii="宋体" w:hAnsi="宋体" w:eastAsia="宋体"/>
                <w:sz w:val="24"/>
              </w:rPr>
              <w:t>（2024年度）</w:t>
            </w:r>
          </w:p>
        </w:tc>
      </w:tr>
      <w:tr w14:paraId="13B976B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0CD93">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4FD36">
            <w:pPr>
              <w:jc w:val="center"/>
            </w:pPr>
            <w:r>
              <w:rPr>
                <w:rFonts w:ascii="宋体" w:hAnsi="宋体" w:eastAsia="宋体"/>
                <w:sz w:val="16"/>
              </w:rPr>
              <w:t>新疆巴音郭楞蒙古自治州住房和城乡建设局（部门）</w:t>
            </w:r>
          </w:p>
        </w:tc>
      </w:tr>
      <w:tr w14:paraId="51EA585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5FB7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D43D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0CFC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61281">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B219F">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10538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624C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60305">
            <w:pPr>
              <w:jc w:val="center"/>
            </w:pPr>
            <w:r>
              <w:rPr>
                <w:rFonts w:ascii="宋体" w:hAnsi="宋体" w:eastAsia="宋体"/>
                <w:sz w:val="16"/>
              </w:rPr>
              <w:t>得分</w:t>
            </w:r>
          </w:p>
        </w:tc>
      </w:tr>
      <w:tr w14:paraId="4E3FE42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1730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87D1B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8D141">
            <w:pPr>
              <w:jc w:val="center"/>
            </w:pPr>
            <w:r>
              <w:rPr>
                <w:rFonts w:ascii="宋体" w:hAnsi="宋体" w:eastAsia="宋体"/>
                <w:sz w:val="16"/>
              </w:rPr>
              <w:t>1,749.31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A3031">
            <w:pPr>
              <w:jc w:val="center"/>
            </w:pPr>
            <w:r>
              <w:rPr>
                <w:rFonts w:ascii="宋体" w:hAnsi="宋体" w:eastAsia="宋体"/>
                <w:sz w:val="16"/>
              </w:rPr>
              <w:t>2,521.56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72B62">
            <w:pPr>
              <w:jc w:val="center"/>
            </w:pPr>
            <w:r>
              <w:rPr>
                <w:rFonts w:ascii="宋体" w:hAnsi="宋体" w:eastAsia="宋体"/>
                <w:sz w:val="16"/>
              </w:rPr>
              <w:t>2,521.56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A5B2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E2EC5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408B59">
            <w:pPr>
              <w:jc w:val="center"/>
            </w:pPr>
            <w:r>
              <w:rPr>
                <w:rFonts w:ascii="宋体" w:hAnsi="宋体" w:eastAsia="宋体"/>
                <w:sz w:val="16"/>
              </w:rPr>
              <w:t>10</w:t>
            </w:r>
          </w:p>
        </w:tc>
      </w:tr>
      <w:tr w14:paraId="7FB51D4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33A45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D08C7">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BF44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434D3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EE80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40AC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43CF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A66DCF">
            <w:pPr>
              <w:jc w:val="center"/>
            </w:pPr>
            <w:r>
              <w:rPr>
                <w:rFonts w:ascii="宋体" w:hAnsi="宋体" w:eastAsia="宋体"/>
                <w:sz w:val="16"/>
              </w:rPr>
              <w:t>-</w:t>
            </w:r>
          </w:p>
        </w:tc>
      </w:tr>
      <w:tr w14:paraId="0E47E6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FE554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62915">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768005">
            <w:pPr>
              <w:jc w:val="center"/>
            </w:pPr>
            <w:r>
              <w:rPr>
                <w:rFonts w:ascii="宋体" w:hAnsi="宋体" w:eastAsia="宋体"/>
                <w:sz w:val="16"/>
              </w:rPr>
              <w:t>1,749.31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40B04">
            <w:pPr>
              <w:jc w:val="center"/>
            </w:pPr>
            <w:r>
              <w:rPr>
                <w:rFonts w:ascii="宋体" w:hAnsi="宋体" w:eastAsia="宋体"/>
                <w:sz w:val="16"/>
              </w:rPr>
              <w:t>2,521.56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2BDB9">
            <w:pPr>
              <w:jc w:val="center"/>
            </w:pPr>
            <w:r>
              <w:rPr>
                <w:rFonts w:ascii="宋体" w:hAnsi="宋体" w:eastAsia="宋体"/>
                <w:sz w:val="16"/>
              </w:rPr>
              <w:t>2,521.56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3E1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8976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B94C02">
            <w:pPr>
              <w:jc w:val="center"/>
            </w:pPr>
            <w:r>
              <w:rPr>
                <w:rFonts w:ascii="宋体" w:hAnsi="宋体" w:eastAsia="宋体"/>
                <w:sz w:val="16"/>
              </w:rPr>
              <w:t>-</w:t>
            </w:r>
          </w:p>
        </w:tc>
      </w:tr>
      <w:tr w14:paraId="3B7469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A57D4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955DE">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5427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229D6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5E8C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328B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75F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E9367">
            <w:pPr>
              <w:jc w:val="center"/>
            </w:pPr>
            <w:r>
              <w:rPr>
                <w:rFonts w:ascii="宋体" w:hAnsi="宋体" w:eastAsia="宋体"/>
                <w:sz w:val="16"/>
              </w:rPr>
              <w:t>-</w:t>
            </w:r>
          </w:p>
        </w:tc>
      </w:tr>
      <w:tr w14:paraId="66161AA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5A51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D91285">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283F7C">
            <w:pPr>
              <w:jc w:val="center"/>
            </w:pPr>
            <w:r>
              <w:rPr>
                <w:rFonts w:ascii="宋体" w:hAnsi="宋体" w:eastAsia="宋体"/>
                <w:sz w:val="16"/>
              </w:rPr>
              <w:t>实际完成情况</w:t>
            </w:r>
          </w:p>
        </w:tc>
      </w:tr>
      <w:tr w14:paraId="6847FF9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A9060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00504E">
            <w:pPr>
              <w:jc w:val="both"/>
            </w:pPr>
            <w:r>
              <w:rPr>
                <w:rFonts w:ascii="宋体" w:hAnsi="宋体" w:eastAsia="宋体"/>
                <w:sz w:val="16"/>
              </w:rPr>
              <w:t>以习近平新时代中国特色社会主义思想为指导，深入贯彻落实党的二十大精神，全面贯彻落实习近平总书记视察新疆、听取自治区和兵团工作汇报时的重要讲话精神，认真贯彻落实中央经济工作会议、全国住房城乡建设工作会议精神，全面落实自治区党委十届历次全会、自治区</w:t>
            </w:r>
            <w:r>
              <w:rPr>
                <w:rFonts w:hint="eastAsia" w:ascii="宋体" w:hAnsi="宋体"/>
                <w:sz w:val="16"/>
                <w:lang w:eastAsia="zh-CN"/>
              </w:rPr>
              <w:t>两会</w:t>
            </w:r>
            <w:r>
              <w:rPr>
                <w:rFonts w:ascii="宋体" w:hAnsi="宋体" w:eastAsia="宋体"/>
                <w:sz w:val="16"/>
              </w:rPr>
              <w:t>、自治区住房城乡建设工作会议和自治州党委十一届历次全会、自治州</w:t>
            </w:r>
            <w:r>
              <w:rPr>
                <w:rFonts w:hint="eastAsia" w:ascii="宋体" w:hAnsi="宋体"/>
                <w:sz w:val="16"/>
                <w:lang w:eastAsia="zh-CN"/>
              </w:rPr>
              <w:t>两会</w:t>
            </w:r>
            <w:r>
              <w:rPr>
                <w:rFonts w:ascii="宋体" w:hAnsi="宋体" w:eastAsia="宋体"/>
                <w:sz w:val="16"/>
              </w:rPr>
              <w:t>各项部署安排，完整准确全面贯彻新时代党的治疆方略，牢牢扭住社会稳定和长治久安总目标，更好统筹发展和安全，强化党建引领，坚持稳中求进、以进促稳、先立后破，围绕好房子、好小区、好社区、好城区“四好”建设，深入实施城市更新行动，构造宜居、韧性、智慧城市，建设宜居宜业和美乡村，全力推动房地产业、建筑业、城市建设治理转型升级，持续增进民生福祉，不断提升行业安全水平，全面推动住房城乡建设和人民防空各项工作提质增效，为推动中国式现代化的巴州实践贡献住建力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8B8564">
            <w:pPr>
              <w:jc w:val="both"/>
            </w:pPr>
            <w:r>
              <w:rPr>
                <w:rFonts w:ascii="宋体" w:hAnsi="宋体" w:eastAsia="宋体"/>
                <w:sz w:val="16"/>
              </w:rPr>
              <w:t>2024</w:t>
            </w:r>
            <w:r>
              <w:rPr>
                <w:rFonts w:hint="eastAsia" w:ascii="宋体" w:hAnsi="宋体"/>
                <w:sz w:val="16"/>
                <w:lang w:eastAsia="zh-CN"/>
              </w:rPr>
              <w:t>年</w:t>
            </w:r>
            <w:r>
              <w:rPr>
                <w:rFonts w:ascii="宋体" w:hAnsi="宋体" w:eastAsia="宋体"/>
                <w:sz w:val="16"/>
              </w:rPr>
              <w:t>完成的主要工作：开复工项目176个，实现住房城乡建设领域投资60亿元以上；开工建设保障性租赁住房6118套、城镇老旧小区改造5341户，实施“煤改电”居民供暖设施入户改造工程21062户；销售新建商品房180万平方米，积极消化商品房库存面积30万平方米；2024年再交付保交楼1105套，确保交房率100%；实现建筑业总产值100亿元以上，持续实施建筑工匠培训就业行动，完成1.02万人次培训和0.54万人就业任务。</w:t>
            </w:r>
          </w:p>
        </w:tc>
      </w:tr>
      <w:tr w14:paraId="7DAA0CC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6A8E3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A822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2225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304D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CA57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B656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966D5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E8035">
            <w:pPr>
              <w:jc w:val="center"/>
            </w:pPr>
            <w:r>
              <w:rPr>
                <w:rFonts w:ascii="宋体" w:hAnsi="宋体" w:eastAsia="宋体"/>
                <w:sz w:val="16"/>
              </w:rPr>
              <w:t>得分</w:t>
            </w:r>
          </w:p>
        </w:tc>
      </w:tr>
      <w:tr w14:paraId="79B099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C250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0F74B">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5AE98">
            <w:pPr>
              <w:jc w:val="center"/>
            </w:pPr>
            <w:r>
              <w:rPr>
                <w:rFonts w:ascii="宋体" w:hAnsi="宋体" w:eastAsia="宋体"/>
                <w:sz w:val="16"/>
              </w:rPr>
              <w:t>推动城市示范创建数量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77D44">
            <w:pPr>
              <w:jc w:val="center"/>
            </w:pPr>
            <w:r>
              <w:rPr>
                <w:rFonts w:ascii="宋体" w:hAnsi="宋体" w:eastAsia="宋体"/>
                <w:sz w:val="16"/>
              </w:rPr>
              <w:t>&gt;=2个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AD58A">
            <w:pPr>
              <w:jc w:val="center"/>
            </w:pPr>
            <w:r>
              <w:rPr>
                <w:rFonts w:ascii="宋体" w:hAnsi="宋体" w:eastAsia="宋体"/>
                <w:sz w:val="16"/>
              </w:rPr>
              <w:t>巴州住房和城乡建设局2024年度工作要点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79109">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97500">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2A3FC">
            <w:pPr>
              <w:jc w:val="center"/>
            </w:pPr>
            <w:r>
              <w:rPr>
                <w:rFonts w:ascii="宋体" w:hAnsi="宋体" w:eastAsia="宋体"/>
                <w:sz w:val="16"/>
              </w:rPr>
              <w:t>20</w:t>
            </w:r>
          </w:p>
        </w:tc>
      </w:tr>
      <w:tr w14:paraId="047C4A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F8E1C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9830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BFFEC">
            <w:pPr>
              <w:jc w:val="center"/>
            </w:pPr>
            <w:r>
              <w:rPr>
                <w:rFonts w:ascii="宋体" w:hAnsi="宋体" w:eastAsia="宋体"/>
                <w:sz w:val="16"/>
              </w:rPr>
              <w:t>增加保障性住房供给量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5877A">
            <w:pPr>
              <w:jc w:val="center"/>
            </w:pPr>
            <w:r>
              <w:rPr>
                <w:rFonts w:ascii="宋体" w:hAnsi="宋体" w:eastAsia="宋体"/>
                <w:sz w:val="16"/>
              </w:rPr>
              <w:t>&gt;=6118套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8C5E4">
            <w:pPr>
              <w:jc w:val="center"/>
            </w:pPr>
            <w:r>
              <w:rPr>
                <w:rFonts w:ascii="宋体" w:hAnsi="宋体" w:eastAsia="宋体"/>
                <w:sz w:val="16"/>
              </w:rPr>
              <w:t>巴州住房和城乡建设局2024年度工作要点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A5EF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232FD1">
            <w:pPr>
              <w:jc w:val="center"/>
            </w:pPr>
            <w:r>
              <w:rPr>
                <w:rFonts w:ascii="宋体" w:hAnsi="宋体" w:eastAsia="宋体"/>
                <w:sz w:val="16"/>
              </w:rPr>
              <w:t>6118套</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F9D91">
            <w:pPr>
              <w:jc w:val="center"/>
            </w:pPr>
            <w:r>
              <w:rPr>
                <w:rFonts w:ascii="宋体" w:hAnsi="宋体" w:eastAsia="宋体"/>
                <w:sz w:val="16"/>
              </w:rPr>
              <w:t>20</w:t>
            </w:r>
          </w:p>
        </w:tc>
      </w:tr>
      <w:tr w14:paraId="7DD44D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6976D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846F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46A21">
            <w:pPr>
              <w:jc w:val="center"/>
            </w:pPr>
            <w:r>
              <w:rPr>
                <w:rFonts w:ascii="宋体" w:hAnsi="宋体" w:eastAsia="宋体"/>
                <w:sz w:val="16"/>
              </w:rPr>
              <w:t>高质量完成“煤改电”二期工程建设任务量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DD5DDB">
            <w:pPr>
              <w:jc w:val="center"/>
            </w:pPr>
            <w:r>
              <w:rPr>
                <w:rFonts w:ascii="宋体" w:hAnsi="宋体" w:eastAsia="宋体"/>
                <w:sz w:val="16"/>
              </w:rPr>
              <w:t>&gt;=21062户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6C1F6">
            <w:pPr>
              <w:jc w:val="center"/>
            </w:pPr>
            <w:r>
              <w:rPr>
                <w:rFonts w:ascii="宋体" w:hAnsi="宋体" w:eastAsia="宋体"/>
                <w:sz w:val="16"/>
              </w:rPr>
              <w:t>巴州住房和城乡建设局2024年度工作要点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0873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C392D">
            <w:pPr>
              <w:jc w:val="center"/>
            </w:pPr>
            <w:r>
              <w:rPr>
                <w:rFonts w:ascii="宋体" w:hAnsi="宋体" w:eastAsia="宋体"/>
                <w:sz w:val="16"/>
              </w:rPr>
              <w:t>21062户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872294">
            <w:pPr>
              <w:jc w:val="center"/>
            </w:pPr>
            <w:r>
              <w:rPr>
                <w:rFonts w:ascii="宋体" w:hAnsi="宋体" w:eastAsia="宋体"/>
                <w:sz w:val="16"/>
              </w:rPr>
              <w:t>15</w:t>
            </w:r>
          </w:p>
        </w:tc>
      </w:tr>
      <w:tr w14:paraId="65838CD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61449B"/>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86D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FF91C">
            <w:pPr>
              <w:jc w:val="center"/>
            </w:pPr>
            <w:r>
              <w:rPr>
                <w:rFonts w:ascii="宋体" w:hAnsi="宋体" w:eastAsia="宋体"/>
                <w:sz w:val="16"/>
              </w:rPr>
              <w:t>全州农村生活垃圾收运处置体系覆盖率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BB56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56CBA">
            <w:pPr>
              <w:jc w:val="center"/>
            </w:pPr>
            <w:r>
              <w:rPr>
                <w:rFonts w:ascii="宋体" w:hAnsi="宋体" w:eastAsia="宋体"/>
                <w:sz w:val="16"/>
              </w:rPr>
              <w:t>巴州住房和城乡建设局2024年度工作要点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B6FA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E164B">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E34341">
            <w:pPr>
              <w:jc w:val="center"/>
            </w:pPr>
            <w:r>
              <w:rPr>
                <w:rFonts w:ascii="宋体" w:hAnsi="宋体" w:eastAsia="宋体"/>
                <w:sz w:val="16"/>
              </w:rPr>
              <w:t>20</w:t>
            </w:r>
          </w:p>
        </w:tc>
      </w:tr>
      <w:tr w14:paraId="0BCC84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E0A45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21705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1DAA9">
            <w:pPr>
              <w:jc w:val="center"/>
            </w:pPr>
            <w:r>
              <w:rPr>
                <w:rFonts w:ascii="宋体" w:hAnsi="宋体" w:eastAsia="宋体"/>
                <w:sz w:val="16"/>
              </w:rPr>
              <w:t>规范建筑业市场保障“保交楼”交房率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7BC9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4208D">
            <w:pPr>
              <w:jc w:val="center"/>
            </w:pPr>
            <w:r>
              <w:rPr>
                <w:rFonts w:ascii="宋体" w:hAnsi="宋体" w:eastAsia="宋体"/>
                <w:sz w:val="16"/>
              </w:rPr>
              <w:t>巴州住房和城乡建设局2024年度工作要点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6176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0810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D6256">
            <w:pPr>
              <w:jc w:val="center"/>
            </w:pPr>
            <w:r>
              <w:rPr>
                <w:rFonts w:ascii="宋体" w:hAnsi="宋体" w:eastAsia="宋体"/>
                <w:sz w:val="16"/>
              </w:rPr>
              <w:t>15</w:t>
            </w:r>
          </w:p>
        </w:tc>
      </w:tr>
    </w:tbl>
    <w:p w14:paraId="74F746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96"/>
        <w:gridCol w:w="632"/>
        <w:gridCol w:w="632"/>
      </w:tblGrid>
      <w:tr w14:paraId="2F2C9B22">
        <w:tblPrEx>
          <w:tblCellMar>
            <w:top w:w="0" w:type="dxa"/>
            <w:left w:w="108" w:type="dxa"/>
            <w:bottom w:w="0" w:type="dxa"/>
            <w:right w:w="108" w:type="dxa"/>
          </w:tblCellMar>
        </w:tblPrEx>
        <w:tc>
          <w:tcPr>
            <w:tcW w:w="8848" w:type="dxa"/>
            <w:gridSpan w:val="14"/>
            <w:vAlign w:val="center"/>
          </w:tcPr>
          <w:p w14:paraId="4B30C7EA">
            <w:pPr>
              <w:jc w:val="center"/>
            </w:pPr>
            <w:r>
              <w:rPr>
                <w:rFonts w:ascii="宋体" w:hAnsi="宋体" w:eastAsia="宋体"/>
                <w:sz w:val="24"/>
              </w:rPr>
              <w:t>项目支出绩效自评表</w:t>
            </w:r>
          </w:p>
        </w:tc>
      </w:tr>
      <w:tr w14:paraId="76A508F1">
        <w:tblPrEx>
          <w:tblCellMar>
            <w:top w:w="0" w:type="dxa"/>
            <w:left w:w="108" w:type="dxa"/>
            <w:bottom w:w="0" w:type="dxa"/>
            <w:right w:w="108" w:type="dxa"/>
          </w:tblCellMar>
        </w:tblPrEx>
        <w:tc>
          <w:tcPr>
            <w:tcW w:w="8848" w:type="dxa"/>
            <w:gridSpan w:val="14"/>
            <w:vAlign w:val="center"/>
          </w:tcPr>
          <w:p w14:paraId="13125C81">
            <w:pPr>
              <w:jc w:val="center"/>
            </w:pPr>
            <w:r>
              <w:rPr>
                <w:rFonts w:ascii="宋体" w:hAnsi="宋体" w:eastAsia="宋体"/>
                <w:sz w:val="24"/>
              </w:rPr>
              <w:t>(2024年度)</w:t>
            </w:r>
          </w:p>
        </w:tc>
      </w:tr>
      <w:tr w14:paraId="64A26B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7D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3B65CA">
            <w:pPr>
              <w:jc w:val="center"/>
            </w:pPr>
            <w:r>
              <w:rPr>
                <w:rFonts w:ascii="宋体" w:hAnsi="宋体" w:eastAsia="宋体"/>
                <w:sz w:val="16"/>
              </w:rPr>
              <w:t>住房城乡建设领域指导监督项目</w:t>
            </w:r>
          </w:p>
        </w:tc>
      </w:tr>
      <w:tr w14:paraId="78EAF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F2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27747">
            <w:pPr>
              <w:jc w:val="center"/>
            </w:pPr>
            <w:r>
              <w:rPr>
                <w:rFonts w:ascii="宋体" w:hAnsi="宋体" w:eastAsia="宋体"/>
                <w:sz w:val="16"/>
              </w:rPr>
              <w:t>新疆巴州住房和城乡建设局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78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D6E71">
            <w:pPr>
              <w:jc w:val="center"/>
            </w:pPr>
            <w:r>
              <w:rPr>
                <w:rFonts w:ascii="宋体" w:hAnsi="宋体" w:eastAsia="宋体"/>
                <w:sz w:val="16"/>
              </w:rPr>
              <w:t>新疆巴州住房和城乡建设局</w:t>
            </w:r>
          </w:p>
        </w:tc>
      </w:tr>
      <w:tr w14:paraId="79E0AA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7E82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F88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21A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98E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5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D861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AEB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8BF2">
            <w:pPr>
              <w:jc w:val="center"/>
            </w:pPr>
            <w:r>
              <w:rPr>
                <w:rFonts w:ascii="宋体" w:hAnsi="宋体" w:eastAsia="宋体"/>
                <w:sz w:val="16"/>
              </w:rPr>
              <w:t>得分</w:t>
            </w:r>
          </w:p>
        </w:tc>
      </w:tr>
      <w:tr w14:paraId="0E9F96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4DA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34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11D4">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90CB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76C00">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F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ECB3">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D80F">
            <w:pPr>
              <w:jc w:val="center"/>
            </w:pPr>
            <w:r>
              <w:rPr>
                <w:rFonts w:ascii="宋体" w:hAnsi="宋体" w:eastAsia="宋体"/>
                <w:sz w:val="16"/>
              </w:rPr>
              <w:t>10.00</w:t>
            </w:r>
          </w:p>
        </w:tc>
      </w:tr>
      <w:tr w14:paraId="6D7A4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F4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D9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93F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F03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62A1C">
            <w:pPr>
              <w:jc w:val="center"/>
            </w:pPr>
            <w:r>
              <w:rPr>
                <w:rFonts w:ascii="宋体" w:hAnsi="宋体" w:eastAsia="宋体"/>
                <w:sz w:val="16"/>
              </w:rPr>
              <w:t>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6FC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4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C0F2">
            <w:pPr>
              <w:jc w:val="center"/>
            </w:pPr>
            <w:r>
              <w:rPr>
                <w:rFonts w:ascii="宋体" w:hAnsi="宋体" w:eastAsia="宋体"/>
                <w:sz w:val="16"/>
              </w:rPr>
              <w:t>-</w:t>
            </w:r>
          </w:p>
        </w:tc>
      </w:tr>
      <w:tr w14:paraId="723A6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0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862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88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90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AB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E6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8D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A418">
            <w:pPr>
              <w:jc w:val="center"/>
            </w:pPr>
            <w:r>
              <w:rPr>
                <w:rFonts w:ascii="宋体" w:hAnsi="宋体" w:eastAsia="宋体"/>
                <w:sz w:val="16"/>
              </w:rPr>
              <w:t>-</w:t>
            </w:r>
          </w:p>
        </w:tc>
      </w:tr>
      <w:tr w14:paraId="4006DB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CAF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F1EF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C149A">
            <w:pPr>
              <w:jc w:val="center"/>
            </w:pPr>
            <w:r>
              <w:rPr>
                <w:rFonts w:ascii="宋体" w:hAnsi="宋体" w:eastAsia="宋体"/>
                <w:sz w:val="16"/>
              </w:rPr>
              <w:t>总体目标完成情况</w:t>
            </w:r>
          </w:p>
        </w:tc>
      </w:tr>
      <w:tr w14:paraId="4D049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98B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5AEC6">
            <w:pPr>
              <w:jc w:val="both"/>
            </w:pPr>
            <w:r>
              <w:rPr>
                <w:rFonts w:ascii="宋体" w:hAnsi="宋体" w:eastAsia="宋体"/>
                <w:sz w:val="16"/>
              </w:rPr>
              <w:t>2024年全年委托业务5项，委托第三方专业培训机构开展全州行业从业人员安全生产教育培训、行政执法人员培训、评标专家等培训工作，根据实际情况需租赁培训场地，租赁天数不少于9天，全力以赴抓好城乡建设各项任务；委托4个第三方专业机构，实现工程建设项目审批“四统一”，努力构建科学、便捷、高效的工程建设项目审批和管理体系、对城市发展状况进行全面、客观的分析评估，启动巴州城市体检工作、防空警报设备设施进行维护检修、编制自治州</w:t>
            </w:r>
            <w:r>
              <w:rPr>
                <w:rFonts w:hint="eastAsia" w:ascii="宋体" w:hAnsi="宋体"/>
                <w:sz w:val="16"/>
                <w:lang w:eastAsia="zh-CN"/>
              </w:rPr>
              <w:t>住房和城乡建设</w:t>
            </w:r>
            <w:r>
              <w:rPr>
                <w:rFonts w:ascii="宋体" w:hAnsi="宋体" w:eastAsia="宋体"/>
                <w:sz w:val="16"/>
              </w:rPr>
              <w:t>事业高质量发展“十五五”总体规划纲要。与中国电信股份有限公司</w:t>
            </w:r>
            <w:r>
              <w:rPr>
                <w:rFonts w:hint="eastAsia" w:ascii="宋体" w:hAnsi="宋体"/>
                <w:sz w:val="16"/>
                <w:lang w:eastAsia="zh-CN"/>
              </w:rPr>
              <w:t>巴音郭楞蒙古自治州</w:t>
            </w:r>
            <w:r>
              <w:rPr>
                <w:rFonts w:ascii="宋体" w:hAnsi="宋体" w:eastAsia="宋体"/>
                <w:sz w:val="16"/>
              </w:rPr>
              <w:t>分公司签订《全业务合作及机房代维服务协议》，维护信息网络系统数量1个，电信公司需按国家主管部门颁布的电信服务标准和电路质量要求提供服务，保证使用的业务畅通。全年开展自治州安全生产督导实地检查10次，检查过程中因工作需要全年租赁设备设施，完成检查报告数量6个，做到实地督导检查全覆盖，切实做到不留死角、不留盲区、不走过场，打好“遏事故”攻坚战。结合我局</w:t>
            </w:r>
            <w:r>
              <w:rPr>
                <w:rFonts w:hint="eastAsia" w:ascii="宋体" w:hAnsi="宋体"/>
                <w:sz w:val="16"/>
                <w:lang w:eastAsia="zh-CN"/>
              </w:rPr>
              <w:t>的</w:t>
            </w:r>
            <w:r>
              <w:rPr>
                <w:rFonts w:ascii="宋体" w:hAnsi="宋体" w:eastAsia="宋体"/>
                <w:sz w:val="16"/>
              </w:rPr>
              <w:t>工作实际，需聘请各专业领域专家不少于50人次配合我局开展工作，确保业务工作顺利进行。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8E9BB1">
            <w:pPr>
              <w:jc w:val="both"/>
            </w:pPr>
            <w:r>
              <w:rPr>
                <w:rFonts w:ascii="宋体" w:hAnsi="宋体" w:eastAsia="宋体"/>
                <w:sz w:val="16"/>
              </w:rPr>
              <w:t>2024年根据年初工作计划安排，我局全年完成5项委托业务工作：①委托第三方专业培训机构开展行政执法人员培训、招标投标政策宣贯、物业服务管理等培训工作，根据实际情况需租赁培训场地，租赁天数不少于9天，全力以赴抓好城乡建设各项任务；②委托第三方机构完成巴州住房城乡建设领域平台（建设工程审批系统、智慧工地综合服务平台、智慧物业平台）等保测评，努力构建科学、便捷、高效的工程建设项目审批和管理体系；③委托第三方机构启动巴州城市体检工作，对城市发展状况进行全面、客观的分析评估，找出城市发展的弱项、短板，</w:t>
            </w:r>
            <w:r>
              <w:rPr>
                <w:rFonts w:hint="eastAsia" w:ascii="宋体" w:hAnsi="宋体"/>
                <w:sz w:val="16"/>
                <w:lang w:eastAsia="zh-CN"/>
              </w:rPr>
              <w:t>针对性地</w:t>
            </w:r>
            <w:r>
              <w:rPr>
                <w:rFonts w:ascii="宋体" w:hAnsi="宋体" w:eastAsia="宋体"/>
                <w:sz w:val="16"/>
              </w:rPr>
              <w:t>加强城市建设管理工作，提升居民生活水平；④委托专业的</w:t>
            </w:r>
            <w:r>
              <w:rPr>
                <w:rFonts w:hint="eastAsia" w:ascii="宋体" w:hAnsi="宋体"/>
                <w:sz w:val="16"/>
                <w:lang w:eastAsia="zh-CN"/>
              </w:rPr>
              <w:t>第三方</w:t>
            </w:r>
            <w:r>
              <w:rPr>
                <w:rFonts w:ascii="宋体" w:hAnsi="宋体" w:eastAsia="宋体"/>
                <w:sz w:val="16"/>
              </w:rPr>
              <w:t>机构对库尔勒市防空警报设备设施进行维护检修，确保库尔勒地区防空警报设备设施的鸣响率；⑤委托第三方机构编制巴州住房发展“十五五”规划——城乡规划，针对性制定住房建设策略，建议性提出空间落实方案。</w:t>
            </w:r>
            <w:r>
              <w:rPr>
                <w:rFonts w:ascii="宋体" w:hAnsi="宋体" w:eastAsia="宋体"/>
                <w:sz w:val="16"/>
              </w:rPr>
              <w:br w:type="textWrapping"/>
            </w:r>
            <w:r>
              <w:rPr>
                <w:rFonts w:ascii="宋体" w:hAnsi="宋体" w:eastAsia="宋体"/>
                <w:sz w:val="16"/>
              </w:rPr>
              <w:t>全年维护信息网络系统数量1个，与电信公司签订《全业务合作及机房代维服务协议》，强化后勤保障工作，确保网络、通信、信号安全畅通。</w:t>
            </w:r>
            <w:r>
              <w:rPr>
                <w:rFonts w:ascii="宋体" w:hAnsi="宋体" w:eastAsia="宋体"/>
                <w:sz w:val="16"/>
              </w:rPr>
              <w:br w:type="textWrapping"/>
            </w:r>
            <w:r>
              <w:rPr>
                <w:rFonts w:ascii="宋体" w:hAnsi="宋体" w:eastAsia="宋体"/>
                <w:sz w:val="16"/>
              </w:rPr>
              <w:t>全年开展自治州行业安全生产督导实地检查10次，检查范围各县（市）、库尔勒经济技术开发区，检查过程中因工作需要全年租赁设备设施，按照工作计划完成督导检查报告数量6个，做到实地督导检查全覆盖，所有检查结果全部公开，强化检查问效。</w:t>
            </w:r>
            <w:r>
              <w:rPr>
                <w:rFonts w:ascii="宋体" w:hAnsi="宋体" w:eastAsia="宋体"/>
                <w:sz w:val="16"/>
              </w:rPr>
              <w:br w:type="textWrapping"/>
            </w:r>
            <w:r>
              <w:rPr>
                <w:rFonts w:ascii="宋体" w:hAnsi="宋体" w:eastAsia="宋体"/>
                <w:sz w:val="16"/>
              </w:rPr>
              <w:t>结合工作实际，聘请了建筑专业领域专家配合我局工作，全年共聘请人次为50人次，确保了我局业务工作顺利开展。</w:t>
            </w:r>
          </w:p>
        </w:tc>
      </w:tr>
      <w:tr w14:paraId="5216E7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68EA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94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F6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5B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5BE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C9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0711">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3AD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52DB">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67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E67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47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A3FF4">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EBF4">
            <w:pPr>
              <w:jc w:val="center"/>
            </w:pPr>
            <w:r>
              <w:rPr>
                <w:rFonts w:ascii="宋体" w:hAnsi="宋体" w:eastAsia="宋体"/>
                <w:sz w:val="16"/>
              </w:rPr>
              <w:t>偏差原因分析及改进措施</w:t>
            </w:r>
          </w:p>
        </w:tc>
      </w:tr>
      <w:tr w14:paraId="4B8D3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F63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DC3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4A8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B7545">
            <w:pPr>
              <w:jc w:val="center"/>
            </w:pPr>
            <w:r>
              <w:rPr>
                <w:rFonts w:ascii="宋体" w:hAnsi="宋体" w:eastAsia="宋体"/>
                <w:sz w:val="16"/>
              </w:rPr>
              <w:t>场地租赁天数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AC49">
            <w:pPr>
              <w:jc w:val="center"/>
            </w:pPr>
            <w:r>
              <w:rPr>
                <w:rFonts w:ascii="宋体" w:hAnsi="宋体" w:eastAsia="宋体"/>
                <w:sz w:val="16"/>
              </w:rPr>
              <w:t>&gt;=9天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9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55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6E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D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61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AC34">
            <w:pPr>
              <w:jc w:val="center"/>
            </w:pPr>
            <w:r>
              <w:rPr>
                <w:rFonts w:ascii="宋体" w:hAnsi="宋体" w:eastAsia="宋体"/>
                <w:sz w:val="16"/>
              </w:rPr>
              <w:t>=9天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2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C6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EF58">
            <w:pPr>
              <w:jc w:val="center"/>
            </w:pPr>
          </w:p>
        </w:tc>
      </w:tr>
      <w:tr w14:paraId="2489E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36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3A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F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A0DB">
            <w:pPr>
              <w:jc w:val="center"/>
            </w:pPr>
            <w:r>
              <w:rPr>
                <w:rFonts w:ascii="宋体" w:hAnsi="宋体" w:eastAsia="宋体"/>
                <w:sz w:val="16"/>
              </w:rPr>
              <w:t>设备租赁天数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0D7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B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D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B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A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F2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447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7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4C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F28F">
            <w:pPr>
              <w:jc w:val="center"/>
            </w:pPr>
          </w:p>
        </w:tc>
      </w:tr>
      <w:tr w14:paraId="6256E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C7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18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F1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B7BB">
            <w:pPr>
              <w:jc w:val="center"/>
            </w:pPr>
            <w:r>
              <w:rPr>
                <w:rFonts w:ascii="宋体" w:hAnsi="宋体" w:eastAsia="宋体"/>
                <w:sz w:val="16"/>
              </w:rPr>
              <w:t>聘请专家人次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7D2C">
            <w:pPr>
              <w:jc w:val="center"/>
            </w:pPr>
            <w:r>
              <w:rPr>
                <w:rFonts w:ascii="宋体" w:hAnsi="宋体" w:eastAsia="宋体"/>
                <w:sz w:val="16"/>
              </w:rPr>
              <w:t>&gt;=50人次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A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8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33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C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4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BEEFE">
            <w:pPr>
              <w:jc w:val="center"/>
            </w:pPr>
            <w:r>
              <w:rPr>
                <w:rFonts w:ascii="宋体" w:hAnsi="宋体" w:eastAsia="宋体"/>
                <w:sz w:val="16"/>
              </w:rPr>
              <w:t>=50人次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2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FB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2D24">
            <w:pPr>
              <w:jc w:val="center"/>
            </w:pPr>
          </w:p>
        </w:tc>
      </w:tr>
      <w:tr w14:paraId="6A646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E3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25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D7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11E2">
            <w:pPr>
              <w:jc w:val="center"/>
            </w:pPr>
            <w:r>
              <w:rPr>
                <w:rFonts w:ascii="宋体" w:hAnsi="宋体" w:eastAsia="宋体"/>
                <w:sz w:val="16"/>
              </w:rPr>
              <w:t>委托业务数量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E721">
            <w:pPr>
              <w:jc w:val="center"/>
            </w:pPr>
            <w:r>
              <w:rPr>
                <w:rFonts w:ascii="宋体" w:hAnsi="宋体" w:eastAsia="宋体"/>
                <w:sz w:val="16"/>
              </w:rPr>
              <w:t>&gt;=5项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F0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3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C1A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89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4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286B">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A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FB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C321">
            <w:pPr>
              <w:jc w:val="center"/>
            </w:pPr>
          </w:p>
        </w:tc>
      </w:tr>
      <w:tr w14:paraId="28EB8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9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54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987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A354">
            <w:pPr>
              <w:jc w:val="center"/>
            </w:pPr>
            <w:r>
              <w:rPr>
                <w:rFonts w:ascii="宋体" w:hAnsi="宋体" w:eastAsia="宋体"/>
                <w:sz w:val="16"/>
              </w:rPr>
              <w:t>信息网络维护系统数量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339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C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76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10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F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6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AAD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5A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43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0396">
            <w:pPr>
              <w:jc w:val="center"/>
            </w:pPr>
          </w:p>
        </w:tc>
      </w:tr>
      <w:tr w14:paraId="39F8A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6E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B52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46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9FF">
            <w:pPr>
              <w:jc w:val="center"/>
            </w:pPr>
            <w:r>
              <w:rPr>
                <w:rFonts w:ascii="宋体" w:hAnsi="宋体" w:eastAsia="宋体"/>
                <w:sz w:val="16"/>
              </w:rPr>
              <w:t>实地检查频次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5A3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6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4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5D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A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0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4F4C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0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8D4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FD130">
            <w:pPr>
              <w:jc w:val="center"/>
            </w:pPr>
          </w:p>
        </w:tc>
      </w:tr>
      <w:tr w14:paraId="3ECF3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08F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4D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F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63AC">
            <w:pPr>
              <w:jc w:val="center"/>
            </w:pPr>
            <w:r>
              <w:rPr>
                <w:rFonts w:ascii="宋体" w:hAnsi="宋体" w:eastAsia="宋体"/>
                <w:sz w:val="16"/>
              </w:rPr>
              <w:t>完成检查报告数量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EE2E">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E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6D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71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0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B4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C9EE">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B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48D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41BB">
            <w:pPr>
              <w:jc w:val="center"/>
            </w:pPr>
          </w:p>
        </w:tc>
      </w:tr>
      <w:tr w14:paraId="7155A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C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D2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45E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0371">
            <w:pPr>
              <w:jc w:val="center"/>
            </w:pPr>
            <w:r>
              <w:rPr>
                <w:rFonts w:ascii="宋体" w:hAnsi="宋体" w:eastAsia="宋体"/>
                <w:sz w:val="16"/>
              </w:rPr>
              <w:t>委托业务完成合格率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99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1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3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A7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F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7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B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C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12A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BA19">
            <w:pPr>
              <w:jc w:val="center"/>
            </w:pPr>
          </w:p>
        </w:tc>
      </w:tr>
      <w:tr w14:paraId="0271C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2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6B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C5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02AB">
            <w:pPr>
              <w:jc w:val="center"/>
            </w:pPr>
            <w:r>
              <w:rPr>
                <w:rFonts w:ascii="宋体" w:hAnsi="宋体" w:eastAsia="宋体"/>
                <w:sz w:val="16"/>
              </w:rPr>
              <w:t>信息网络维护系统验收合格率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8F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F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73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2B3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0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26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CC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0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F7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5FC43">
            <w:pPr>
              <w:jc w:val="center"/>
            </w:pPr>
          </w:p>
        </w:tc>
      </w:tr>
      <w:tr w14:paraId="09003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1AB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9B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1B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2731">
            <w:pPr>
              <w:jc w:val="center"/>
            </w:pPr>
            <w:r>
              <w:rPr>
                <w:rFonts w:ascii="宋体" w:hAnsi="宋体" w:eastAsia="宋体"/>
                <w:sz w:val="16"/>
              </w:rPr>
              <w:t>信息网络系统故障率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A5DE">
            <w:pPr>
              <w:jc w:val="center"/>
            </w:pPr>
            <w:r>
              <w:rPr>
                <w:rFonts w:ascii="宋体" w:hAnsi="宋体" w:eastAsia="宋体"/>
                <w:sz w:val="16"/>
              </w:rPr>
              <w:t>&lt;=10%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4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D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5F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A6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4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0F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5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FEF1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E02A">
            <w:pPr>
              <w:jc w:val="center"/>
            </w:pPr>
          </w:p>
        </w:tc>
      </w:tr>
      <w:tr w14:paraId="6E8B8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76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E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E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0F52">
            <w:pPr>
              <w:jc w:val="center"/>
            </w:pPr>
            <w:r>
              <w:rPr>
                <w:rFonts w:ascii="宋体" w:hAnsi="宋体" w:eastAsia="宋体"/>
                <w:sz w:val="16"/>
              </w:rPr>
              <w:t>实地检查覆盖率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52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4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6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61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78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1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B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1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12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7B960">
            <w:pPr>
              <w:jc w:val="center"/>
            </w:pPr>
          </w:p>
        </w:tc>
      </w:tr>
      <w:tr w14:paraId="1DB3A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0F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A8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C0E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680B">
            <w:pPr>
              <w:jc w:val="center"/>
            </w:pPr>
            <w:r>
              <w:rPr>
                <w:rFonts w:ascii="宋体" w:hAnsi="宋体" w:eastAsia="宋体"/>
                <w:sz w:val="16"/>
              </w:rPr>
              <w:t>租赁费支付及时率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76E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81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1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7F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6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4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7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7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45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B284">
            <w:pPr>
              <w:jc w:val="center"/>
            </w:pPr>
          </w:p>
        </w:tc>
      </w:tr>
      <w:tr w14:paraId="7A7E6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63F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F3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320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E871">
            <w:pPr>
              <w:jc w:val="center"/>
            </w:pPr>
            <w:r>
              <w:rPr>
                <w:rFonts w:ascii="宋体" w:hAnsi="宋体" w:eastAsia="宋体"/>
                <w:sz w:val="16"/>
              </w:rPr>
              <w:t>支付聘请专家费用及时率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F3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29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2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A0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9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C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8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0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81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7763">
            <w:pPr>
              <w:jc w:val="center"/>
            </w:pPr>
          </w:p>
        </w:tc>
      </w:tr>
      <w:tr w14:paraId="48028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7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F4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3F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BD5F">
            <w:pPr>
              <w:jc w:val="center"/>
            </w:pPr>
            <w:r>
              <w:rPr>
                <w:rFonts w:ascii="宋体" w:hAnsi="宋体" w:eastAsia="宋体"/>
                <w:sz w:val="16"/>
              </w:rPr>
              <w:t>委托业务按时完成率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F85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D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9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00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5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7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A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1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73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B79B">
            <w:pPr>
              <w:jc w:val="center"/>
            </w:pPr>
          </w:p>
        </w:tc>
      </w:tr>
      <w:tr w14:paraId="4000B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8A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0D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19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5396">
            <w:pPr>
              <w:jc w:val="center"/>
            </w:pPr>
            <w:r>
              <w:rPr>
                <w:rFonts w:ascii="宋体" w:hAnsi="宋体" w:eastAsia="宋体"/>
                <w:sz w:val="16"/>
              </w:rPr>
              <w:t>信息网络系统故障修复处理时间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F314">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E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66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6B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E8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F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0B2A">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EA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E6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5673">
            <w:pPr>
              <w:jc w:val="center"/>
            </w:pPr>
          </w:p>
        </w:tc>
      </w:tr>
      <w:tr w14:paraId="3E0C2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02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26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F8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223E">
            <w:pPr>
              <w:jc w:val="center"/>
            </w:pPr>
            <w:r>
              <w:rPr>
                <w:rFonts w:ascii="宋体" w:hAnsi="宋体" w:eastAsia="宋体"/>
                <w:sz w:val="16"/>
              </w:rPr>
              <w:t>信息网络系统运行维护响应时间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B7E2">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7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FE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1D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63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C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C15A">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7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87D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2E42">
            <w:pPr>
              <w:jc w:val="center"/>
            </w:pPr>
          </w:p>
        </w:tc>
      </w:tr>
      <w:tr w14:paraId="6D1D5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45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9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50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58F8">
            <w:pPr>
              <w:jc w:val="center"/>
            </w:pPr>
            <w:r>
              <w:rPr>
                <w:rFonts w:ascii="宋体" w:hAnsi="宋体" w:eastAsia="宋体"/>
                <w:sz w:val="16"/>
              </w:rPr>
              <w:t>实地检查按时完成率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86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C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93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214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D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B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1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3D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4A7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1F22">
            <w:pPr>
              <w:jc w:val="center"/>
            </w:pPr>
          </w:p>
        </w:tc>
      </w:tr>
      <w:tr w14:paraId="475D2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27E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3DB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70C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4CC9">
            <w:pPr>
              <w:jc w:val="center"/>
            </w:pPr>
            <w:r>
              <w:rPr>
                <w:rFonts w:ascii="宋体" w:hAnsi="宋体" w:eastAsia="宋体"/>
                <w:sz w:val="16"/>
              </w:rPr>
              <w:t>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FB477">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7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7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C4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6B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FB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CA78">
            <w:pPr>
              <w:jc w:val="center"/>
            </w:pPr>
            <w:r>
              <w:rPr>
                <w:rFonts w:ascii="宋体" w:hAnsi="宋体" w:eastAsia="宋体"/>
                <w:sz w:val="16"/>
              </w:rPr>
              <w:t>=8.99万元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8F57">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429A">
            <w:pPr>
              <w:jc w:val="center"/>
            </w:pPr>
            <w:r>
              <w:rPr>
                <w:rFonts w:ascii="宋体" w:hAnsi="宋体" w:eastAsia="宋体"/>
                <w:sz w:val="16"/>
              </w:rPr>
              <w:t>3.99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91A4">
            <w:pPr>
              <w:jc w:val="center"/>
            </w:pPr>
            <w:r>
              <w:rPr>
                <w:rFonts w:ascii="宋体" w:hAnsi="宋体" w:eastAsia="宋体"/>
                <w:sz w:val="16"/>
              </w:rPr>
              <w:t>年初设定指标数与实际执行过程存在偏差，按照实际工作中产生的费用正常支出，此项指标中的租赁费9万元实际支出了8.99万元，导致租赁费低于年初设定</w:t>
            </w:r>
            <w:r>
              <w:rPr>
                <w:rFonts w:hint="eastAsia" w:ascii="宋体" w:hAnsi="宋体"/>
                <w:sz w:val="16"/>
                <w:lang w:eastAsia="zh-CN"/>
              </w:rPr>
              <w:t>的</w:t>
            </w:r>
            <w:r>
              <w:rPr>
                <w:rFonts w:ascii="宋体" w:hAnsi="宋体" w:eastAsia="宋体"/>
                <w:sz w:val="16"/>
              </w:rPr>
              <w:t>指标值，来年提高设置指标的准确性、精确性。</w:t>
            </w:r>
          </w:p>
        </w:tc>
      </w:tr>
      <w:tr w14:paraId="3E118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91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042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05C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53D4">
            <w:pPr>
              <w:jc w:val="center"/>
            </w:pPr>
            <w:r>
              <w:rPr>
                <w:rFonts w:ascii="宋体" w:hAnsi="宋体" w:eastAsia="宋体"/>
                <w:sz w:val="16"/>
              </w:rPr>
              <w:t>聘请专家人次标准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2DF2">
            <w:pPr>
              <w:jc w:val="center"/>
            </w:pPr>
            <w:r>
              <w:rPr>
                <w:rFonts w:ascii="宋体" w:hAnsi="宋体" w:eastAsia="宋体"/>
                <w:sz w:val="16"/>
              </w:rPr>
              <w:t>&lt;=0.30万元/人次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D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3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5F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45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5C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4D1C">
            <w:pPr>
              <w:jc w:val="center"/>
            </w:pPr>
            <w:r>
              <w:rPr>
                <w:rFonts w:ascii="宋体" w:hAnsi="宋体" w:eastAsia="宋体"/>
                <w:sz w:val="16"/>
              </w:rPr>
              <w:t>=0.3万元/人次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F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933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E653">
            <w:pPr>
              <w:jc w:val="center"/>
            </w:pPr>
          </w:p>
        </w:tc>
      </w:tr>
      <w:tr w14:paraId="731BE0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FB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E3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FD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C404">
            <w:pPr>
              <w:jc w:val="center"/>
            </w:pPr>
            <w:r>
              <w:rPr>
                <w:rFonts w:ascii="宋体" w:hAnsi="宋体" w:eastAsia="宋体"/>
                <w:sz w:val="16"/>
              </w:rPr>
              <w:t>委托业务费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7FA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19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B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E5D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F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E85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C873">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8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6C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837F">
            <w:pPr>
              <w:jc w:val="center"/>
            </w:pPr>
          </w:p>
        </w:tc>
      </w:tr>
      <w:tr w14:paraId="71940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9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2A8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5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32E2">
            <w:pPr>
              <w:jc w:val="center"/>
            </w:pPr>
            <w:r>
              <w:rPr>
                <w:rFonts w:ascii="宋体" w:hAnsi="宋体" w:eastAsia="宋体"/>
                <w:sz w:val="16"/>
              </w:rPr>
              <w:t>信息网络系统维护费用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B4B9">
            <w:pPr>
              <w:jc w:val="center"/>
            </w:pPr>
            <w:r>
              <w:rPr>
                <w:rFonts w:ascii="宋体" w:hAnsi="宋体" w:eastAsia="宋体"/>
                <w:sz w:val="16"/>
              </w:rPr>
              <w:t>&lt;=14.30万元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F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ED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71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8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7A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4E9A">
            <w:pPr>
              <w:jc w:val="center"/>
            </w:pPr>
            <w:r>
              <w:rPr>
                <w:rFonts w:ascii="宋体" w:hAnsi="宋体" w:eastAsia="宋体"/>
                <w:sz w:val="16"/>
              </w:rPr>
              <w:t>=14.3万元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A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02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EA50">
            <w:pPr>
              <w:jc w:val="center"/>
            </w:pPr>
          </w:p>
        </w:tc>
      </w:tr>
      <w:tr w14:paraId="09E9F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2C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C5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7C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21E">
            <w:pPr>
              <w:jc w:val="center"/>
            </w:pPr>
            <w:r>
              <w:rPr>
                <w:rFonts w:ascii="宋体" w:hAnsi="宋体" w:eastAsia="宋体"/>
                <w:sz w:val="16"/>
              </w:rPr>
              <w:t>实地检查成本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B885">
            <w:pPr>
              <w:jc w:val="center"/>
            </w:pPr>
            <w:r>
              <w:rPr>
                <w:rFonts w:ascii="宋体" w:hAnsi="宋体" w:eastAsia="宋体"/>
                <w:sz w:val="16"/>
              </w:rPr>
              <w:t>&lt;=11.70万元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1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B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40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56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EA5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407A">
            <w:pPr>
              <w:jc w:val="center"/>
            </w:pPr>
            <w:r>
              <w:rPr>
                <w:rFonts w:ascii="宋体" w:hAnsi="宋体" w:eastAsia="宋体"/>
                <w:sz w:val="16"/>
              </w:rPr>
              <w:t>=11.7万元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6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CB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7DA3">
            <w:pPr>
              <w:jc w:val="center"/>
            </w:pPr>
          </w:p>
        </w:tc>
      </w:tr>
      <w:tr w14:paraId="28BB966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B3E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271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3DE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E892">
            <w:pPr>
              <w:jc w:val="center"/>
            </w:pPr>
            <w:r>
              <w:rPr>
                <w:rFonts w:ascii="宋体" w:hAnsi="宋体" w:eastAsia="宋体"/>
                <w:sz w:val="16"/>
              </w:rPr>
              <w:t>信息网络正常使用年限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3A2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A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1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5D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C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66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B518">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6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58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C433">
            <w:pPr>
              <w:jc w:val="center"/>
            </w:pPr>
          </w:p>
        </w:tc>
      </w:tr>
      <w:tr w14:paraId="42F4168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704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CC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2E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E78F">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C0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1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C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07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5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22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C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D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010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6BFE">
            <w:pPr>
              <w:jc w:val="center"/>
            </w:pPr>
          </w:p>
        </w:tc>
      </w:tr>
      <w:tr w14:paraId="4527F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F2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22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C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9CE5">
            <w:pPr>
              <w:jc w:val="center"/>
            </w:pPr>
            <w:r>
              <w:rPr>
                <w:rFonts w:ascii="宋体" w:hAnsi="宋体" w:eastAsia="宋体"/>
                <w:sz w:val="16"/>
              </w:rPr>
              <w:t>检查问题整改落实率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BE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4B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D4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FD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0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11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A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1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C6C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45D4">
            <w:pPr>
              <w:jc w:val="center"/>
            </w:pPr>
          </w:p>
        </w:tc>
      </w:tr>
      <w:tr w14:paraId="45BBC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5E7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F2EB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0F0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3656">
            <w:pPr>
              <w:jc w:val="center"/>
            </w:pPr>
            <w:r>
              <w:rPr>
                <w:rFonts w:ascii="宋体" w:hAnsi="宋体" w:eastAsia="宋体"/>
                <w:sz w:val="16"/>
              </w:rPr>
              <w:t>单位人员对专家满意度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BD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A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B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4F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BD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A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639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A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CD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950">
            <w:pPr>
              <w:jc w:val="center"/>
            </w:pPr>
          </w:p>
        </w:tc>
      </w:tr>
      <w:tr w14:paraId="68DA703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DF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06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71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33F7">
            <w:pPr>
              <w:jc w:val="center"/>
            </w:pPr>
            <w:r>
              <w:rPr>
                <w:rFonts w:ascii="宋体" w:hAnsi="宋体" w:eastAsia="宋体"/>
                <w:sz w:val="16"/>
              </w:rPr>
              <w:t>信息网络使用人员满意度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DB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F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0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66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07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0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65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F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CA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429E">
            <w:pPr>
              <w:jc w:val="center"/>
            </w:pPr>
          </w:p>
        </w:tc>
      </w:tr>
      <w:tr w14:paraId="04C39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AB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3F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01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A249">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E10C">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6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C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8C3D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E51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D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FE9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2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6F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3E3A">
            <w:pPr>
              <w:jc w:val="center"/>
            </w:pPr>
          </w:p>
        </w:tc>
      </w:tr>
      <w:tr w14:paraId="1D50148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0D24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5F0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3393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360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D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442F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045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B9E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F9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BF6C">
            <w:pPr>
              <w:jc w:val="center"/>
            </w:pPr>
            <w:r>
              <w:rPr>
                <w:rFonts w:ascii="宋体" w:hAnsi="宋体" w:eastAsia="宋体"/>
                <w:sz w:val="16"/>
              </w:rPr>
              <w:t>99.99分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914CD"/>
        </w:tc>
      </w:tr>
    </w:tbl>
    <w:p w14:paraId="7FE41E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FA3F87C">
        <w:tblPrEx>
          <w:tblCellMar>
            <w:top w:w="0" w:type="dxa"/>
            <w:left w:w="108" w:type="dxa"/>
            <w:bottom w:w="0" w:type="dxa"/>
            <w:right w:w="108" w:type="dxa"/>
          </w:tblCellMar>
        </w:tblPrEx>
        <w:tc>
          <w:tcPr>
            <w:tcW w:w="8848" w:type="dxa"/>
            <w:gridSpan w:val="14"/>
            <w:vAlign w:val="center"/>
          </w:tcPr>
          <w:p w14:paraId="24D53D48">
            <w:pPr>
              <w:jc w:val="center"/>
            </w:pPr>
            <w:r>
              <w:rPr>
                <w:rFonts w:ascii="宋体" w:hAnsi="宋体" w:eastAsia="宋体"/>
                <w:sz w:val="24"/>
              </w:rPr>
              <w:t>项目支出绩效自评表</w:t>
            </w:r>
          </w:p>
        </w:tc>
      </w:tr>
      <w:tr w14:paraId="2B1E170A">
        <w:tblPrEx>
          <w:tblCellMar>
            <w:top w:w="0" w:type="dxa"/>
            <w:left w:w="108" w:type="dxa"/>
            <w:bottom w:w="0" w:type="dxa"/>
            <w:right w:w="108" w:type="dxa"/>
          </w:tblCellMar>
        </w:tblPrEx>
        <w:tc>
          <w:tcPr>
            <w:tcW w:w="8848" w:type="dxa"/>
            <w:gridSpan w:val="14"/>
            <w:vAlign w:val="center"/>
          </w:tcPr>
          <w:p w14:paraId="3F383C94">
            <w:pPr>
              <w:jc w:val="center"/>
            </w:pPr>
            <w:r>
              <w:rPr>
                <w:rFonts w:ascii="宋体" w:hAnsi="宋体" w:eastAsia="宋体"/>
                <w:sz w:val="24"/>
              </w:rPr>
              <w:t>(2024年度)</w:t>
            </w:r>
          </w:p>
        </w:tc>
      </w:tr>
      <w:tr w14:paraId="74FB41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E7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BC9165">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工作队经费（含第一书记经费）</w:t>
            </w:r>
          </w:p>
        </w:tc>
      </w:tr>
      <w:tr w14:paraId="3576F0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CC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3A1632">
            <w:pPr>
              <w:jc w:val="center"/>
            </w:pPr>
            <w:r>
              <w:rPr>
                <w:rFonts w:ascii="宋体" w:hAnsi="宋体" w:eastAsia="宋体"/>
                <w:sz w:val="16"/>
              </w:rPr>
              <w:t>新疆巴音郭楞蒙古自治州住房和城乡建设局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09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BBD07C">
            <w:pPr>
              <w:jc w:val="center"/>
            </w:pPr>
            <w:r>
              <w:rPr>
                <w:rFonts w:ascii="宋体" w:hAnsi="宋体" w:eastAsia="宋体"/>
                <w:sz w:val="16"/>
              </w:rPr>
              <w:t>新疆巴音郭楞蒙古自治州住房和城乡建设局</w:t>
            </w:r>
          </w:p>
        </w:tc>
      </w:tr>
      <w:tr w14:paraId="73297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E098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799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89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37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13B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6C33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EB0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5ED5">
            <w:pPr>
              <w:jc w:val="center"/>
            </w:pPr>
            <w:r>
              <w:rPr>
                <w:rFonts w:ascii="宋体" w:hAnsi="宋体" w:eastAsia="宋体"/>
                <w:sz w:val="16"/>
              </w:rPr>
              <w:t>得分</w:t>
            </w:r>
          </w:p>
        </w:tc>
      </w:tr>
      <w:tr w14:paraId="0E7A0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9FB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99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494A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2EF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803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CF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BDB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362A">
            <w:pPr>
              <w:jc w:val="center"/>
            </w:pPr>
            <w:r>
              <w:rPr>
                <w:rFonts w:ascii="宋体" w:hAnsi="宋体" w:eastAsia="宋体"/>
                <w:sz w:val="16"/>
              </w:rPr>
              <w:t>10.00</w:t>
            </w:r>
          </w:p>
        </w:tc>
      </w:tr>
      <w:tr w14:paraId="4D610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6BA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A6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C72B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C775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8CD7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D93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3A1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2B1A">
            <w:pPr>
              <w:jc w:val="center"/>
            </w:pPr>
            <w:r>
              <w:rPr>
                <w:rFonts w:ascii="宋体" w:hAnsi="宋体" w:eastAsia="宋体"/>
                <w:sz w:val="16"/>
              </w:rPr>
              <w:t>-</w:t>
            </w:r>
          </w:p>
        </w:tc>
      </w:tr>
      <w:tr w14:paraId="295FC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3B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3D3D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1E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8F5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F7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69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79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20E8">
            <w:pPr>
              <w:jc w:val="center"/>
            </w:pPr>
            <w:r>
              <w:rPr>
                <w:rFonts w:ascii="宋体" w:hAnsi="宋体" w:eastAsia="宋体"/>
                <w:sz w:val="16"/>
              </w:rPr>
              <w:t>-</w:t>
            </w:r>
          </w:p>
        </w:tc>
      </w:tr>
      <w:tr w14:paraId="631C97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E7C1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9455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BB058">
            <w:pPr>
              <w:jc w:val="center"/>
            </w:pPr>
            <w:r>
              <w:rPr>
                <w:rFonts w:ascii="宋体" w:hAnsi="宋体" w:eastAsia="宋体"/>
                <w:sz w:val="16"/>
              </w:rPr>
              <w:t>总体目标完成情况</w:t>
            </w:r>
          </w:p>
        </w:tc>
      </w:tr>
      <w:tr w14:paraId="3E846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202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D715B">
            <w:pPr>
              <w:jc w:val="both"/>
            </w:pPr>
            <w:r>
              <w:rPr>
                <w:rFonts w:ascii="宋体" w:hAnsi="宋体" w:eastAsia="宋体"/>
                <w:sz w:val="16"/>
              </w:rPr>
              <w:t>为深入开展为民办实事活动，围绕社会稳定和长治久安这个总目标，巴州住建局2024年派驻</w:t>
            </w:r>
            <w:r>
              <w:rPr>
                <w:rFonts w:hint="eastAsia" w:ascii="宋体" w:hAnsi="宋体"/>
                <w:sz w:val="16"/>
                <w:lang w:eastAsia="zh-CN"/>
              </w:rPr>
              <w:t>焉耆回族自治县</w:t>
            </w:r>
            <w:r>
              <w:rPr>
                <w:rFonts w:ascii="宋体" w:hAnsi="宋体" w:eastAsia="宋体"/>
                <w:sz w:val="16"/>
              </w:rPr>
              <w:t>下三号工作队1支，第一书记人数1人，充分发挥工作队、第一书记作用，切实为群众做好事办实事，提升人民群众幸福感。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62837">
            <w:pPr>
              <w:jc w:val="both"/>
            </w:pPr>
            <w:r>
              <w:rPr>
                <w:rFonts w:ascii="宋体" w:hAnsi="宋体" w:eastAsia="宋体"/>
                <w:sz w:val="16"/>
              </w:rPr>
              <w:t>2024年巴州住建局2024年派驻一支</w:t>
            </w:r>
            <w:r>
              <w:rPr>
                <w:rFonts w:hint="eastAsia" w:ascii="宋体" w:hAnsi="宋体"/>
                <w:sz w:val="16"/>
                <w:lang w:eastAsia="zh-CN"/>
              </w:rPr>
              <w:t>焉耆回族自治县</w:t>
            </w:r>
            <w:r>
              <w:rPr>
                <w:rFonts w:ascii="宋体" w:hAnsi="宋体" w:eastAsia="宋体"/>
                <w:sz w:val="16"/>
              </w:rPr>
              <w:t>下三号工作队，第一书记人数1人，深入开展为民办实事活动，加强基层组织建设，充分发挥工作队、第一书记作用，切实为群众做好事办实事，提升人民群众幸福感和获得感。</w:t>
            </w:r>
          </w:p>
        </w:tc>
      </w:tr>
      <w:tr w14:paraId="16A4D2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CAB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35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F1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7A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3471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43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5E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F34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A9B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39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550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32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D26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BC28">
            <w:pPr>
              <w:jc w:val="center"/>
            </w:pPr>
            <w:r>
              <w:rPr>
                <w:rFonts w:ascii="宋体" w:hAnsi="宋体" w:eastAsia="宋体"/>
                <w:sz w:val="16"/>
              </w:rPr>
              <w:t>偏差原因分析及改进措施</w:t>
            </w:r>
          </w:p>
        </w:tc>
      </w:tr>
      <w:tr w14:paraId="0C4482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A52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EAA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D8D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EC1D">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D12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62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03C5">
            <w:pPr>
              <w:jc w:val="center"/>
            </w:pPr>
            <w:r>
              <w:rPr>
                <w:rFonts w:hint="eastAsia"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11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36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9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14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5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6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8112">
            <w:pPr>
              <w:jc w:val="center"/>
            </w:pPr>
          </w:p>
        </w:tc>
      </w:tr>
      <w:tr w14:paraId="63D72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2A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0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615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03E7">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037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34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3BE6">
            <w:pPr>
              <w:jc w:val="center"/>
            </w:pPr>
            <w:r>
              <w:rPr>
                <w:rFonts w:hint="eastAsia"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E7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52F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D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FE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8D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B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799B">
            <w:pPr>
              <w:jc w:val="center"/>
            </w:pPr>
          </w:p>
        </w:tc>
      </w:tr>
      <w:tr w14:paraId="5BD12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B2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C6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D6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F9E1">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0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6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FB6E">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41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2C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2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A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C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801C2">
            <w:pPr>
              <w:jc w:val="center"/>
            </w:pPr>
          </w:p>
        </w:tc>
      </w:tr>
      <w:tr w14:paraId="3C3A4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66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E6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61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866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C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D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7E24">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0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1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9C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4A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58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A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B11B2">
            <w:pPr>
              <w:jc w:val="center"/>
            </w:pPr>
          </w:p>
        </w:tc>
      </w:tr>
      <w:tr w14:paraId="5FF86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157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753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B8D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B3A6">
            <w:pPr>
              <w:jc w:val="center"/>
            </w:pPr>
            <w:r>
              <w:rPr>
                <w:rFonts w:hint="eastAsia" w:ascii="宋体" w:hAnsi="宋体"/>
                <w:sz w:val="16"/>
                <w:lang w:eastAsia="zh-CN"/>
              </w:rPr>
              <w:t>为民办实事</w:t>
            </w:r>
            <w:r>
              <w:rPr>
                <w:rFonts w:ascii="宋体" w:hAnsi="宋体" w:eastAsia="宋体"/>
                <w:sz w:val="16"/>
              </w:rPr>
              <w:t>工作队经费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F869">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7A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E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54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C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4E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15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5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6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9F9D">
            <w:pPr>
              <w:jc w:val="center"/>
            </w:pPr>
          </w:p>
        </w:tc>
      </w:tr>
      <w:tr w14:paraId="6653B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32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8B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9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9A43">
            <w:pPr>
              <w:jc w:val="center"/>
            </w:pPr>
            <w:r>
              <w:rPr>
                <w:rFonts w:ascii="宋体" w:hAnsi="宋体" w:eastAsia="宋体"/>
                <w:sz w:val="16"/>
              </w:rPr>
              <w:t>第一书记经费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5823">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6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6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4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9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2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4FC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00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00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C8D8">
            <w:pPr>
              <w:jc w:val="center"/>
            </w:pPr>
          </w:p>
        </w:tc>
      </w:tr>
      <w:tr w14:paraId="5B5F3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B8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40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DD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3E16">
            <w:pPr>
              <w:jc w:val="center"/>
            </w:pPr>
            <w:r>
              <w:rPr>
                <w:rFonts w:ascii="宋体" w:hAnsi="宋体" w:eastAsia="宋体"/>
                <w:sz w:val="16"/>
              </w:rPr>
              <w:t>村民及社区居民幸福感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3FF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1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B4C9">
            <w:pPr>
              <w:jc w:val="center"/>
            </w:pPr>
            <w:r>
              <w:rPr>
                <w:rFonts w:hint="eastAsia"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DD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9F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1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DADB">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5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79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24BF">
            <w:pPr>
              <w:jc w:val="center"/>
            </w:pPr>
          </w:p>
        </w:tc>
      </w:tr>
      <w:tr w14:paraId="71EB5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43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AB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22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2D56">
            <w:pPr>
              <w:jc w:val="center"/>
            </w:pPr>
            <w:r>
              <w:rPr>
                <w:rFonts w:ascii="宋体" w:hAnsi="宋体" w:eastAsia="宋体"/>
                <w:sz w:val="16"/>
              </w:rPr>
              <w:t>村民及社区村民满意度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86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41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1451">
            <w:pPr>
              <w:jc w:val="center"/>
            </w:pPr>
            <w:r>
              <w:rPr>
                <w:rFonts w:hint="eastAsia"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8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45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3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4B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BD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76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BD78">
            <w:pPr>
              <w:jc w:val="center"/>
            </w:pPr>
          </w:p>
        </w:tc>
      </w:tr>
      <w:tr w14:paraId="5BBDBE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B6A88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45C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C7F5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97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9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72D2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63A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40B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7A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A49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C2DD6"/>
        </w:tc>
      </w:tr>
    </w:tbl>
    <w:p w14:paraId="5C9FF2CB">
      <w:r>
        <w:br w:type="page"/>
      </w:r>
    </w:p>
    <w:tbl>
      <w:tblPr>
        <w:tblStyle w:val="9"/>
        <w:tblW w:w="9100" w:type="dxa"/>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96"/>
        <w:gridCol w:w="632"/>
        <w:gridCol w:w="756"/>
      </w:tblGrid>
      <w:tr w14:paraId="2C020D38">
        <w:tblPrEx>
          <w:tblCellMar>
            <w:top w:w="0" w:type="dxa"/>
            <w:left w:w="108" w:type="dxa"/>
            <w:bottom w:w="0" w:type="dxa"/>
            <w:right w:w="108" w:type="dxa"/>
          </w:tblCellMar>
        </w:tblPrEx>
        <w:tc>
          <w:tcPr>
            <w:tcW w:w="9100" w:type="dxa"/>
            <w:gridSpan w:val="14"/>
            <w:vAlign w:val="center"/>
          </w:tcPr>
          <w:p w14:paraId="3ADB95C2">
            <w:pPr>
              <w:jc w:val="center"/>
            </w:pPr>
            <w:r>
              <w:rPr>
                <w:rFonts w:ascii="宋体" w:hAnsi="宋体" w:eastAsia="宋体"/>
                <w:sz w:val="24"/>
              </w:rPr>
              <w:t>项目支出绩效自评表</w:t>
            </w:r>
          </w:p>
        </w:tc>
      </w:tr>
      <w:tr w14:paraId="1A2FA2AD">
        <w:tblPrEx>
          <w:tblCellMar>
            <w:top w:w="0" w:type="dxa"/>
            <w:left w:w="108" w:type="dxa"/>
            <w:bottom w:w="0" w:type="dxa"/>
            <w:right w:w="108" w:type="dxa"/>
          </w:tblCellMar>
        </w:tblPrEx>
        <w:tc>
          <w:tcPr>
            <w:tcW w:w="9100" w:type="dxa"/>
            <w:gridSpan w:val="14"/>
            <w:vAlign w:val="center"/>
          </w:tcPr>
          <w:p w14:paraId="55C5D2FE">
            <w:pPr>
              <w:jc w:val="center"/>
            </w:pPr>
            <w:r>
              <w:rPr>
                <w:rFonts w:ascii="宋体" w:hAnsi="宋体" w:eastAsia="宋体"/>
                <w:sz w:val="24"/>
              </w:rPr>
              <w:t>(2024年度)</w:t>
            </w:r>
          </w:p>
        </w:tc>
      </w:tr>
      <w:tr w14:paraId="0376AB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8F56">
            <w:pPr>
              <w:jc w:val="center"/>
            </w:pPr>
            <w:r>
              <w:rPr>
                <w:rFonts w:ascii="宋体" w:hAnsi="宋体" w:eastAsia="宋体"/>
                <w:sz w:val="16"/>
              </w:rPr>
              <w:t>项目名称</w:t>
            </w:r>
          </w:p>
        </w:tc>
        <w:tc>
          <w:tcPr>
            <w:tcW w:w="846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10C32">
            <w:pPr>
              <w:jc w:val="center"/>
            </w:pPr>
            <w:r>
              <w:rPr>
                <w:rFonts w:ascii="宋体" w:hAnsi="宋体" w:eastAsia="宋体"/>
                <w:sz w:val="16"/>
              </w:rPr>
              <w:t>园林城市建设高层次人才聘用经费</w:t>
            </w:r>
            <w:bookmarkStart w:id="0" w:name="_GoBack"/>
            <w:bookmarkEnd w:id="0"/>
          </w:p>
        </w:tc>
      </w:tr>
      <w:tr w14:paraId="45D9D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618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C94C2">
            <w:pPr>
              <w:jc w:val="center"/>
            </w:pPr>
            <w:r>
              <w:rPr>
                <w:rFonts w:ascii="宋体" w:hAnsi="宋体" w:eastAsia="宋体"/>
                <w:sz w:val="16"/>
              </w:rPr>
              <w:t>新疆巴音郭楞蒙古自治州住房和城乡建设局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1FA1">
            <w:pPr>
              <w:jc w:val="center"/>
            </w:pPr>
            <w:r>
              <w:rPr>
                <w:rFonts w:ascii="宋体" w:hAnsi="宋体" w:eastAsia="宋体"/>
                <w:sz w:val="16"/>
              </w:rPr>
              <w:t>实施单位</w:t>
            </w:r>
          </w:p>
        </w:tc>
        <w:tc>
          <w:tcPr>
            <w:tcW w:w="33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39A585">
            <w:pPr>
              <w:jc w:val="center"/>
            </w:pPr>
            <w:r>
              <w:rPr>
                <w:rFonts w:ascii="宋体" w:hAnsi="宋体" w:eastAsia="宋体"/>
                <w:sz w:val="16"/>
              </w:rPr>
              <w:t>新疆巴音郭楞蒙古自治州住房和城乡建设局</w:t>
            </w:r>
          </w:p>
        </w:tc>
      </w:tr>
      <w:tr w14:paraId="7BB252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84A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B63C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81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D9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19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31CB6">
            <w:pPr>
              <w:jc w:val="center"/>
            </w:pPr>
            <w:r>
              <w:rPr>
                <w:rFonts w:ascii="宋体" w:hAnsi="宋体" w:eastAsia="宋体"/>
                <w:sz w:val="16"/>
              </w:rPr>
              <w:t>分值权重</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E19D">
            <w:pPr>
              <w:jc w:val="center"/>
            </w:pPr>
            <w:r>
              <w:rPr>
                <w:rFonts w:ascii="宋体" w:hAnsi="宋体" w:eastAsia="宋体"/>
                <w:sz w:val="16"/>
              </w:rPr>
              <w:t>执行率</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8E927AD">
            <w:pPr>
              <w:jc w:val="center"/>
            </w:pPr>
            <w:r>
              <w:rPr>
                <w:rFonts w:ascii="宋体" w:hAnsi="宋体" w:eastAsia="宋体"/>
                <w:sz w:val="16"/>
              </w:rPr>
              <w:t>得分</w:t>
            </w:r>
          </w:p>
        </w:tc>
      </w:tr>
      <w:tr w14:paraId="1FAA1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99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5F257">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5A5C">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3477">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BA3DF">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AE23F">
            <w:pPr>
              <w:jc w:val="center"/>
            </w:pPr>
            <w:r>
              <w:rPr>
                <w:rFonts w:ascii="宋体" w:hAnsi="宋体" w:eastAsia="宋体"/>
                <w:sz w:val="16"/>
              </w:rPr>
              <w:t>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80600">
            <w:pPr>
              <w:jc w:val="center"/>
            </w:pPr>
            <w:r>
              <w:rPr>
                <w:rFonts w:ascii="宋体" w:hAnsi="宋体" w:eastAsia="宋体"/>
                <w:sz w:val="16"/>
              </w:rPr>
              <w:t>92.75%</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4E396721">
            <w:pPr>
              <w:jc w:val="center"/>
            </w:pPr>
            <w:r>
              <w:rPr>
                <w:rFonts w:ascii="宋体" w:hAnsi="宋体" w:eastAsia="宋体"/>
                <w:sz w:val="16"/>
              </w:rPr>
              <w:t>8.19</w:t>
            </w:r>
          </w:p>
        </w:tc>
      </w:tr>
      <w:tr w14:paraId="5FAE0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4B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28D2">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7F9A">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E779">
            <w:pPr>
              <w:jc w:val="center"/>
            </w:pPr>
            <w:r>
              <w:rPr>
                <w:rFonts w:ascii="宋体" w:hAnsi="宋体" w:eastAsia="宋体"/>
                <w:sz w:val="16"/>
              </w:rPr>
              <w:t>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6B41">
            <w:pPr>
              <w:jc w:val="center"/>
            </w:pPr>
            <w:r>
              <w:rPr>
                <w:rFonts w:ascii="宋体" w:hAnsi="宋体" w:eastAsia="宋体"/>
                <w:sz w:val="16"/>
              </w:rPr>
              <w:t>8.44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A018">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0F774">
            <w:pPr>
              <w:jc w:val="center"/>
            </w:pPr>
            <w:r>
              <w:rPr>
                <w:rFonts w:ascii="宋体" w:hAnsi="宋体" w:eastAsia="宋体"/>
                <w:sz w:val="16"/>
              </w:rPr>
              <w:t>-</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4721CEEA">
            <w:pPr>
              <w:jc w:val="center"/>
            </w:pPr>
            <w:r>
              <w:rPr>
                <w:rFonts w:ascii="宋体" w:hAnsi="宋体" w:eastAsia="宋体"/>
                <w:sz w:val="16"/>
              </w:rPr>
              <w:t>-</w:t>
            </w:r>
          </w:p>
        </w:tc>
      </w:tr>
      <w:tr w14:paraId="5B231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14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CD9C7">
            <w:pPr>
              <w:jc w:val="center"/>
            </w:pPr>
            <w:r>
              <w:rPr>
                <w:rFonts w:ascii="宋体" w:hAnsi="宋体" w:eastAsia="宋体"/>
                <w:sz w:val="16"/>
              </w:rPr>
              <w:t>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14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907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7E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A689">
            <w:pPr>
              <w:jc w:val="center"/>
            </w:pPr>
            <w:r>
              <w:rPr>
                <w:rFonts w:ascii="宋体" w:hAnsi="宋体" w:eastAsia="宋体"/>
                <w:sz w:val="16"/>
              </w:rPr>
              <w:t>-</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CDDC4">
            <w:pPr>
              <w:jc w:val="center"/>
            </w:pPr>
            <w:r>
              <w:rPr>
                <w:rFonts w:ascii="宋体" w:hAnsi="宋体" w:eastAsia="宋体"/>
                <w:sz w:val="16"/>
              </w:rPr>
              <w:t>-</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A6992EA">
            <w:pPr>
              <w:jc w:val="center"/>
            </w:pPr>
            <w:r>
              <w:rPr>
                <w:rFonts w:ascii="宋体" w:hAnsi="宋体" w:eastAsia="宋体"/>
                <w:sz w:val="16"/>
              </w:rPr>
              <w:t>-</w:t>
            </w:r>
          </w:p>
        </w:tc>
      </w:tr>
      <w:tr w14:paraId="1F5303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471ED">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7CC4E5">
            <w:pPr>
              <w:jc w:val="center"/>
            </w:pPr>
            <w:r>
              <w:rPr>
                <w:rFonts w:ascii="宋体" w:hAnsi="宋体" w:eastAsia="宋体"/>
                <w:sz w:val="16"/>
              </w:rPr>
              <w:t>总体目标</w:t>
            </w:r>
          </w:p>
        </w:tc>
        <w:tc>
          <w:tcPr>
            <w:tcW w:w="39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09DF2C">
            <w:pPr>
              <w:jc w:val="center"/>
            </w:pPr>
            <w:r>
              <w:rPr>
                <w:rFonts w:ascii="宋体" w:hAnsi="宋体" w:eastAsia="宋体"/>
                <w:sz w:val="16"/>
              </w:rPr>
              <w:t>总体目标完成情况</w:t>
            </w:r>
          </w:p>
        </w:tc>
      </w:tr>
      <w:tr w14:paraId="5036B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A553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61FF8">
            <w:pPr>
              <w:jc w:val="both"/>
            </w:pPr>
            <w:r>
              <w:rPr>
                <w:rFonts w:ascii="宋体" w:hAnsi="宋体" w:eastAsia="宋体"/>
                <w:sz w:val="16"/>
              </w:rPr>
              <w:t>2024年聘请特邀专家1人，参与我州园林城市建设工作，为其租赁1套房屋，发放专家劳务费1次，期间在巴州州域内实地考察1次，围绕园林绿化精细化管理，城市绿地增效等措施，积极完成国家级园林县城复查的各项工作。</w:t>
            </w:r>
          </w:p>
        </w:tc>
        <w:tc>
          <w:tcPr>
            <w:tcW w:w="39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55C97">
            <w:pPr>
              <w:jc w:val="both"/>
            </w:pPr>
            <w:r>
              <w:rPr>
                <w:rFonts w:ascii="宋体" w:hAnsi="宋体" w:eastAsia="宋体"/>
                <w:sz w:val="16"/>
              </w:rPr>
              <w:t>为完成国家级园林县城复查的各项工作，我局2024年积极开展园林城市建设工作，聘请了1名园林城市建设高层次人才，聘用期间为其在库尔勒市区租赁1套房屋，一次性发放劳务费，在巴州州域内实地考察1次，对巴州八县一市的园林绿化进行专业的技术指导和支持，以期推动城市园林绿化工作的高质量发展，确保完成库尔勒市生态园林城市的创建工作。</w:t>
            </w:r>
          </w:p>
        </w:tc>
      </w:tr>
      <w:tr w14:paraId="01207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BF6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58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75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2119">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5E56A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380D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001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71F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3B0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96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F002">
            <w:pPr>
              <w:jc w:val="center"/>
            </w:pPr>
            <w:r>
              <w:rPr>
                <w:rFonts w:ascii="宋体" w:hAnsi="宋体" w:eastAsia="宋体"/>
                <w:sz w:val="16"/>
              </w:rPr>
              <w:t>指标实际完成值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DBC8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0859">
            <w:pPr>
              <w:jc w:val="center"/>
            </w:pPr>
            <w:r>
              <w:rPr>
                <w:rFonts w:ascii="宋体" w:hAnsi="宋体" w:eastAsia="宋体"/>
                <w:sz w:val="16"/>
              </w:rPr>
              <w:t>指标得分</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9012D53">
            <w:pPr>
              <w:jc w:val="center"/>
            </w:pPr>
            <w:r>
              <w:rPr>
                <w:rFonts w:ascii="宋体" w:hAnsi="宋体" w:eastAsia="宋体"/>
                <w:sz w:val="16"/>
              </w:rPr>
              <w:t>偏差原因分析及改进措施</w:t>
            </w:r>
          </w:p>
        </w:tc>
      </w:tr>
      <w:tr w14:paraId="1E56BB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3D9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0D5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B2A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88C5">
            <w:pPr>
              <w:jc w:val="center"/>
            </w:pPr>
            <w:r>
              <w:rPr>
                <w:rFonts w:ascii="宋体" w:hAnsi="宋体" w:eastAsia="宋体"/>
                <w:sz w:val="16"/>
              </w:rPr>
              <w:t>聘请专家人数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A6811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7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59A8">
            <w:pPr>
              <w:jc w:val="center"/>
            </w:pPr>
            <w:r>
              <w:rPr>
                <w:rFonts w:hint="eastAsia"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B4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F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0E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2372">
            <w:pPr>
              <w:jc w:val="center"/>
            </w:pPr>
            <w:r>
              <w:rPr>
                <w:rFonts w:ascii="宋体" w:hAnsi="宋体" w:eastAsia="宋体"/>
                <w:sz w:val="16"/>
              </w:rPr>
              <w:t>=1人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745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B023">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67659CC0">
            <w:pPr>
              <w:jc w:val="center"/>
            </w:pPr>
          </w:p>
        </w:tc>
      </w:tr>
      <w:tr w14:paraId="13093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B1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726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8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40C8">
            <w:pPr>
              <w:jc w:val="center"/>
            </w:pPr>
            <w:r>
              <w:rPr>
                <w:rFonts w:ascii="宋体" w:hAnsi="宋体" w:eastAsia="宋体"/>
                <w:sz w:val="16"/>
              </w:rPr>
              <w:t>房屋租赁数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4E20D0">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C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EFDA">
            <w:pPr>
              <w:jc w:val="center"/>
            </w:pPr>
            <w:r>
              <w:rPr>
                <w:rFonts w:hint="eastAsia"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156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96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7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4616">
            <w:pPr>
              <w:jc w:val="center"/>
            </w:pPr>
            <w:r>
              <w:rPr>
                <w:rFonts w:ascii="宋体" w:hAnsi="宋体" w:eastAsia="宋体"/>
                <w:sz w:val="16"/>
              </w:rPr>
              <w:t>=1套</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53B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E751">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337C154">
            <w:pPr>
              <w:jc w:val="center"/>
            </w:pPr>
          </w:p>
        </w:tc>
      </w:tr>
      <w:tr w14:paraId="318FD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1C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CF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9B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987A">
            <w:pPr>
              <w:jc w:val="center"/>
            </w:pPr>
            <w:r>
              <w:rPr>
                <w:rFonts w:ascii="宋体" w:hAnsi="宋体" w:eastAsia="宋体"/>
                <w:sz w:val="16"/>
              </w:rPr>
              <w:t>发放专家劳务费次数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C7FB9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3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2088">
            <w:pPr>
              <w:jc w:val="center"/>
            </w:pPr>
            <w:r>
              <w:rPr>
                <w:rFonts w:hint="eastAsia"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A50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E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E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CF3C">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883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6F0D">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F49ADC8">
            <w:pPr>
              <w:jc w:val="center"/>
            </w:pPr>
          </w:p>
        </w:tc>
      </w:tr>
      <w:tr w14:paraId="64A1F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30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ED6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7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FE80">
            <w:pPr>
              <w:jc w:val="center"/>
            </w:pPr>
            <w:r>
              <w:rPr>
                <w:rFonts w:ascii="宋体" w:hAnsi="宋体" w:eastAsia="宋体"/>
                <w:sz w:val="16"/>
              </w:rPr>
              <w:t>专家实地考察次数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33D4D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88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8D68">
            <w:pPr>
              <w:jc w:val="center"/>
            </w:pPr>
            <w:r>
              <w:rPr>
                <w:rFonts w:hint="eastAsia"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FB2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6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57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59C8">
            <w:pPr>
              <w:jc w:val="center"/>
            </w:pPr>
            <w:r>
              <w:rPr>
                <w:rFonts w:ascii="宋体" w:hAnsi="宋体" w:eastAsia="宋体"/>
                <w:sz w:val="16"/>
              </w:rPr>
              <w:t>=1次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893A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1CE8">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C083657">
            <w:pPr>
              <w:jc w:val="center"/>
            </w:pPr>
          </w:p>
        </w:tc>
      </w:tr>
      <w:tr w14:paraId="2BC5D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58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3A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030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0AA4">
            <w:pPr>
              <w:jc w:val="center"/>
            </w:pPr>
            <w:r>
              <w:rPr>
                <w:rFonts w:ascii="宋体" w:hAnsi="宋体" w:eastAsia="宋体"/>
                <w:sz w:val="16"/>
              </w:rPr>
              <w:t>劳务费发放保障率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BE1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E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2FEB">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72B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4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B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733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587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7678">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4030332F">
            <w:pPr>
              <w:jc w:val="center"/>
            </w:pPr>
          </w:p>
        </w:tc>
      </w:tr>
      <w:tr w14:paraId="3A732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3B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3B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64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3912">
            <w:pPr>
              <w:jc w:val="center"/>
            </w:pPr>
            <w:r>
              <w:rPr>
                <w:rFonts w:ascii="宋体" w:hAnsi="宋体" w:eastAsia="宋体"/>
                <w:sz w:val="16"/>
              </w:rPr>
              <w:t>报销差旅费保障率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CCEB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6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9CEA">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1C8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93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1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E20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742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1ABB">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A949143">
            <w:pPr>
              <w:jc w:val="center"/>
            </w:pPr>
          </w:p>
        </w:tc>
      </w:tr>
      <w:tr w14:paraId="5A525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58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06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DF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3171">
            <w:pPr>
              <w:jc w:val="center"/>
            </w:pPr>
            <w:r>
              <w:rPr>
                <w:rFonts w:ascii="宋体" w:hAnsi="宋体" w:eastAsia="宋体"/>
                <w:sz w:val="16"/>
              </w:rPr>
              <w:t>房屋租赁及物业服务费用补贴保障率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56F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3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A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4E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281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C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4F7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644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DC46">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9878801">
            <w:pPr>
              <w:jc w:val="center"/>
            </w:pPr>
          </w:p>
        </w:tc>
      </w:tr>
      <w:tr w14:paraId="21CA0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D3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9A2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E26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B372">
            <w:pPr>
              <w:jc w:val="center"/>
            </w:pPr>
            <w:r>
              <w:rPr>
                <w:rFonts w:ascii="宋体" w:hAnsi="宋体" w:eastAsia="宋体"/>
                <w:sz w:val="16"/>
              </w:rPr>
              <w:t>劳务费发放及时率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C3B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C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DC22">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F4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D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FC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EA3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13B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279D">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97B77EF">
            <w:pPr>
              <w:jc w:val="center"/>
            </w:pPr>
          </w:p>
        </w:tc>
      </w:tr>
      <w:tr w14:paraId="40A62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2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707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E78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B428">
            <w:pPr>
              <w:jc w:val="center"/>
            </w:pPr>
            <w:r>
              <w:rPr>
                <w:rFonts w:ascii="宋体" w:hAnsi="宋体" w:eastAsia="宋体"/>
                <w:sz w:val="16"/>
              </w:rPr>
              <w:t>差旅费报销及时率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25C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8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DE80">
            <w:pPr>
              <w:jc w:val="center"/>
            </w:pPr>
            <w:r>
              <w:rPr>
                <w:rFonts w:hint="eastAsia"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50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F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1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39A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479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EEB1">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C765EE7">
            <w:pPr>
              <w:jc w:val="center"/>
            </w:pPr>
          </w:p>
        </w:tc>
      </w:tr>
      <w:tr w14:paraId="1EEC8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1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A8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34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2515">
            <w:pPr>
              <w:jc w:val="center"/>
            </w:pPr>
            <w:r>
              <w:rPr>
                <w:rFonts w:ascii="宋体" w:hAnsi="宋体" w:eastAsia="宋体"/>
                <w:sz w:val="16"/>
              </w:rPr>
              <w:t>房屋租赁及物业服务费用补贴及时率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E66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C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67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6D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F3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E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11E2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39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867D">
            <w:pPr>
              <w:jc w:val="center"/>
            </w:pPr>
            <w:r>
              <w:rPr>
                <w:rFonts w:ascii="宋体" w:hAnsi="宋体" w:eastAsia="宋体"/>
                <w:sz w:val="16"/>
              </w:rPr>
              <w:t>4</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223CA76">
            <w:pPr>
              <w:jc w:val="center"/>
            </w:pPr>
          </w:p>
        </w:tc>
      </w:tr>
      <w:tr w14:paraId="5129E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102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DF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55A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C378">
            <w:pPr>
              <w:jc w:val="center"/>
            </w:pPr>
            <w:r>
              <w:rPr>
                <w:rFonts w:hint="eastAsia" w:ascii="宋体" w:hAnsi="宋体"/>
                <w:sz w:val="16"/>
                <w:lang w:eastAsia="zh-CN"/>
              </w:rPr>
              <w:t>房屋</w:t>
            </w:r>
            <w:r>
              <w:rPr>
                <w:rFonts w:ascii="宋体" w:hAnsi="宋体" w:eastAsia="宋体"/>
                <w:sz w:val="16"/>
              </w:rPr>
              <w:t>租赁及物业服务费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2A157">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A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67FB">
            <w:pPr>
              <w:jc w:val="center"/>
            </w:pPr>
            <w:r>
              <w:rPr>
                <w:rFonts w:hint="eastAsia"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E0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9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7B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9875">
            <w:pPr>
              <w:jc w:val="center"/>
            </w:pPr>
            <w:r>
              <w:rPr>
                <w:rFonts w:ascii="宋体" w:hAnsi="宋体" w:eastAsia="宋体"/>
                <w:sz w:val="16"/>
              </w:rPr>
              <w:t>=0.45万元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6D4E63">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9E17">
            <w:pPr>
              <w:jc w:val="center"/>
            </w:pPr>
            <w:r>
              <w:rPr>
                <w:rFonts w:ascii="宋体" w:hAnsi="宋体" w:eastAsia="宋体"/>
                <w:sz w:val="16"/>
              </w:rPr>
              <w:t>1.88</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6581AAEE">
            <w:pPr>
              <w:jc w:val="center"/>
            </w:pPr>
            <w:r>
              <w:rPr>
                <w:rFonts w:ascii="宋体" w:hAnsi="宋体" w:eastAsia="宋体"/>
                <w:sz w:val="16"/>
              </w:rPr>
              <w:t>因项目提前完成，提前解约房屋租赁，相应的房租及物业服务费减少，未全部支出；改进措施：年底结余资金</w:t>
            </w:r>
            <w:r>
              <w:rPr>
                <w:rFonts w:hint="eastAsia" w:ascii="宋体" w:hAnsi="宋体"/>
                <w:sz w:val="16"/>
                <w:lang w:eastAsia="zh-CN"/>
              </w:rPr>
              <w:t>上缴</w:t>
            </w:r>
            <w:r>
              <w:rPr>
                <w:rFonts w:ascii="宋体" w:hAnsi="宋体" w:eastAsia="宋体"/>
                <w:sz w:val="16"/>
              </w:rPr>
              <w:t>财政，来年提高设定指标的准确性、精确性。</w:t>
            </w:r>
          </w:p>
        </w:tc>
      </w:tr>
      <w:tr w14:paraId="05261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889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94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A8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4FE5">
            <w:pPr>
              <w:jc w:val="center"/>
            </w:pPr>
            <w:r>
              <w:rPr>
                <w:rFonts w:ascii="宋体" w:hAnsi="宋体" w:eastAsia="宋体"/>
                <w:sz w:val="16"/>
              </w:rPr>
              <w:t>专家劳务费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33AC2F">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A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E331">
            <w:pPr>
              <w:jc w:val="center"/>
            </w:pPr>
            <w:r>
              <w:rPr>
                <w:rFonts w:hint="eastAsia" w:ascii="宋体" w:hAnsi="宋体" w:eastAsia="宋体"/>
                <w:sz w:val="16"/>
              </w:rPr>
              <w: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B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7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455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4842">
            <w:pPr>
              <w:jc w:val="center"/>
            </w:pPr>
            <w:r>
              <w:rPr>
                <w:rFonts w:ascii="宋体" w:hAnsi="宋体" w:eastAsia="宋体"/>
                <w:sz w:val="16"/>
              </w:rPr>
              <w:t>=7.5万元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970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9DEB">
            <w:pPr>
              <w:jc w:val="center"/>
            </w:pPr>
            <w:r>
              <w:rPr>
                <w:rFonts w:ascii="宋体" w:hAnsi="宋体" w:eastAsia="宋体"/>
                <w:sz w:val="16"/>
              </w:rPr>
              <w:t>10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32C1607">
            <w:pPr>
              <w:jc w:val="center"/>
            </w:pPr>
          </w:p>
        </w:tc>
      </w:tr>
      <w:tr w14:paraId="2C436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76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6D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D4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E337">
            <w:pPr>
              <w:jc w:val="center"/>
            </w:pPr>
            <w:r>
              <w:rPr>
                <w:rFonts w:ascii="宋体" w:hAnsi="宋体" w:eastAsia="宋体"/>
                <w:sz w:val="16"/>
              </w:rPr>
              <w:t>实地考察差旅费</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5CE28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6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542E">
            <w:pPr>
              <w:jc w:val="center"/>
            </w:pPr>
            <w:r>
              <w:rPr>
                <w:rFonts w:hint="eastAsia"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90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3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A2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9A75">
            <w:pPr>
              <w:jc w:val="center"/>
            </w:pPr>
            <w:r>
              <w:rPr>
                <w:rFonts w:ascii="宋体" w:hAnsi="宋体" w:eastAsia="宋体"/>
                <w:sz w:val="16"/>
              </w:rPr>
              <w:t>=0.49万元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FA4694">
            <w:pPr>
              <w:jc w:val="center"/>
            </w:pPr>
            <w:r>
              <w:rPr>
                <w:rFonts w:ascii="宋体" w:hAnsi="宋体" w:eastAsia="宋体"/>
                <w:sz w:val="16"/>
              </w:rPr>
              <w:t>49.43%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17D6">
            <w:pPr>
              <w:jc w:val="center"/>
            </w:pPr>
            <w:r>
              <w:rPr>
                <w:rFonts w:ascii="宋体" w:hAnsi="宋体" w:eastAsia="宋体"/>
                <w:sz w:val="16"/>
              </w:rPr>
              <w:t>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34967C28">
            <w:pPr>
              <w:jc w:val="center"/>
            </w:pPr>
            <w:r>
              <w:rPr>
                <w:rFonts w:ascii="宋体" w:hAnsi="宋体" w:eastAsia="宋体"/>
                <w:sz w:val="16"/>
              </w:rPr>
              <w:t>因项目提前完成，上半年实际完成了巴州州域内实地考察1次，相应的实地考察差旅费支出了0.49万元，未全部支出；改进措施：年底结余资金</w:t>
            </w:r>
            <w:r>
              <w:rPr>
                <w:rFonts w:hint="eastAsia" w:ascii="宋体" w:hAnsi="宋体"/>
                <w:sz w:val="16"/>
                <w:lang w:eastAsia="zh-CN"/>
              </w:rPr>
              <w:t>上缴</w:t>
            </w:r>
            <w:r>
              <w:rPr>
                <w:rFonts w:ascii="宋体" w:hAnsi="宋体" w:eastAsia="宋体"/>
                <w:sz w:val="16"/>
              </w:rPr>
              <w:t>财政，来年提高设定指标的准确性、精确性。</w:t>
            </w:r>
          </w:p>
        </w:tc>
      </w:tr>
      <w:tr w14:paraId="16CDA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47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F6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1D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0837">
            <w:pPr>
              <w:jc w:val="center"/>
            </w:pPr>
            <w:r>
              <w:rPr>
                <w:rFonts w:ascii="宋体" w:hAnsi="宋体" w:eastAsia="宋体"/>
                <w:sz w:val="16"/>
              </w:rPr>
              <w:t>园林城市精细化水平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1F903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63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407D">
            <w:pPr>
              <w:jc w:val="center"/>
            </w:pPr>
            <w:r>
              <w:rPr>
                <w:rFonts w:hint="eastAsia"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B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857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F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C89B">
            <w:pPr>
              <w:jc w:val="center"/>
            </w:pPr>
            <w:r>
              <w:rPr>
                <w:rFonts w:ascii="宋体" w:hAnsi="宋体" w:eastAsia="宋体"/>
                <w:sz w:val="16"/>
              </w:rPr>
              <w:t>达成目标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44B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86DB">
            <w:pPr>
              <w:jc w:val="center"/>
            </w:pPr>
            <w:r>
              <w:rPr>
                <w:rFonts w:ascii="宋体" w:hAnsi="宋体" w:eastAsia="宋体"/>
                <w:sz w:val="16"/>
              </w:rPr>
              <w:t>20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611CA6F">
            <w:pPr>
              <w:jc w:val="center"/>
            </w:pPr>
          </w:p>
        </w:tc>
      </w:tr>
      <w:tr w14:paraId="3C93C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E2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95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D1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E386">
            <w:pPr>
              <w:jc w:val="center"/>
            </w:pPr>
            <w:r>
              <w:rPr>
                <w:rFonts w:ascii="宋体" w:hAnsi="宋体" w:eastAsia="宋体"/>
                <w:sz w:val="16"/>
              </w:rPr>
              <w:t>考察对象对专家满意度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C993B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0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75B9">
            <w:pPr>
              <w:jc w:val="center"/>
            </w:pPr>
            <w:r>
              <w:rPr>
                <w:rFonts w:hint="eastAsia"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7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C4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63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AD45">
            <w:pPr>
              <w:jc w:val="center"/>
            </w:pPr>
            <w:r>
              <w:rPr>
                <w:rFonts w:ascii="宋体" w:hAnsi="宋体" w:eastAsia="宋体"/>
                <w:sz w:val="16"/>
              </w:rPr>
              <w: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83C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ABAD">
            <w:pPr>
              <w:jc w:val="center"/>
            </w:pPr>
            <w:r>
              <w:rPr>
                <w:rFonts w:ascii="宋体" w:hAnsi="宋体" w:eastAsia="宋体"/>
                <w:sz w:val="16"/>
              </w:rPr>
              <w:t>10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37CE260E">
            <w:pPr>
              <w:jc w:val="center"/>
            </w:pPr>
          </w:p>
        </w:tc>
      </w:tr>
      <w:tr w14:paraId="5FC816C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05BC97">
            <w:pPr>
              <w:jc w:val="center"/>
            </w:pPr>
            <w:r>
              <w:rPr>
                <w:rFonts w:ascii="宋体" w:hAnsi="宋体" w:eastAsia="宋体"/>
                <w:sz w:val="16"/>
              </w:rPr>
              <w:t>总分</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63E93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A69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C5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F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79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C1D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6FC56"/>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6101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DDE1">
            <w:pPr>
              <w:jc w:val="center"/>
            </w:pPr>
            <w:r>
              <w:rPr>
                <w:rFonts w:ascii="宋体" w:hAnsi="宋体" w:eastAsia="宋体"/>
                <w:sz w:val="16"/>
              </w:rPr>
              <w:t>90.07分</w:t>
            </w:r>
          </w:p>
        </w:tc>
        <w:tc>
          <w:tcPr>
            <w:tcW w:w="756" w:type="dxa"/>
            <w:tcBorders>
              <w:top w:val="single" w:color="auto" w:sz="10" w:space="0"/>
              <w:left w:val="single" w:color="auto" w:sz="10" w:space="0"/>
              <w:bottom w:val="single" w:color="auto" w:sz="10" w:space="0"/>
              <w:right w:val="single" w:color="auto" w:sz="10" w:space="0"/>
              <w:insideV w:val="single" w:sz="10" w:space="0"/>
            </w:tcBorders>
          </w:tcPr>
          <w:p w14:paraId="5D96E403"/>
        </w:tc>
      </w:tr>
    </w:tbl>
    <w:p w14:paraId="53E039AA">
      <w:r>
        <w:br w:type="page"/>
      </w:r>
    </w:p>
    <w:p w14:paraId="6946BD80">
      <w:pPr>
        <w:spacing w:line="640" w:lineRule="exact"/>
        <w:ind w:firstLine="640"/>
        <w:jc w:val="both"/>
        <w:outlineLvl w:val="2"/>
      </w:pPr>
      <w:r>
        <w:rPr>
          <w:rFonts w:ascii="黑体" w:hAnsi="黑体" w:eastAsia="黑体"/>
          <w:sz w:val="32"/>
        </w:rPr>
        <w:t>十二、其他需说明的事项</w:t>
      </w:r>
    </w:p>
    <w:p w14:paraId="3CE755BC">
      <w:pPr>
        <w:spacing w:line="580" w:lineRule="exact"/>
        <w:ind w:firstLine="640"/>
        <w:jc w:val="both"/>
      </w:pPr>
      <w:r>
        <w:rPr>
          <w:rFonts w:ascii="仿宋_GB2312" w:hAnsi="仿宋_GB2312" w:eastAsia="仿宋_GB2312"/>
          <w:b w:val="0"/>
          <w:sz w:val="32"/>
        </w:rPr>
        <w:t>本部门无其他需说明的事项。</w:t>
      </w:r>
    </w:p>
    <w:p w14:paraId="2DF4F8FE">
      <w:r>
        <w:br w:type="page"/>
      </w:r>
    </w:p>
    <w:p w14:paraId="3542018B">
      <w:pPr>
        <w:spacing w:line="240" w:lineRule="auto"/>
        <w:jc w:val="center"/>
        <w:outlineLvl w:val="1"/>
      </w:pPr>
      <w:r>
        <w:rPr>
          <w:rFonts w:ascii="黑体" w:hAnsi="黑体" w:eastAsia="黑体"/>
          <w:sz w:val="32"/>
        </w:rPr>
        <w:t>第三部分 专业名词解释</w:t>
      </w:r>
    </w:p>
    <w:p w14:paraId="5E7CA9F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A844C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68A2C7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41986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FF711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2AC9C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14FF1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93E5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CAE4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F1A48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513A90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5FF3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222A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D441C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D0EE7A4">
      <w:r>
        <w:br w:type="page"/>
      </w:r>
    </w:p>
    <w:p w14:paraId="4CB45D1D">
      <w:pPr>
        <w:spacing w:line="240" w:lineRule="auto"/>
        <w:jc w:val="center"/>
        <w:outlineLvl w:val="1"/>
      </w:pPr>
      <w:r>
        <w:rPr>
          <w:rFonts w:ascii="黑体" w:hAnsi="黑体" w:eastAsia="黑体"/>
          <w:sz w:val="32"/>
        </w:rPr>
        <w:t>第四部分 部门决算报表（见附表）</w:t>
      </w:r>
    </w:p>
    <w:p w14:paraId="6669168E">
      <w:pPr>
        <w:spacing w:line="240" w:lineRule="auto"/>
        <w:ind w:firstLine="640"/>
        <w:jc w:val="both"/>
      </w:pPr>
      <w:r>
        <w:rPr>
          <w:rFonts w:ascii="仿宋_GB2312" w:hAnsi="仿宋_GB2312" w:eastAsia="仿宋_GB2312"/>
          <w:b w:val="0"/>
          <w:sz w:val="32"/>
        </w:rPr>
        <w:t>一、《收入支出决算总表》</w:t>
      </w:r>
    </w:p>
    <w:p w14:paraId="7F51EAA8">
      <w:pPr>
        <w:spacing w:line="240" w:lineRule="auto"/>
        <w:ind w:firstLine="640"/>
        <w:jc w:val="both"/>
      </w:pPr>
      <w:r>
        <w:rPr>
          <w:rFonts w:ascii="仿宋_GB2312" w:hAnsi="仿宋_GB2312" w:eastAsia="仿宋_GB2312"/>
          <w:b w:val="0"/>
          <w:sz w:val="32"/>
        </w:rPr>
        <w:t>二、《收入决算表》</w:t>
      </w:r>
    </w:p>
    <w:p w14:paraId="32E32CD0">
      <w:pPr>
        <w:spacing w:line="240" w:lineRule="auto"/>
        <w:ind w:firstLine="640"/>
        <w:jc w:val="both"/>
      </w:pPr>
      <w:r>
        <w:rPr>
          <w:rFonts w:ascii="仿宋_GB2312" w:hAnsi="仿宋_GB2312" w:eastAsia="仿宋_GB2312"/>
          <w:b w:val="0"/>
          <w:sz w:val="32"/>
        </w:rPr>
        <w:t>三、《支出决算表》</w:t>
      </w:r>
    </w:p>
    <w:p w14:paraId="58E74E80">
      <w:pPr>
        <w:spacing w:line="240" w:lineRule="auto"/>
        <w:ind w:firstLine="640"/>
        <w:jc w:val="both"/>
      </w:pPr>
      <w:r>
        <w:rPr>
          <w:rFonts w:ascii="仿宋_GB2312" w:hAnsi="仿宋_GB2312" w:eastAsia="仿宋_GB2312"/>
          <w:b w:val="0"/>
          <w:sz w:val="32"/>
        </w:rPr>
        <w:t>四、《财政拨款收入支出决算总表》</w:t>
      </w:r>
    </w:p>
    <w:p w14:paraId="64BAD365">
      <w:pPr>
        <w:spacing w:line="240" w:lineRule="auto"/>
        <w:ind w:firstLine="640"/>
        <w:jc w:val="both"/>
      </w:pPr>
      <w:r>
        <w:rPr>
          <w:rFonts w:ascii="仿宋_GB2312" w:hAnsi="仿宋_GB2312" w:eastAsia="仿宋_GB2312"/>
          <w:b w:val="0"/>
          <w:sz w:val="32"/>
        </w:rPr>
        <w:t>五、《一般公共预算财政拨款支出决算表》</w:t>
      </w:r>
    </w:p>
    <w:p w14:paraId="6C7CCF52">
      <w:pPr>
        <w:spacing w:line="240" w:lineRule="auto"/>
        <w:ind w:firstLine="640"/>
        <w:jc w:val="both"/>
      </w:pPr>
      <w:r>
        <w:rPr>
          <w:rFonts w:ascii="仿宋_GB2312" w:hAnsi="仿宋_GB2312" w:eastAsia="仿宋_GB2312"/>
          <w:b w:val="0"/>
          <w:sz w:val="32"/>
        </w:rPr>
        <w:t>六、《一般公共预算财政拨款基本支出决算表》</w:t>
      </w:r>
    </w:p>
    <w:p w14:paraId="0BD26BAC">
      <w:pPr>
        <w:spacing w:line="240" w:lineRule="auto"/>
        <w:ind w:firstLine="640"/>
        <w:jc w:val="both"/>
      </w:pPr>
      <w:r>
        <w:rPr>
          <w:rFonts w:ascii="仿宋_GB2312" w:hAnsi="仿宋_GB2312" w:eastAsia="仿宋_GB2312"/>
          <w:b w:val="0"/>
          <w:sz w:val="32"/>
        </w:rPr>
        <w:t>七、《政府性基金预算财政拨款收入支出决算表》</w:t>
      </w:r>
    </w:p>
    <w:p w14:paraId="3FE37943">
      <w:pPr>
        <w:spacing w:line="240" w:lineRule="auto"/>
        <w:ind w:firstLine="640"/>
        <w:jc w:val="both"/>
      </w:pPr>
      <w:r>
        <w:rPr>
          <w:rFonts w:ascii="仿宋_GB2312" w:hAnsi="仿宋_GB2312" w:eastAsia="仿宋_GB2312"/>
          <w:b w:val="0"/>
          <w:sz w:val="32"/>
        </w:rPr>
        <w:t>八、《国有资本经营预算财政拨款收入支出决算表》</w:t>
      </w:r>
    </w:p>
    <w:p w14:paraId="764DFE4E">
      <w:pPr>
        <w:spacing w:line="240" w:lineRule="auto"/>
        <w:ind w:firstLine="640"/>
        <w:jc w:val="both"/>
      </w:pPr>
      <w:r>
        <w:rPr>
          <w:rFonts w:ascii="仿宋_GB2312" w:hAnsi="仿宋_GB2312" w:eastAsia="仿宋_GB2312"/>
          <w:b w:val="0"/>
          <w:sz w:val="32"/>
        </w:rPr>
        <w:t>九、《财政拨款“三公”经费支出决算表》</w:t>
      </w:r>
    </w:p>
    <w:p w14:paraId="76B55373">
      <w:pPr>
        <w:spacing w:line="240" w:lineRule="auto"/>
        <w:ind w:firstLine="640"/>
        <w:jc w:val="both"/>
      </w:pPr>
    </w:p>
    <w:p w14:paraId="4DB2055C">
      <w:pPr>
        <w:spacing w:line="240" w:lineRule="auto"/>
        <w:ind w:firstLine="640"/>
        <w:jc w:val="both"/>
      </w:pPr>
    </w:p>
    <w:p w14:paraId="1CB7363C">
      <w:pPr>
        <w:spacing w:line="240" w:lineRule="auto"/>
        <w:ind w:firstLine="640"/>
        <w:jc w:val="both"/>
      </w:pPr>
    </w:p>
    <w:p w14:paraId="3D061954">
      <w:pPr>
        <w:spacing w:line="240" w:lineRule="auto"/>
        <w:ind w:firstLine="640"/>
        <w:jc w:val="both"/>
      </w:pPr>
    </w:p>
    <w:p w14:paraId="1E96BF1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E00D57-0F05-44C2-BBBC-ABF197E7E44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37661B7-4321-4FFE-8141-BCD35908160B}"/>
  </w:font>
  <w:font w:name="仿宋_GB2312">
    <w:panose1 w:val="02010609030101010101"/>
    <w:charset w:val="86"/>
    <w:family w:val="modern"/>
    <w:pitch w:val="default"/>
    <w:sig w:usb0="00000001" w:usb1="080E0000" w:usb2="00000000" w:usb3="00000000" w:csb0="00040000" w:csb1="00000000"/>
    <w:embedRegular r:id="rId3" w:fontKey="{AE32A8D0-15FF-453D-8042-816600636990}"/>
  </w:font>
  <w:font w:name="楷体_GB2312">
    <w:panose1 w:val="02010609030101010101"/>
    <w:charset w:val="86"/>
    <w:family w:val="auto"/>
    <w:pitch w:val="default"/>
    <w:sig w:usb0="00000001" w:usb1="080E0000" w:usb2="00000000" w:usb3="00000000" w:csb0="00040000" w:csb1="00000000"/>
    <w:embedRegular r:id="rId4" w:fontKey="{8D3FFC6C-23E7-4A7B-A270-88BE82BFE6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D768DC"/>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F26A64"/>
    <w:rsid w:val="5AFC6609"/>
    <w:rsid w:val="5FA17648"/>
    <w:rsid w:val="5FD320BD"/>
    <w:rsid w:val="60DE4D57"/>
    <w:rsid w:val="613409CB"/>
    <w:rsid w:val="61877245"/>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7129</Words>
  <Characters>7980</Characters>
  <Lines>0</Lines>
  <Paragraphs>0</Paragraphs>
  <TotalTime>13</TotalTime>
  <ScaleCrop>false</ScaleCrop>
  <LinksUpToDate>false</LinksUpToDate>
  <CharactersWithSpaces>7990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2025-09-12T02:38:05Z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