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新疆巴音郭楞蒙古自治州建设工程服务中心2024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2610AB">
      <w:r>
        <w:br w:type="page"/>
      </w:r>
    </w:p>
    <w:p w14:paraId="6950F8B5">
      <w:pPr>
        <w:spacing w:line="640" w:lineRule="exact"/>
        <w:jc w:val="center"/>
        <w:outlineLvl w:val="1"/>
      </w:pPr>
      <w:r>
        <w:rPr>
          <w:rFonts w:ascii="黑体" w:hAnsi="黑体" w:eastAsia="黑体"/>
          <w:sz w:val="32"/>
        </w:rPr>
        <w:t>第一部分 单位概况</w:t>
      </w:r>
    </w:p>
    <w:p w14:paraId="2E90EFF1">
      <w:pPr>
        <w:spacing w:line="640" w:lineRule="exact"/>
        <w:ind w:firstLine="640"/>
        <w:jc w:val="both"/>
        <w:outlineLvl w:val="2"/>
      </w:pPr>
      <w:r>
        <w:rPr>
          <w:rFonts w:ascii="黑体" w:hAnsi="黑体" w:eastAsia="黑体"/>
          <w:sz w:val="32"/>
        </w:rPr>
        <w:t>一、主要职能</w:t>
      </w:r>
    </w:p>
    <w:p w14:paraId="371A0576">
      <w:pPr>
        <w:spacing w:line="580" w:lineRule="exact"/>
        <w:ind w:firstLine="640"/>
        <w:jc w:val="both"/>
      </w:pPr>
      <w:r>
        <w:rPr>
          <w:rFonts w:ascii="仿宋_GB2312" w:hAnsi="仿宋_GB2312" w:eastAsia="仿宋_GB2312"/>
          <w:sz w:val="32"/>
        </w:rPr>
        <w:t>（一）贯彻落实国家、自治区关于住房和城乡建设与人民防空的法律、法规、方针、政策。承担全州住房和城乡建设与人民防空工作的政策咨询、技术支持和调研服务。</w:t>
      </w:r>
    </w:p>
    <w:p w14:paraId="203CE644">
      <w:pPr>
        <w:spacing w:line="580" w:lineRule="exact"/>
        <w:ind w:firstLine="640"/>
        <w:jc w:val="both"/>
      </w:pPr>
      <w:r>
        <w:rPr>
          <w:rFonts w:ascii="仿宋_GB2312" w:hAnsi="仿宋_GB2312" w:eastAsia="仿宋_GB2312"/>
          <w:sz w:val="32"/>
        </w:rPr>
        <w:t>（二）负责城市和建筑设计的政策咨询、技术服务等相关工作。</w:t>
      </w:r>
    </w:p>
    <w:p w14:paraId="5E6F16F1">
      <w:pPr>
        <w:spacing w:line="580" w:lineRule="exact"/>
        <w:ind w:firstLine="640"/>
        <w:jc w:val="both"/>
      </w:pPr>
      <w:r>
        <w:rPr>
          <w:rFonts w:ascii="仿宋_GB2312" w:hAnsi="仿宋_GB2312" w:eastAsia="仿宋_GB2312"/>
          <w:sz w:val="32"/>
        </w:rPr>
        <w:t>（三）指导城市管理相关工作；组织研究、实施城市建设和市政公用事业的发展战略、中长期规划、改革措施、行业政策；编制人民防空工作中长期发展规划和年度计划并组织实施；负责市政公用事业的政策咨询、技术服务等相关工作；指导城市园林绿化、供水、排水（生活污水）、燃气、供热、市政道路桥梁设施建设、城市市容环境治理等工作并提供服务；指导城市建设档案管理；负责城市建设统计。</w:t>
      </w:r>
    </w:p>
    <w:p w14:paraId="73084C24">
      <w:pPr>
        <w:spacing w:line="580" w:lineRule="exact"/>
        <w:ind w:firstLine="640"/>
        <w:jc w:val="both"/>
      </w:pPr>
      <w:r>
        <w:rPr>
          <w:rFonts w:ascii="仿宋_GB2312" w:hAnsi="仿宋_GB2312" w:eastAsia="仿宋_GB2312"/>
          <w:sz w:val="32"/>
        </w:rPr>
        <w:t>（四）指导农村危房改造、农村住房建设和农村生活垃圾专项治理。</w:t>
      </w:r>
    </w:p>
    <w:p w14:paraId="2AEBF5AA">
      <w:pPr>
        <w:spacing w:line="580" w:lineRule="exact"/>
        <w:ind w:firstLine="640"/>
        <w:jc w:val="both"/>
      </w:pPr>
      <w:r>
        <w:rPr>
          <w:rFonts w:ascii="仿宋_GB2312" w:hAnsi="仿宋_GB2312" w:eastAsia="仿宋_GB2312"/>
          <w:sz w:val="32"/>
        </w:rPr>
        <w:t>（五）指导县市组织实施城镇保障性住房工程；指导住房改革、房屋征收、危房鉴定、物业管理、房地产中介机构规范运行等相关工作。</w:t>
      </w:r>
    </w:p>
    <w:p w14:paraId="2C7714EE">
      <w:pPr>
        <w:spacing w:line="580" w:lineRule="exact"/>
        <w:ind w:firstLine="640"/>
        <w:jc w:val="both"/>
      </w:pPr>
      <w:r>
        <w:rPr>
          <w:rFonts w:ascii="仿宋_GB2312" w:hAnsi="仿宋_GB2312" w:eastAsia="仿宋_GB2312"/>
          <w:sz w:val="32"/>
        </w:rPr>
        <w:t>（六）落实勘察、设计、招投标、施工质量安全、监理和相关中介服务管理的规章制度；负责房屋建筑和市政基础设施工程勘察、设计、施工、监理以及与工程建设有关的重要设备、材料采购招标投标相关服务等工作。</w:t>
      </w:r>
    </w:p>
    <w:p w14:paraId="6EA5C8A3">
      <w:pPr>
        <w:spacing w:line="580" w:lineRule="exact"/>
        <w:ind w:firstLine="640"/>
        <w:jc w:val="both"/>
      </w:pPr>
      <w:r>
        <w:rPr>
          <w:rFonts w:ascii="仿宋_GB2312" w:hAnsi="仿宋_GB2312" w:eastAsia="仿宋_GB2312"/>
          <w:sz w:val="32"/>
        </w:rPr>
        <w:t>（七）负责房屋建筑和市政基础设施建设工程质量的相关工作。</w:t>
      </w:r>
    </w:p>
    <w:p w14:paraId="1C61E448">
      <w:pPr>
        <w:spacing w:line="580" w:lineRule="exact"/>
        <w:ind w:firstLine="640"/>
        <w:jc w:val="both"/>
      </w:pPr>
      <w:r>
        <w:rPr>
          <w:rFonts w:ascii="仿宋_GB2312" w:hAnsi="仿宋_GB2312" w:eastAsia="仿宋_GB2312"/>
          <w:sz w:val="32"/>
        </w:rPr>
        <w:t>（八）负责房屋建筑和市政基础设施建设工程安全的相关工作。</w:t>
      </w:r>
    </w:p>
    <w:p w14:paraId="2B8F00A2">
      <w:pPr>
        <w:spacing w:line="580" w:lineRule="exact"/>
        <w:ind w:firstLine="640"/>
        <w:jc w:val="both"/>
      </w:pPr>
      <w:r>
        <w:rPr>
          <w:rFonts w:ascii="仿宋_GB2312" w:hAnsi="仿宋_GB2312" w:eastAsia="仿宋_GB2312"/>
          <w:sz w:val="32"/>
        </w:rPr>
        <w:t>（九）贯彻落实国家标准、全国统一定额和行业标准及全州工程造价管理办法；贯彻执行建筑节能法律、法规、规章和规划；负责收集、监测、整理、发布建设工程造价市场信息和工程造价指数等工作；积极推进建设工程造价行业诚信管理体系建设；组织实施各类工程建设标准定额。</w:t>
      </w:r>
    </w:p>
    <w:p w14:paraId="4327499C">
      <w:pPr>
        <w:spacing w:line="580" w:lineRule="exact"/>
        <w:ind w:firstLine="640"/>
        <w:jc w:val="both"/>
      </w:pPr>
      <w:r>
        <w:rPr>
          <w:rFonts w:ascii="仿宋_GB2312" w:hAnsi="仿宋_GB2312" w:eastAsia="仿宋_GB2312"/>
          <w:sz w:val="32"/>
        </w:rPr>
        <w:t>（十）指导全州人民防空工程建设与管理相关工作。</w:t>
      </w:r>
    </w:p>
    <w:p w14:paraId="74A8C512">
      <w:pPr>
        <w:spacing w:line="580" w:lineRule="exact"/>
        <w:ind w:firstLine="640"/>
        <w:jc w:val="both"/>
      </w:pPr>
      <w:r>
        <w:rPr>
          <w:rFonts w:ascii="仿宋_GB2312" w:hAnsi="仿宋_GB2312" w:eastAsia="仿宋_GB2312"/>
          <w:sz w:val="32"/>
        </w:rPr>
        <w:t>（十一）负责州本级人民防空组织指挥、通信、警报、信息化建设与管理，指导县市编制防空袭预案并组织实施专项演习（练），指导全州重要经济目标防护和人民防空平战结合工作。</w:t>
      </w:r>
    </w:p>
    <w:p w14:paraId="5703B164">
      <w:pPr>
        <w:spacing w:line="580" w:lineRule="exact"/>
        <w:ind w:firstLine="640"/>
        <w:jc w:val="both"/>
      </w:pPr>
      <w:r>
        <w:rPr>
          <w:rFonts w:ascii="仿宋_GB2312" w:hAnsi="仿宋_GB2312" w:eastAsia="仿宋_GB2312"/>
          <w:sz w:val="32"/>
        </w:rPr>
        <w:t>（十二）指导城乡建设抗震防灾工作。组织实施城乡抗震减灾、市政设施安全管理规划；实施各类房屋建筑及其附属设施、城市市政工程的抗震设计规范；指导震后重建工作；指导城市地下空间的开发利用。</w:t>
      </w:r>
    </w:p>
    <w:p w14:paraId="3ED309E7">
      <w:pPr>
        <w:spacing w:line="580" w:lineRule="exact"/>
        <w:ind w:firstLine="640"/>
        <w:jc w:val="both"/>
      </w:pPr>
      <w:r>
        <w:rPr>
          <w:rFonts w:ascii="仿宋_GB2312" w:hAnsi="仿宋_GB2312" w:eastAsia="仿宋_GB2312"/>
          <w:sz w:val="32"/>
        </w:rPr>
        <w:t>（十三）指导全州房屋建筑、市政设施突发公共事件应急处置等相关工作。</w:t>
      </w:r>
    </w:p>
    <w:p w14:paraId="472D4025">
      <w:pPr>
        <w:spacing w:line="580" w:lineRule="exact"/>
        <w:ind w:firstLine="640"/>
        <w:jc w:val="both"/>
      </w:pPr>
      <w:r>
        <w:rPr>
          <w:rFonts w:ascii="仿宋_GB2312" w:hAnsi="仿宋_GB2312" w:eastAsia="仿宋_GB2312"/>
          <w:sz w:val="32"/>
        </w:rPr>
        <w:t>（十四）指导建设工程消防等相关工作。</w:t>
      </w:r>
    </w:p>
    <w:p w14:paraId="36D381B1">
      <w:pPr>
        <w:spacing w:line="580" w:lineRule="exact"/>
        <w:ind w:firstLine="640"/>
        <w:jc w:val="both"/>
      </w:pPr>
      <w:r>
        <w:rPr>
          <w:rFonts w:ascii="仿宋_GB2312" w:hAnsi="仿宋_GB2312" w:eastAsia="仿宋_GB2312"/>
          <w:sz w:val="32"/>
        </w:rPr>
        <w:t>（十五）拟订全州住房和城乡建设科技发展规划、计划和技术经济措施，组织重大科技项目攻关合作交流、技术创新与成果推广应用工作。</w:t>
      </w:r>
    </w:p>
    <w:p w14:paraId="58914660">
      <w:pPr>
        <w:spacing w:line="580" w:lineRule="exact"/>
        <w:ind w:firstLine="640"/>
        <w:jc w:val="both"/>
      </w:pPr>
      <w:r>
        <w:rPr>
          <w:rFonts w:ascii="仿宋_GB2312" w:hAnsi="仿宋_GB2312" w:eastAsia="仿宋_GB2312"/>
          <w:sz w:val="32"/>
        </w:rPr>
        <w:t>（十六）组织开展住房和城乡建设行业的对外经济技术合作</w:t>
      </w:r>
      <w:r>
        <w:rPr>
          <w:rFonts w:hint="eastAsia" w:ascii="仿宋_GB2312" w:hAnsi="仿宋_GB2312" w:eastAsia="仿宋_GB2312"/>
          <w:sz w:val="32"/>
          <w:lang w:eastAsia="zh-CN"/>
        </w:rPr>
        <w:t>；</w:t>
      </w:r>
      <w:r>
        <w:rPr>
          <w:rFonts w:ascii="仿宋_GB2312" w:hAnsi="仿宋_GB2312" w:eastAsia="仿宋_GB2312"/>
          <w:sz w:val="32"/>
        </w:rPr>
        <w:t>引导企业开拓国内国际建筑市场和房地产市场，指导协调建筑企业对外工程承包和劳务合作。</w:t>
      </w:r>
    </w:p>
    <w:p w14:paraId="53B0B62C">
      <w:pPr>
        <w:spacing w:line="580" w:lineRule="exact"/>
        <w:ind w:firstLine="640"/>
        <w:jc w:val="both"/>
      </w:pPr>
      <w:r>
        <w:rPr>
          <w:rFonts w:ascii="仿宋_GB2312" w:hAnsi="仿宋_GB2312" w:eastAsia="仿宋_GB2312"/>
          <w:sz w:val="32"/>
        </w:rPr>
        <w:t>（十七）负责住房和城乡建设行业与人民防空宣传教育工作。</w:t>
      </w:r>
    </w:p>
    <w:p w14:paraId="35FF8671">
      <w:pPr>
        <w:spacing w:line="580" w:lineRule="exact"/>
        <w:ind w:firstLine="640"/>
        <w:jc w:val="both"/>
      </w:pPr>
      <w:r>
        <w:rPr>
          <w:rFonts w:ascii="仿宋_GB2312" w:hAnsi="仿宋_GB2312" w:eastAsia="仿宋_GB2312"/>
          <w:sz w:val="32"/>
        </w:rPr>
        <w:t>（十八）组织实施干部职工培训及继续教育工作。</w:t>
      </w:r>
    </w:p>
    <w:p w14:paraId="622497BE">
      <w:pPr>
        <w:spacing w:line="580" w:lineRule="exact"/>
        <w:ind w:firstLine="640"/>
        <w:jc w:val="both"/>
      </w:pPr>
      <w:r>
        <w:rPr>
          <w:rFonts w:ascii="仿宋_GB2312" w:hAnsi="仿宋_GB2312" w:eastAsia="仿宋_GB2312"/>
          <w:sz w:val="32"/>
        </w:rPr>
        <w:t>（十九）指导全州住房和城乡建设行业各类协会的业务工作。</w:t>
      </w:r>
    </w:p>
    <w:p w14:paraId="3FD14B31">
      <w:pPr>
        <w:spacing w:line="580" w:lineRule="exact"/>
        <w:ind w:firstLine="640"/>
        <w:jc w:val="both"/>
      </w:pPr>
      <w:r>
        <w:rPr>
          <w:rFonts w:ascii="仿宋_GB2312" w:hAnsi="仿宋_GB2312" w:eastAsia="仿宋_GB2312"/>
          <w:sz w:val="32"/>
        </w:rPr>
        <w:t>（二十）承担本单位党的建设、党风廉政建设和反腐败、精神文明、维护稳定、“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”、综合治理、民族团结、安全生产、扶贫、信访等工作。</w:t>
      </w:r>
    </w:p>
    <w:p w14:paraId="24D6211E">
      <w:pPr>
        <w:spacing w:line="580" w:lineRule="exact"/>
        <w:ind w:firstLine="640"/>
        <w:jc w:val="both"/>
      </w:pPr>
      <w:r>
        <w:rPr>
          <w:rFonts w:ascii="仿宋_GB2312" w:hAnsi="仿宋_GB2312" w:eastAsia="仿宋_GB2312"/>
          <w:sz w:val="32"/>
        </w:rPr>
        <w:t>（二十一）完成自治州住房和城乡建设局交办的其他任务。</w:t>
      </w:r>
    </w:p>
    <w:p w14:paraId="6564E8B3">
      <w:pPr>
        <w:spacing w:line="640" w:lineRule="exact"/>
        <w:ind w:firstLine="640"/>
        <w:jc w:val="both"/>
        <w:outlineLvl w:val="2"/>
      </w:pPr>
      <w:r>
        <w:rPr>
          <w:rFonts w:ascii="黑体" w:hAnsi="黑体" w:eastAsia="黑体"/>
          <w:sz w:val="32"/>
        </w:rPr>
        <w:t>二、机构设置及人员情况</w:t>
      </w:r>
    </w:p>
    <w:p w14:paraId="08F7A581">
      <w:pPr>
        <w:spacing w:line="580" w:lineRule="exact"/>
        <w:ind w:firstLine="640"/>
        <w:jc w:val="both"/>
      </w:pPr>
      <w:r>
        <w:rPr>
          <w:rFonts w:ascii="仿宋_GB2312" w:hAnsi="仿宋_GB2312" w:eastAsia="仿宋_GB2312"/>
          <w:sz w:val="32"/>
        </w:rPr>
        <w:t>新疆</w:t>
      </w:r>
      <w:bookmarkStart w:id="0" w:name="_GoBack"/>
      <w:r>
        <w:rPr>
          <w:rFonts w:ascii="仿宋_GB2312" w:hAnsi="仿宋_GB2312" w:eastAsia="仿宋_GB2312"/>
          <w:sz w:val="32"/>
        </w:rPr>
        <w:t>巴音郭楞</w:t>
      </w:r>
      <w:bookmarkEnd w:id="0"/>
      <w:r>
        <w:rPr>
          <w:rFonts w:ascii="仿宋_GB2312" w:hAnsi="仿宋_GB2312" w:eastAsia="仿宋_GB2312"/>
          <w:sz w:val="32"/>
        </w:rPr>
        <w:t>蒙古自治州建设工程服务中心2024年度，实有人数85人，其中：在职人员48人，减少3人；离休人员0人，增加0人；退休人员37人,增加3人。</w:t>
      </w:r>
    </w:p>
    <w:p w14:paraId="55FA9AA4">
      <w:pPr>
        <w:spacing w:line="580" w:lineRule="exact"/>
        <w:ind w:firstLine="640"/>
        <w:jc w:val="both"/>
      </w:pPr>
      <w:r>
        <w:rPr>
          <w:rFonts w:ascii="仿宋_GB2312" w:hAnsi="仿宋_GB2312" w:eastAsia="仿宋_GB2312"/>
          <w:sz w:val="32"/>
        </w:rPr>
        <w:t>新疆巴音郭楞蒙古自治州建设工程服务中心无下属预算单位，下设13个科室，分别是：综合科、党建科、市政公用事业科、住房事业发展科、建设工程质量安全科、村镇建设科、建设工程造价科、建设工程招标投标科、城市和建筑设计科、抗震应急保障和消防科、人防指挥信息保障科、建设标准和科技节能科、政策法规研究发展科。</w:t>
      </w:r>
    </w:p>
    <w:p w14:paraId="37801796">
      <w:r>
        <w:br w:type="page"/>
      </w:r>
    </w:p>
    <w:p w14:paraId="375651FC">
      <w:pPr>
        <w:spacing w:line="240" w:lineRule="auto"/>
        <w:jc w:val="center"/>
        <w:outlineLvl w:val="1"/>
      </w:pPr>
      <w:r>
        <w:rPr>
          <w:rFonts w:ascii="黑体" w:hAnsi="黑体" w:eastAsia="黑体"/>
          <w:sz w:val="32"/>
        </w:rPr>
        <w:t>第二部分 部门决算情况说明</w:t>
      </w:r>
    </w:p>
    <w:p w14:paraId="22EFEE9B">
      <w:pPr>
        <w:spacing w:line="640" w:lineRule="exact"/>
        <w:ind w:firstLine="640"/>
        <w:jc w:val="both"/>
        <w:outlineLvl w:val="2"/>
      </w:pPr>
      <w:r>
        <w:rPr>
          <w:rFonts w:ascii="黑体" w:hAnsi="黑体" w:eastAsia="黑体"/>
          <w:sz w:val="32"/>
        </w:rPr>
        <w:t>一、收入支出决算总体情况说明</w:t>
      </w:r>
    </w:p>
    <w:p w14:paraId="192526F0">
      <w:pPr>
        <w:spacing w:line="580" w:lineRule="exact"/>
        <w:ind w:firstLine="640"/>
        <w:jc w:val="both"/>
      </w:pPr>
      <w:r>
        <w:rPr>
          <w:rFonts w:ascii="仿宋_GB2312" w:hAnsi="仿宋_GB2312" w:eastAsia="仿宋_GB2312"/>
          <w:b/>
          <w:sz w:val="32"/>
        </w:rPr>
        <w:t>2024年度收入总计993.94万元，</w:t>
      </w:r>
      <w:r>
        <w:rPr>
          <w:rFonts w:ascii="仿宋_GB2312" w:hAnsi="仿宋_GB2312" w:eastAsia="仿宋_GB2312"/>
          <w:b w:val="0"/>
          <w:sz w:val="32"/>
        </w:rPr>
        <w:t>其中：本年收入合计993.94万元，使用非财政拨款结余（含专用结余）0.00万元，年初结转和结余0.00万元。</w:t>
      </w:r>
    </w:p>
    <w:p w14:paraId="245D93D1">
      <w:pPr>
        <w:spacing w:line="580" w:lineRule="exact"/>
        <w:ind w:firstLine="640"/>
        <w:jc w:val="both"/>
      </w:pPr>
      <w:r>
        <w:rPr>
          <w:rFonts w:ascii="仿宋_GB2312" w:hAnsi="仿宋_GB2312" w:eastAsia="仿宋_GB2312"/>
          <w:b/>
          <w:sz w:val="32"/>
        </w:rPr>
        <w:t>2024年度支出总计993.94万元，</w:t>
      </w:r>
      <w:r>
        <w:rPr>
          <w:rFonts w:ascii="仿宋_GB2312" w:hAnsi="仿宋_GB2312" w:eastAsia="仿宋_GB2312"/>
          <w:b w:val="0"/>
          <w:sz w:val="32"/>
        </w:rPr>
        <w:t>其中：本年支出合计993.94万元，结余分配0.00万元，年末结转和结余0.00万元。</w:t>
      </w:r>
    </w:p>
    <w:p w14:paraId="2F8CE8FE">
      <w:pPr>
        <w:spacing w:line="580" w:lineRule="exact"/>
        <w:ind w:firstLine="640"/>
        <w:jc w:val="both"/>
      </w:pPr>
      <w:r>
        <w:rPr>
          <w:rFonts w:ascii="仿宋_GB2312" w:hAnsi="仿宋_GB2312" w:eastAsia="仿宋_GB2312"/>
          <w:b w:val="0"/>
          <w:sz w:val="32"/>
        </w:rPr>
        <w:t>收入支出总体与上年相比，减少99.79万元，下降9.12%，主要原因是：本年在职人员减少，相关人员经费减少；本年减少建设工程监管检查项目，导致经费较上年减少。</w:t>
      </w:r>
    </w:p>
    <w:p w14:paraId="73626C53">
      <w:pPr>
        <w:spacing w:line="640" w:lineRule="exact"/>
        <w:ind w:firstLine="640"/>
        <w:jc w:val="both"/>
        <w:outlineLvl w:val="2"/>
      </w:pPr>
      <w:r>
        <w:rPr>
          <w:rFonts w:ascii="黑体" w:hAnsi="黑体" w:eastAsia="黑体"/>
          <w:sz w:val="32"/>
        </w:rPr>
        <w:t>二、收入决算情况说明</w:t>
      </w:r>
    </w:p>
    <w:p w14:paraId="346A1A9E">
      <w:pPr>
        <w:spacing w:line="580" w:lineRule="exact"/>
        <w:ind w:firstLine="640"/>
        <w:jc w:val="both"/>
      </w:pPr>
      <w:r>
        <w:rPr>
          <w:rFonts w:ascii="仿宋_GB2312" w:hAnsi="仿宋_GB2312" w:eastAsia="仿宋_GB2312"/>
          <w:b/>
          <w:sz w:val="32"/>
        </w:rPr>
        <w:t>本年收入993.94万元，</w:t>
      </w:r>
      <w:r>
        <w:rPr>
          <w:rFonts w:ascii="仿宋_GB2312" w:hAnsi="仿宋_GB2312" w:eastAsia="仿宋_GB2312"/>
          <w:b w:val="0"/>
          <w:sz w:val="32"/>
        </w:rPr>
        <w:t>其中：财政拨款收入993.94万元，占100.00%；上级补助收入0.00万元，占0.00%；事业收入0.00万元，占0.00%；经营收入0.00万元，占0.00%；附属单位上缴收入0.00万元，占0.00%；其他收入0.00万元，占0.00%。</w:t>
      </w:r>
    </w:p>
    <w:p w14:paraId="48B6B8C1">
      <w:pPr>
        <w:spacing w:line="640" w:lineRule="exact"/>
        <w:ind w:firstLine="640"/>
        <w:jc w:val="both"/>
        <w:outlineLvl w:val="2"/>
      </w:pPr>
      <w:r>
        <w:rPr>
          <w:rFonts w:ascii="黑体" w:hAnsi="黑体" w:eastAsia="黑体"/>
          <w:sz w:val="32"/>
        </w:rPr>
        <w:t>三、支出决算情况说明</w:t>
      </w:r>
    </w:p>
    <w:p w14:paraId="312B2764">
      <w:pPr>
        <w:spacing w:line="580" w:lineRule="exact"/>
        <w:ind w:firstLine="640"/>
        <w:jc w:val="both"/>
      </w:pPr>
      <w:r>
        <w:rPr>
          <w:rFonts w:ascii="仿宋_GB2312" w:hAnsi="仿宋_GB2312" w:eastAsia="仿宋_GB2312"/>
          <w:b/>
          <w:sz w:val="32"/>
        </w:rPr>
        <w:t>本年支出993.94万元，</w:t>
      </w:r>
      <w:r>
        <w:rPr>
          <w:rFonts w:ascii="仿宋_GB2312" w:hAnsi="仿宋_GB2312" w:eastAsia="仿宋_GB2312"/>
          <w:b w:val="0"/>
          <w:sz w:val="32"/>
        </w:rPr>
        <w:t>其中：基本支出993.94万元，占100.00%；项目支出0.00万元，占0.00%；上缴上级支出0.00万元，占0.00%；经营支出0.00万元，占0.00%；对附属单位补助支出0.00万元，占0.00%。</w:t>
      </w:r>
    </w:p>
    <w:p w14:paraId="3DA43CBB">
      <w:pPr>
        <w:spacing w:line="640" w:lineRule="exact"/>
        <w:ind w:firstLine="640"/>
        <w:jc w:val="both"/>
        <w:outlineLvl w:val="2"/>
      </w:pPr>
      <w:r>
        <w:rPr>
          <w:rFonts w:ascii="黑体" w:hAnsi="黑体" w:eastAsia="黑体"/>
          <w:sz w:val="32"/>
        </w:rPr>
        <w:t>四、财政拨款收入支出决算总体情况说明</w:t>
      </w:r>
    </w:p>
    <w:p w14:paraId="729E5736">
      <w:pPr>
        <w:spacing w:line="580" w:lineRule="exact"/>
        <w:ind w:firstLine="640"/>
        <w:jc w:val="both"/>
      </w:pPr>
      <w:r>
        <w:rPr>
          <w:rFonts w:ascii="仿宋_GB2312" w:hAnsi="仿宋_GB2312" w:eastAsia="仿宋_GB2312"/>
          <w:b/>
          <w:sz w:val="32"/>
        </w:rPr>
        <w:t>2024年度财政拨款收入总计993.94万元，</w:t>
      </w:r>
      <w:r>
        <w:rPr>
          <w:rFonts w:ascii="仿宋_GB2312" w:hAnsi="仿宋_GB2312" w:eastAsia="仿宋_GB2312"/>
          <w:b w:val="0"/>
          <w:sz w:val="32"/>
        </w:rPr>
        <w:t>其中：年初财政拨款结转和结余0.00万元，本年财政拨款收入993.94万元。</w:t>
      </w:r>
      <w:r>
        <w:rPr>
          <w:rFonts w:ascii="仿宋_GB2312" w:hAnsi="仿宋_GB2312" w:eastAsia="仿宋_GB2312"/>
          <w:b/>
          <w:sz w:val="32"/>
        </w:rPr>
        <w:t>财政拨款支出总计993.94万元，</w:t>
      </w:r>
      <w:r>
        <w:rPr>
          <w:rFonts w:ascii="仿宋_GB2312" w:hAnsi="仿宋_GB2312" w:eastAsia="仿宋_GB2312"/>
          <w:b w:val="0"/>
          <w:sz w:val="32"/>
        </w:rPr>
        <w:t>其中：年末财政拨款结转和结余0.00万元，本年财政拨款支出993.94万元。</w:t>
      </w:r>
    </w:p>
    <w:p w14:paraId="35F38A6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减少99.56万元，下降9.10%，主要原因是：本年在职人员减少，相关人员经费减少；本年减少建设工程监管检查项目，导致经费较上年减少。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年初预算数1,016.55万元，决算数993.94万元，预决算差异率-2.22%，主要原因是：本年在职人员减少，年中调减人员经费，导致预决算存在差异。</w:t>
      </w:r>
    </w:p>
    <w:p w14:paraId="1321E039">
      <w:pPr>
        <w:spacing w:line="640" w:lineRule="exact"/>
        <w:ind w:firstLine="640"/>
        <w:jc w:val="both"/>
        <w:outlineLvl w:val="2"/>
      </w:pPr>
      <w:r>
        <w:rPr>
          <w:rFonts w:ascii="黑体" w:hAnsi="黑体" w:eastAsia="黑体"/>
          <w:sz w:val="32"/>
        </w:rPr>
        <w:t>五、一般公共预算财政拨款支出决算情况说明</w:t>
      </w:r>
    </w:p>
    <w:p w14:paraId="578B33B1">
      <w:pPr>
        <w:spacing w:line="640" w:lineRule="exact"/>
        <w:ind w:firstLine="640"/>
        <w:jc w:val="both"/>
        <w:outlineLvl w:val="3"/>
      </w:pPr>
      <w:r>
        <w:rPr>
          <w:rFonts w:ascii="楷体_GB2312" w:hAnsi="楷体_GB2312" w:eastAsia="楷体_GB2312"/>
          <w:b/>
          <w:sz w:val="32"/>
        </w:rPr>
        <w:t>（一）一般公共预算财政拨款支出决算总体情况</w:t>
      </w:r>
    </w:p>
    <w:p w14:paraId="35A48EA0">
      <w:pPr>
        <w:spacing w:line="580" w:lineRule="exact"/>
        <w:ind w:firstLine="640"/>
        <w:jc w:val="both"/>
      </w:pPr>
      <w:r>
        <w:rPr>
          <w:rFonts w:ascii="仿宋_GB2312" w:hAnsi="仿宋_GB2312" w:eastAsia="仿宋_GB2312"/>
          <w:b/>
          <w:sz w:val="32"/>
        </w:rPr>
        <w:t>2024年度一般公共预算财政拨款支出993.94万元，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减少99.56万元，下降9.10%，主要原因是：本年在职人员减少，相关人员经费减少；本年减少建设工程监管检查项目，导致经费较上年减少。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年初预算数1,016.55万元，决算数993.94万元，预决算差异率-2.22%，主要原因是：本年在职人员减少，年中调减人员经费，导致预决算存在差异。</w:t>
      </w:r>
    </w:p>
    <w:p w14:paraId="05CD1AD8">
      <w:pPr>
        <w:spacing w:line="640" w:lineRule="exact"/>
        <w:ind w:firstLine="640"/>
        <w:jc w:val="both"/>
        <w:outlineLvl w:val="3"/>
      </w:pPr>
      <w:r>
        <w:rPr>
          <w:rFonts w:ascii="楷体_GB2312" w:hAnsi="楷体_GB2312" w:eastAsia="楷体_GB2312"/>
          <w:b/>
          <w:sz w:val="32"/>
        </w:rPr>
        <w:t>（二）一般公共预算财政拨款支出决算结构情况</w:t>
      </w:r>
    </w:p>
    <w:p w14:paraId="18BC5348">
      <w:pPr>
        <w:spacing w:line="580" w:lineRule="exact"/>
        <w:ind w:firstLine="640"/>
        <w:jc w:val="both"/>
      </w:pPr>
      <w:r>
        <w:rPr>
          <w:rFonts w:ascii="仿宋_GB2312" w:hAnsi="仿宋_GB2312" w:eastAsia="仿宋_GB2312"/>
          <w:b w:val="0"/>
          <w:sz w:val="32"/>
        </w:rPr>
        <w:t>1.教育支出(类)1.72万元,占0.17%。</w:t>
      </w:r>
    </w:p>
    <w:p w14:paraId="21EA171B">
      <w:pPr>
        <w:spacing w:line="580" w:lineRule="exact"/>
        <w:ind w:firstLine="640"/>
        <w:jc w:val="both"/>
      </w:pPr>
      <w:r>
        <w:rPr>
          <w:rFonts w:ascii="仿宋_GB2312" w:hAnsi="仿宋_GB2312" w:eastAsia="仿宋_GB2312"/>
          <w:b w:val="0"/>
          <w:sz w:val="32"/>
        </w:rPr>
        <w:t>2.社会保障和就业支出(类)151.77万元,占15.27%。</w:t>
      </w:r>
    </w:p>
    <w:p w14:paraId="2CCBE78D">
      <w:pPr>
        <w:spacing w:line="580" w:lineRule="exact"/>
        <w:ind w:firstLine="640"/>
        <w:jc w:val="both"/>
      </w:pPr>
      <w:r>
        <w:rPr>
          <w:rFonts w:ascii="仿宋_GB2312" w:hAnsi="仿宋_GB2312" w:eastAsia="仿宋_GB2312"/>
          <w:b w:val="0"/>
          <w:sz w:val="32"/>
        </w:rPr>
        <w:t>3.卫生健康支出(类)47.55万元,占4.78%。</w:t>
      </w:r>
    </w:p>
    <w:p w14:paraId="20971226">
      <w:pPr>
        <w:spacing w:line="580" w:lineRule="exact"/>
        <w:ind w:firstLine="640"/>
        <w:jc w:val="both"/>
      </w:pPr>
      <w:r>
        <w:rPr>
          <w:rFonts w:ascii="仿宋_GB2312" w:hAnsi="仿宋_GB2312" w:eastAsia="仿宋_GB2312"/>
          <w:b w:val="0"/>
          <w:sz w:val="32"/>
        </w:rPr>
        <w:t>4.城乡社区支出(类)717.13万元,占72.15%。</w:t>
      </w:r>
    </w:p>
    <w:p w14:paraId="4450A93C">
      <w:pPr>
        <w:spacing w:line="580" w:lineRule="exact"/>
        <w:ind w:firstLine="640"/>
        <w:jc w:val="both"/>
      </w:pPr>
      <w:r>
        <w:rPr>
          <w:rFonts w:ascii="仿宋_GB2312" w:hAnsi="仿宋_GB2312" w:eastAsia="仿宋_GB2312"/>
          <w:b w:val="0"/>
          <w:sz w:val="32"/>
        </w:rPr>
        <w:t>5.住房保障支出(类)75.77万元,占7.62%。</w:t>
      </w:r>
    </w:p>
    <w:p w14:paraId="7E60210F">
      <w:pPr>
        <w:spacing w:line="640" w:lineRule="exact"/>
        <w:ind w:firstLine="640"/>
        <w:jc w:val="both"/>
        <w:outlineLvl w:val="3"/>
      </w:pPr>
      <w:r>
        <w:rPr>
          <w:rFonts w:ascii="楷体_GB2312" w:hAnsi="楷体_GB2312" w:eastAsia="楷体_GB2312"/>
          <w:b/>
          <w:sz w:val="32"/>
        </w:rPr>
        <w:t>（三）一般公共预算财政拨款支出决算具体情况</w:t>
      </w:r>
    </w:p>
    <w:p w14:paraId="386232CD">
      <w:pPr>
        <w:spacing w:line="580" w:lineRule="exact"/>
        <w:ind w:firstLine="640"/>
        <w:jc w:val="both"/>
      </w:pPr>
      <w:r>
        <w:rPr>
          <w:rFonts w:ascii="仿宋_GB2312" w:hAnsi="仿宋_GB2312" w:eastAsia="仿宋_GB2312"/>
          <w:b w:val="0"/>
          <w:sz w:val="32"/>
        </w:rPr>
        <w:t>1.教育支出(类)进修及培训(款)培训支出(项):支出决算数为1.72万元，比上年决算减少2.13万元，下降55.32%,主要原因是：本年外出业务培训活动减少，相关培训经费减少。</w:t>
      </w:r>
    </w:p>
    <w:p w14:paraId="47EFACCE">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32.79万元，比上年决算增加27.36万元，增长503.87%,主要原因是：本年功能科目调整，部分行政离退休人员经费上年度在事业单位离退休科目列支，本年调整至行政单位离退休科目列支，导致经费较上年增加。</w:t>
      </w:r>
    </w:p>
    <w:p w14:paraId="45AF517C">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3.35万元，比上年决算减少20.18万元，下降85.76%,主要原因是：本年功能科目调整，部分行政离退休人员经费上年度在事业单位离退休科目列支，本年调整至行政单位离退休科目列支，导致经费较上年减少。</w:t>
      </w:r>
    </w:p>
    <w:p w14:paraId="67F25464">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98.74万元，比上年决算增加9.25万元，增长10.34%,主要原因是：本年在职人员工资基数调增，养老缴费基数上涨，相应支出增加。</w:t>
      </w:r>
    </w:p>
    <w:p w14:paraId="5C674101">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16.89万元，比上年决算减少11.19万元，下降39.85%,主要原因是：本年新增退休人员较上年减少，职业年金缴费较上年减少。</w:t>
      </w:r>
    </w:p>
    <w:p w14:paraId="04AA716E">
      <w:pPr>
        <w:spacing w:line="580" w:lineRule="exact"/>
        <w:ind w:firstLine="640"/>
        <w:jc w:val="both"/>
      </w:pPr>
      <w:r>
        <w:rPr>
          <w:rFonts w:ascii="仿宋_GB2312" w:hAnsi="仿宋_GB2312" w:eastAsia="仿宋_GB2312"/>
          <w:b w:val="0"/>
          <w:sz w:val="32"/>
        </w:rPr>
        <w:t>6.卫生健康支出(类)行政事业单位医疗(款)行政单位医疗(项):支出决算数为7.76万元，比上年决算减少7.10万元，下降47.78%,主要原因是：本年功能科目调整，部分事业单位医疗支出上年度在行政单位医疗科目列支，本年调整至事业单位医疗科目列支，导致本年行政单位医疗经费较上年减少。</w:t>
      </w:r>
    </w:p>
    <w:p w14:paraId="5BC6FDE2">
      <w:pPr>
        <w:spacing w:line="580" w:lineRule="exact"/>
        <w:ind w:firstLine="640"/>
        <w:jc w:val="both"/>
      </w:pPr>
      <w:r>
        <w:rPr>
          <w:rFonts w:ascii="仿宋_GB2312" w:hAnsi="仿宋_GB2312" w:eastAsia="仿宋_GB2312"/>
          <w:b w:val="0"/>
          <w:sz w:val="32"/>
        </w:rPr>
        <w:t>7.卫生健康支出(类)行政事业单位医疗(款)事业单位医疗(项):支出决算数为35.59万元，比上年决算增加7.55万元，增长26.93%,主要原因是：本年功能科目调整，部分事业单位医疗支出上年度在行政单位医疗科目列支，本年调整至事业单位医疗科目列支，导致本年事业单位医疗较上年增加。</w:t>
      </w:r>
    </w:p>
    <w:p w14:paraId="7C6F18D0">
      <w:pPr>
        <w:spacing w:line="580" w:lineRule="exact"/>
        <w:ind w:firstLine="640"/>
        <w:jc w:val="both"/>
      </w:pPr>
      <w:r>
        <w:rPr>
          <w:rFonts w:ascii="仿宋_GB2312" w:hAnsi="仿宋_GB2312" w:eastAsia="仿宋_GB2312"/>
          <w:b w:val="0"/>
          <w:sz w:val="32"/>
        </w:rPr>
        <w:t>8.卫生健康支出(类)行政事业单位医疗(款)公务员医疗补助(项):支出决算数为4.2万元，比上年决算增加0.31万元，增长7.97%,主要原因是：本年在职人员工资基数调增，医疗缴费基数上涨，相应支出增加。</w:t>
      </w:r>
    </w:p>
    <w:p w14:paraId="32827D2A">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9.卫生健康支出(类)行政事业单位医疗(款)其他行政事业单位医疗支出(项):支出决算数为0.00万元，比上年决算减少0.51万元，下降100.00%,主要原因是：本年功能科目调整，</w:t>
      </w:r>
      <w:r>
        <w:rPr>
          <w:rFonts w:hint="eastAsia" w:ascii="仿宋_GB2312" w:hAnsi="仿宋_GB2312" w:eastAsia="仿宋_GB2312"/>
          <w:b w:val="0"/>
          <w:sz w:val="32"/>
          <w:lang w:eastAsia="zh-CN"/>
        </w:rPr>
        <w:t>大病</w:t>
      </w:r>
      <w:r>
        <w:rPr>
          <w:rFonts w:ascii="仿宋_GB2312" w:hAnsi="仿宋_GB2312" w:eastAsia="仿宋_GB2312"/>
          <w:b w:val="0"/>
          <w:sz w:val="32"/>
        </w:rPr>
        <w:t>医疗缴费上年度单独列支，本年调整至事业单位医疗科目、行政单位医疗科目列支，导致经费较上年减少。</w:t>
      </w:r>
    </w:p>
    <w:p w14:paraId="077A0E45">
      <w:pPr>
        <w:spacing w:line="580" w:lineRule="exact"/>
        <w:ind w:firstLine="640"/>
        <w:jc w:val="both"/>
      </w:pPr>
      <w:r>
        <w:rPr>
          <w:rFonts w:ascii="仿宋_GB2312" w:hAnsi="仿宋_GB2312" w:eastAsia="仿宋_GB2312"/>
          <w:b w:val="0"/>
          <w:sz w:val="32"/>
        </w:rPr>
        <w:t>10.城乡社区支出(类)城乡社区管理事务(款)行政运行(项):支出决算数为209.53万元，比上年决算增加42.14万元，增长25.17%,主要原因是：本年在职人员工资调增，导致相关人员经费较上年有所增加。</w:t>
      </w:r>
    </w:p>
    <w:p w14:paraId="6D73D504">
      <w:pPr>
        <w:spacing w:line="580" w:lineRule="exact"/>
        <w:ind w:firstLine="640"/>
        <w:jc w:val="both"/>
      </w:pPr>
      <w:r>
        <w:rPr>
          <w:rFonts w:ascii="仿宋_GB2312" w:hAnsi="仿宋_GB2312" w:eastAsia="仿宋_GB2312"/>
          <w:b w:val="0"/>
          <w:sz w:val="32"/>
        </w:rPr>
        <w:t>11.城乡社区支出(类)城乡社区管理事务(款)其他城乡社区管理事务支出(项):支出决算数为507.6万元，比上年决算减少152.04万元，下降23.05%,主要原因是：本年事业在职人员较上年减少，导致相关人员经费及日常公用经费较上年有所减少。</w:t>
      </w:r>
    </w:p>
    <w:p w14:paraId="1990C009">
      <w:pPr>
        <w:spacing w:line="580" w:lineRule="exact"/>
        <w:ind w:firstLine="640"/>
        <w:jc w:val="both"/>
      </w:pPr>
      <w:r>
        <w:rPr>
          <w:rFonts w:ascii="仿宋_GB2312" w:hAnsi="仿宋_GB2312" w:eastAsia="仿宋_GB2312"/>
          <w:b w:val="0"/>
          <w:sz w:val="32"/>
        </w:rPr>
        <w:t>12.住房保障支出(类)住房改革支出(款)住房公积金(项):支出决算数为75.77万元，比上年决算增加6.97万元，增长10.13%,主要原因是：本年在职人员工资基数调增，公积金缴费基数上涨，相应支出增加。</w:t>
      </w:r>
    </w:p>
    <w:p w14:paraId="7EE9831B">
      <w:pPr>
        <w:spacing w:line="640" w:lineRule="exact"/>
        <w:ind w:firstLine="640"/>
        <w:jc w:val="both"/>
        <w:outlineLvl w:val="2"/>
      </w:pPr>
      <w:r>
        <w:rPr>
          <w:rFonts w:ascii="黑体" w:hAnsi="黑体" w:eastAsia="黑体"/>
          <w:sz w:val="32"/>
        </w:rPr>
        <w:t>六、一般公共预算财政拨款基本支出决算情况说明</w:t>
      </w:r>
    </w:p>
    <w:p w14:paraId="648C742C">
      <w:pPr>
        <w:spacing w:line="580" w:lineRule="exact"/>
        <w:ind w:firstLine="640"/>
        <w:jc w:val="both"/>
      </w:pPr>
      <w:r>
        <w:rPr>
          <w:rFonts w:ascii="仿宋_GB2312" w:hAnsi="仿宋_GB2312" w:eastAsia="仿宋_GB2312"/>
          <w:b w:val="0"/>
          <w:sz w:val="32"/>
        </w:rPr>
        <w:t>2024年度一般公共预算财政拨款基本支出993.94万元，其中：</w:t>
      </w:r>
      <w:r>
        <w:rPr>
          <w:rFonts w:ascii="仿宋_GB2312" w:hAnsi="仿宋_GB2312" w:eastAsia="仿宋_GB2312"/>
          <w:b/>
          <w:sz w:val="32"/>
        </w:rPr>
        <w:t>人员经费938.06万元，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生活补助、奖励金。</w:t>
      </w:r>
    </w:p>
    <w:p w14:paraId="2F9AA67A">
      <w:pPr>
        <w:spacing w:line="580" w:lineRule="exact"/>
        <w:ind w:firstLine="640"/>
        <w:jc w:val="both"/>
      </w:pPr>
      <w:r>
        <w:rPr>
          <w:rFonts w:ascii="仿宋_GB2312" w:hAnsi="仿宋_GB2312" w:eastAsia="仿宋_GB2312"/>
          <w:b/>
          <w:sz w:val="32"/>
        </w:rPr>
        <w:t>公用经费55.88万元，</w:t>
      </w:r>
      <w:r>
        <w:rPr>
          <w:rFonts w:ascii="仿宋_GB2312" w:hAnsi="仿宋_GB2312" w:eastAsia="仿宋_GB2312"/>
          <w:b w:val="0"/>
          <w:sz w:val="32"/>
        </w:rPr>
        <w:t>包括：办公费、印刷费、水费、电费、取暖费、物业管理费、差旅费、培训费、公务接待费、工会经费、福利费、公务用车运行维护费、其他交通费用、其他商品和服务支出。</w:t>
      </w:r>
    </w:p>
    <w:p w14:paraId="263CAA5E">
      <w:pPr>
        <w:spacing w:line="640" w:lineRule="exact"/>
        <w:ind w:firstLine="640"/>
        <w:jc w:val="both"/>
        <w:outlineLvl w:val="2"/>
      </w:pPr>
      <w:r>
        <w:rPr>
          <w:rFonts w:ascii="黑体" w:hAnsi="黑体" w:eastAsia="黑体"/>
          <w:sz w:val="32"/>
        </w:rPr>
        <w:t>七、政府性基金预算财政拨款收入支出决算情况说明</w:t>
      </w:r>
    </w:p>
    <w:p w14:paraId="7B9C75B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4CD371B">
      <w:pPr>
        <w:spacing w:line="640" w:lineRule="exact"/>
        <w:ind w:firstLine="640"/>
        <w:jc w:val="both"/>
        <w:outlineLvl w:val="2"/>
      </w:pPr>
      <w:r>
        <w:rPr>
          <w:rFonts w:ascii="黑体" w:hAnsi="黑体" w:eastAsia="黑体"/>
          <w:sz w:val="32"/>
        </w:rPr>
        <w:t>八、国有资本经营预算财政拨款收入支出决算情况说明</w:t>
      </w:r>
    </w:p>
    <w:p w14:paraId="30D3366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3B4B0E">
      <w:pPr>
        <w:spacing w:line="640" w:lineRule="exact"/>
        <w:ind w:firstLine="640"/>
        <w:jc w:val="both"/>
        <w:outlineLvl w:val="2"/>
      </w:pPr>
      <w:r>
        <w:rPr>
          <w:rFonts w:ascii="黑体" w:hAnsi="黑体" w:eastAsia="黑体"/>
          <w:sz w:val="32"/>
        </w:rPr>
        <w:t>九、财政拨款“三公”经费支出决算情况说明</w:t>
      </w:r>
    </w:p>
    <w:p w14:paraId="2BC06F44">
      <w:pPr>
        <w:spacing w:line="580" w:lineRule="exact"/>
        <w:ind w:firstLine="640"/>
        <w:jc w:val="both"/>
      </w:pPr>
      <w:r>
        <w:rPr>
          <w:rFonts w:ascii="仿宋_GB2312" w:hAnsi="仿宋_GB2312" w:eastAsia="仿宋_GB2312"/>
          <w:b/>
          <w:sz w:val="32"/>
        </w:rPr>
        <w:t>2024年度财政拨款“三公”经费支出11.80万元，</w:t>
      </w:r>
      <w:r>
        <w:rPr>
          <w:rFonts w:ascii="仿宋_GB2312" w:hAnsi="仿宋_GB2312" w:eastAsia="仿宋_GB2312"/>
          <w:b w:val="0"/>
          <w:sz w:val="32"/>
        </w:rPr>
        <w:t>比上年减少0.74万元，下降5.90%，主要原因是：采取有效措施加强公务接待管理，严格控制公务接待活动，认真执行经费开支标准，减少公务接待运行成本费用。其中：因公出国（境）费支出0.00万元，占0.00%，比上年增加0.00万元，增长0.00%，主要原因是：2023年与2024年均未安排因公出国（境）费支出。公务用车购置及运行维护费支出11.20万元，占94.92%，比上年增加0.25万元，增长2.28%，主要原因是：本年因业务需求，用车次数增加，燃油费增加，导致公务用车运行维护费较上年增加。公务接待费支出0.60万元，占5.08%，比上年减少0.99万元，下降62.26%，主要原因是：采取有效措施加强公务接待管理，严格控制公务接待活动，认真执行经费开支标准。</w:t>
      </w:r>
    </w:p>
    <w:p w14:paraId="2E030A9C">
      <w:pPr>
        <w:spacing w:line="580" w:lineRule="exact"/>
        <w:ind w:firstLine="640"/>
        <w:jc w:val="both"/>
      </w:pPr>
      <w:r>
        <w:rPr>
          <w:rFonts w:ascii="仿宋_GB2312" w:hAnsi="仿宋_GB2312" w:eastAsia="仿宋_GB2312"/>
          <w:b/>
          <w:sz w:val="32"/>
        </w:rPr>
        <w:t>具体情况如下：</w:t>
      </w:r>
    </w:p>
    <w:p w14:paraId="3588546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BED1F8F">
      <w:pPr>
        <w:spacing w:line="580" w:lineRule="exact"/>
        <w:ind w:firstLine="640"/>
        <w:jc w:val="both"/>
      </w:pPr>
      <w:r>
        <w:rPr>
          <w:rFonts w:ascii="仿宋_GB2312" w:hAnsi="仿宋_GB2312" w:eastAsia="仿宋_GB2312"/>
          <w:b w:val="0"/>
          <w:sz w:val="32"/>
        </w:rPr>
        <w:t>公务用车购置及运行维护费11.20万元，其中：公务用车购置费0.00万元，公务用车运行维护费11.20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2B5F1F62">
      <w:pPr>
        <w:spacing w:line="580" w:lineRule="exact"/>
        <w:ind w:firstLine="640"/>
        <w:jc w:val="both"/>
      </w:pPr>
      <w:r>
        <w:rPr>
          <w:rFonts w:ascii="仿宋_GB2312" w:hAnsi="仿宋_GB2312" w:eastAsia="仿宋_GB2312"/>
          <w:b w:val="0"/>
          <w:sz w:val="32"/>
        </w:rPr>
        <w:t>公务接待费0.60万元，开支内容包括因接待上级领导检查工作产生的就餐费。单位全年安排的国内公务接待6批次，80人次。</w:t>
      </w:r>
    </w:p>
    <w:p w14:paraId="5112527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11.80万元，决算数11.80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11.20万元，决算数11.20万元，预决算差异率0.00%，主要原因是：严格按照预算执行，预决算无差异。公务接待费全年预算数0.60万元，决算数0.60万元，预决算差异率0.00%，主要原因是：严格按照预算执行，预决算无差异。</w:t>
      </w:r>
    </w:p>
    <w:p w14:paraId="752C4A3C">
      <w:pPr>
        <w:spacing w:line="640" w:lineRule="exact"/>
        <w:ind w:firstLine="640"/>
        <w:jc w:val="both"/>
        <w:outlineLvl w:val="2"/>
      </w:pPr>
      <w:r>
        <w:rPr>
          <w:rFonts w:ascii="黑体" w:hAnsi="黑体" w:eastAsia="黑体"/>
          <w:sz w:val="32"/>
        </w:rPr>
        <w:t>十、其他重要事项的情况说明</w:t>
      </w:r>
    </w:p>
    <w:p w14:paraId="7C27297C">
      <w:pPr>
        <w:spacing w:line="640" w:lineRule="exact"/>
        <w:ind w:firstLine="640"/>
        <w:jc w:val="both"/>
        <w:outlineLvl w:val="3"/>
      </w:pPr>
      <w:r>
        <w:rPr>
          <w:rFonts w:ascii="楷体_GB2312" w:hAnsi="楷体_GB2312" w:eastAsia="楷体_GB2312"/>
          <w:b/>
          <w:sz w:val="32"/>
        </w:rPr>
        <w:t>（一）机关运行经费及公用经费支出情况</w:t>
      </w:r>
    </w:p>
    <w:p w14:paraId="243BEBE2">
      <w:pPr>
        <w:spacing w:line="580" w:lineRule="exact"/>
        <w:ind w:firstLine="640"/>
        <w:jc w:val="both"/>
      </w:pPr>
      <w:r>
        <w:rPr>
          <w:rFonts w:ascii="仿宋_GB2312" w:hAnsi="仿宋_GB2312" w:eastAsia="仿宋_GB2312"/>
          <w:b w:val="0"/>
          <w:sz w:val="32"/>
        </w:rPr>
        <w:t>2024年度新疆巴音郭楞蒙古自治州建设工程服务中心（行政单位和参照公务员法管理事业单位）机关运行经费支出55.88万元，比上年减少1.03万元，下降1.81%，主要原因是：本年培训费减少，导致机关运行经费支出减少。</w:t>
      </w:r>
    </w:p>
    <w:p w14:paraId="356B2DB3">
      <w:pPr>
        <w:spacing w:line="640" w:lineRule="exact"/>
        <w:ind w:firstLine="640"/>
        <w:jc w:val="both"/>
        <w:outlineLvl w:val="3"/>
      </w:pPr>
      <w:r>
        <w:rPr>
          <w:rFonts w:ascii="楷体_GB2312" w:hAnsi="楷体_GB2312" w:eastAsia="楷体_GB2312"/>
          <w:b/>
          <w:sz w:val="32"/>
        </w:rPr>
        <w:t>（二）政府采购情况</w:t>
      </w:r>
    </w:p>
    <w:p w14:paraId="78196C1F">
      <w:pPr>
        <w:spacing w:line="580" w:lineRule="exact"/>
        <w:ind w:firstLine="640"/>
        <w:jc w:val="both"/>
      </w:pPr>
      <w:r>
        <w:rPr>
          <w:rFonts w:ascii="仿宋_GB2312" w:hAnsi="仿宋_GB2312" w:eastAsia="仿宋_GB2312"/>
          <w:b w:val="0"/>
          <w:sz w:val="32"/>
        </w:rPr>
        <w:t>2024年度政府采购支出总额19.93万元，其中：政府采购货物支出10.23万元、政府采购工程支出0.00万元、政府采购服务支出9.70万元。</w:t>
      </w:r>
    </w:p>
    <w:p w14:paraId="014F23C7">
      <w:pPr>
        <w:spacing w:line="580" w:lineRule="exact"/>
        <w:ind w:firstLine="640"/>
        <w:jc w:val="both"/>
      </w:pPr>
      <w:r>
        <w:rPr>
          <w:rFonts w:ascii="仿宋_GB2312" w:hAnsi="仿宋_GB2312" w:eastAsia="仿宋_GB2312"/>
          <w:b w:val="0"/>
          <w:sz w:val="32"/>
        </w:rPr>
        <w:t>授予中小企业合同金额10.26万元，占政府采购支出总额的51.48%，其中：授予小微企业合同金额9.60万元，占政府采购支出总额的48.17%。</w:t>
      </w:r>
    </w:p>
    <w:p w14:paraId="655571D8">
      <w:pPr>
        <w:spacing w:line="640" w:lineRule="exact"/>
        <w:ind w:firstLine="640"/>
        <w:jc w:val="both"/>
        <w:outlineLvl w:val="3"/>
      </w:pPr>
      <w:r>
        <w:rPr>
          <w:rFonts w:ascii="楷体_GB2312" w:hAnsi="楷体_GB2312" w:eastAsia="楷体_GB2312"/>
          <w:b/>
          <w:sz w:val="32"/>
        </w:rPr>
        <w:t>（三）国有资产占用情况说明</w:t>
      </w:r>
    </w:p>
    <w:p w14:paraId="1D7F1562">
      <w:pPr>
        <w:spacing w:line="580" w:lineRule="exact"/>
        <w:ind w:firstLine="640"/>
        <w:jc w:val="both"/>
      </w:pPr>
      <w:r>
        <w:rPr>
          <w:rFonts w:ascii="仿宋_GB2312" w:hAnsi="仿宋_GB2312" w:eastAsia="仿宋_GB2312"/>
          <w:b w:val="0"/>
          <w:sz w:val="32"/>
        </w:rPr>
        <w:t>截至2024年12月31日，房屋2,026.26平方米，价值527.44万元。车辆3辆，价值39.64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1台（套）。</w:t>
      </w:r>
    </w:p>
    <w:p w14:paraId="7639B416">
      <w:pPr>
        <w:spacing w:line="640" w:lineRule="exact"/>
        <w:ind w:firstLine="640"/>
        <w:jc w:val="both"/>
        <w:outlineLvl w:val="2"/>
      </w:pPr>
      <w:r>
        <w:rPr>
          <w:rFonts w:ascii="黑体" w:hAnsi="黑体" w:eastAsia="黑体"/>
          <w:sz w:val="32"/>
        </w:rPr>
        <w:t>十一、预算绩效的情况说明</w:t>
      </w:r>
    </w:p>
    <w:p w14:paraId="6206C9D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755F3B0C">
      <w:r>
        <w:br w:type="page"/>
      </w:r>
    </w:p>
    <w:p w14:paraId="5A44EB3C">
      <w:pPr>
        <w:spacing w:line="640" w:lineRule="exact"/>
        <w:ind w:firstLine="640"/>
        <w:jc w:val="both"/>
        <w:outlineLvl w:val="2"/>
      </w:pPr>
      <w:r>
        <w:rPr>
          <w:rFonts w:ascii="黑体" w:hAnsi="黑体" w:eastAsia="黑体"/>
          <w:sz w:val="32"/>
        </w:rPr>
        <w:t>十二、其他需说明的事项</w:t>
      </w:r>
    </w:p>
    <w:p w14:paraId="0A5A93A2">
      <w:pPr>
        <w:spacing w:line="580" w:lineRule="exact"/>
        <w:ind w:firstLine="640"/>
        <w:jc w:val="both"/>
      </w:pPr>
      <w:r>
        <w:rPr>
          <w:rFonts w:ascii="仿宋_GB2312" w:hAnsi="仿宋_GB2312" w:eastAsia="仿宋_GB2312"/>
          <w:b w:val="0"/>
          <w:sz w:val="32"/>
        </w:rPr>
        <w:t>本年度本单位整体绩效自评表由主管部门编报并公开。</w:t>
      </w:r>
    </w:p>
    <w:p w14:paraId="76CDA37B">
      <w:r>
        <w:br w:type="page"/>
      </w:r>
    </w:p>
    <w:p w14:paraId="057F04A4">
      <w:pPr>
        <w:spacing w:line="240" w:lineRule="auto"/>
        <w:jc w:val="center"/>
        <w:outlineLvl w:val="1"/>
      </w:pPr>
      <w:r>
        <w:rPr>
          <w:rFonts w:ascii="黑体" w:hAnsi="黑体" w:eastAsia="黑体"/>
          <w:sz w:val="32"/>
        </w:rPr>
        <w:t>第三部分 专业名词解释</w:t>
      </w:r>
    </w:p>
    <w:p w14:paraId="31182CC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979C8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CF7A2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6CD88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BCBC37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31FE85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796B9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91EF26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C8639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0B148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DD316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9920C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7465B1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72496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E317FD4">
      <w:r>
        <w:br w:type="page"/>
      </w:r>
    </w:p>
    <w:p w14:paraId="16309868">
      <w:pPr>
        <w:spacing w:line="240" w:lineRule="auto"/>
        <w:jc w:val="center"/>
        <w:outlineLvl w:val="1"/>
      </w:pPr>
      <w:r>
        <w:rPr>
          <w:rFonts w:ascii="黑体" w:hAnsi="黑体" w:eastAsia="黑体"/>
          <w:sz w:val="32"/>
        </w:rPr>
        <w:t>第四部分 部门决算报表（见附表）</w:t>
      </w:r>
    </w:p>
    <w:p w14:paraId="1C510A18">
      <w:pPr>
        <w:spacing w:line="240" w:lineRule="auto"/>
        <w:ind w:firstLine="640"/>
        <w:jc w:val="both"/>
      </w:pPr>
      <w:r>
        <w:rPr>
          <w:rFonts w:ascii="仿宋_GB2312" w:hAnsi="仿宋_GB2312" w:eastAsia="仿宋_GB2312"/>
          <w:b w:val="0"/>
          <w:sz w:val="32"/>
        </w:rPr>
        <w:t>一、《收入支出决算总表》</w:t>
      </w:r>
    </w:p>
    <w:p w14:paraId="777EB616">
      <w:pPr>
        <w:spacing w:line="240" w:lineRule="auto"/>
        <w:ind w:firstLine="640"/>
        <w:jc w:val="both"/>
      </w:pPr>
      <w:r>
        <w:rPr>
          <w:rFonts w:ascii="仿宋_GB2312" w:hAnsi="仿宋_GB2312" w:eastAsia="仿宋_GB2312"/>
          <w:b w:val="0"/>
          <w:sz w:val="32"/>
        </w:rPr>
        <w:t>二、《收入决算表》</w:t>
      </w:r>
    </w:p>
    <w:p w14:paraId="383A592C">
      <w:pPr>
        <w:spacing w:line="240" w:lineRule="auto"/>
        <w:ind w:firstLine="640"/>
        <w:jc w:val="both"/>
      </w:pPr>
      <w:r>
        <w:rPr>
          <w:rFonts w:ascii="仿宋_GB2312" w:hAnsi="仿宋_GB2312" w:eastAsia="仿宋_GB2312"/>
          <w:b w:val="0"/>
          <w:sz w:val="32"/>
        </w:rPr>
        <w:t>三、《支出决算表》</w:t>
      </w:r>
    </w:p>
    <w:p w14:paraId="6DBD6238">
      <w:pPr>
        <w:spacing w:line="240" w:lineRule="auto"/>
        <w:ind w:firstLine="640"/>
        <w:jc w:val="both"/>
      </w:pPr>
      <w:r>
        <w:rPr>
          <w:rFonts w:ascii="仿宋_GB2312" w:hAnsi="仿宋_GB2312" w:eastAsia="仿宋_GB2312"/>
          <w:b w:val="0"/>
          <w:sz w:val="32"/>
        </w:rPr>
        <w:t>四、《财政拨款收入支出决算总表》</w:t>
      </w:r>
    </w:p>
    <w:p w14:paraId="2154E54A">
      <w:pPr>
        <w:spacing w:line="240" w:lineRule="auto"/>
        <w:ind w:firstLine="640"/>
        <w:jc w:val="both"/>
      </w:pPr>
      <w:r>
        <w:rPr>
          <w:rFonts w:ascii="仿宋_GB2312" w:hAnsi="仿宋_GB2312" w:eastAsia="仿宋_GB2312"/>
          <w:b w:val="0"/>
          <w:sz w:val="32"/>
        </w:rPr>
        <w:t>五、《一般公共预算财政拨款支出决算表》</w:t>
      </w:r>
    </w:p>
    <w:p w14:paraId="06611297">
      <w:pPr>
        <w:spacing w:line="240" w:lineRule="auto"/>
        <w:ind w:firstLine="640"/>
        <w:jc w:val="both"/>
      </w:pPr>
      <w:r>
        <w:rPr>
          <w:rFonts w:ascii="仿宋_GB2312" w:hAnsi="仿宋_GB2312" w:eastAsia="仿宋_GB2312"/>
          <w:b w:val="0"/>
          <w:sz w:val="32"/>
        </w:rPr>
        <w:t>六、《一般公共预算财政拨款基本支出决算表》</w:t>
      </w:r>
    </w:p>
    <w:p w14:paraId="79BA708B">
      <w:pPr>
        <w:spacing w:line="240" w:lineRule="auto"/>
        <w:ind w:firstLine="640"/>
        <w:jc w:val="both"/>
      </w:pPr>
      <w:r>
        <w:rPr>
          <w:rFonts w:ascii="仿宋_GB2312" w:hAnsi="仿宋_GB2312" w:eastAsia="仿宋_GB2312"/>
          <w:b w:val="0"/>
          <w:sz w:val="32"/>
        </w:rPr>
        <w:t>七、《政府性基金预算财政拨款收入支出决算表》</w:t>
      </w:r>
    </w:p>
    <w:p w14:paraId="648EBE7D">
      <w:pPr>
        <w:spacing w:line="240" w:lineRule="auto"/>
        <w:ind w:firstLine="640"/>
        <w:jc w:val="both"/>
      </w:pPr>
      <w:r>
        <w:rPr>
          <w:rFonts w:ascii="仿宋_GB2312" w:hAnsi="仿宋_GB2312" w:eastAsia="仿宋_GB2312"/>
          <w:b w:val="0"/>
          <w:sz w:val="32"/>
        </w:rPr>
        <w:t>八、《国有资本经营预算财政拨款收入支出决算表》</w:t>
      </w:r>
    </w:p>
    <w:p w14:paraId="35A69E73">
      <w:pPr>
        <w:spacing w:line="240" w:lineRule="auto"/>
        <w:ind w:firstLine="640"/>
        <w:jc w:val="both"/>
      </w:pPr>
      <w:r>
        <w:rPr>
          <w:rFonts w:ascii="仿宋_GB2312" w:hAnsi="仿宋_GB2312" w:eastAsia="仿宋_GB2312"/>
          <w:b w:val="0"/>
          <w:sz w:val="32"/>
        </w:rPr>
        <w:t>九、《财政拨款“三公”经费支出决算表》</w:t>
      </w:r>
    </w:p>
    <w:p w14:paraId="374EADCE">
      <w:pPr>
        <w:spacing w:line="240" w:lineRule="auto"/>
        <w:ind w:firstLine="640"/>
        <w:jc w:val="both"/>
      </w:pPr>
    </w:p>
    <w:p w14:paraId="3E8F7B56">
      <w:pPr>
        <w:spacing w:line="240" w:lineRule="auto"/>
        <w:ind w:firstLine="640"/>
        <w:jc w:val="both"/>
      </w:pPr>
    </w:p>
    <w:p w14:paraId="7B7E9431">
      <w:pPr>
        <w:spacing w:line="240" w:lineRule="auto"/>
        <w:ind w:firstLine="640"/>
        <w:jc w:val="both"/>
      </w:pPr>
    </w:p>
    <w:p w14:paraId="40217FE0">
      <w:pPr>
        <w:spacing w:line="240" w:lineRule="auto"/>
        <w:ind w:firstLine="640"/>
        <w:jc w:val="both"/>
      </w:pPr>
    </w:p>
    <w:p w14:paraId="3D22B66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DE004E"/>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2A19B2"/>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7036</Words>
  <Characters>7758</Characters>
  <Lines>0</Lines>
  <Paragraphs>0</Paragraphs>
  <TotalTime>14</TotalTime>
  <ScaleCrop>false</ScaleCrop>
  <LinksUpToDate>false</LinksUpToDate>
  <CharactersWithSpaces>7768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2025-09-12T02:25:28Z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