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AB9451"/>
    <w:p w14:paraId="356C2DC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290E204">
      <w:pPr>
        <w:spacing w:line="540" w:lineRule="exact"/>
        <w:jc w:val="center"/>
        <w:rPr>
          <w:rFonts w:ascii="华文中宋" w:hAnsi="华文中宋" w:eastAsia="华文中宋" w:cs="宋体"/>
          <w:b/>
          <w:kern w:val="0"/>
          <w:sz w:val="52"/>
          <w:szCs w:val="52"/>
        </w:rPr>
      </w:pPr>
    </w:p>
    <w:p w14:paraId="5419D4EF">
      <w:pPr>
        <w:spacing w:line="540" w:lineRule="exact"/>
        <w:jc w:val="center"/>
        <w:rPr>
          <w:rFonts w:ascii="华文中宋" w:hAnsi="华文中宋" w:eastAsia="华文中宋" w:cs="宋体"/>
          <w:b/>
          <w:kern w:val="0"/>
          <w:sz w:val="52"/>
          <w:szCs w:val="52"/>
        </w:rPr>
      </w:pPr>
    </w:p>
    <w:p w14:paraId="33296842">
      <w:pPr>
        <w:spacing w:line="540" w:lineRule="exact"/>
        <w:jc w:val="center"/>
        <w:rPr>
          <w:rFonts w:ascii="华文中宋" w:hAnsi="华文中宋" w:eastAsia="华文中宋" w:cs="宋体"/>
          <w:b/>
          <w:kern w:val="0"/>
          <w:sz w:val="52"/>
          <w:szCs w:val="52"/>
        </w:rPr>
      </w:pPr>
    </w:p>
    <w:p w14:paraId="29459DE4">
      <w:pPr>
        <w:spacing w:line="540" w:lineRule="exact"/>
        <w:jc w:val="center"/>
        <w:rPr>
          <w:rFonts w:ascii="华文中宋" w:hAnsi="华文中宋" w:eastAsia="华文中宋" w:cs="宋体"/>
          <w:b/>
          <w:kern w:val="0"/>
          <w:sz w:val="52"/>
          <w:szCs w:val="52"/>
        </w:rPr>
      </w:pPr>
    </w:p>
    <w:p w14:paraId="2D7CEC59">
      <w:pPr>
        <w:spacing w:line="540" w:lineRule="exact"/>
        <w:jc w:val="center"/>
        <w:rPr>
          <w:rFonts w:ascii="华文中宋" w:hAnsi="华文中宋" w:eastAsia="华文中宋" w:cs="宋体"/>
          <w:b/>
          <w:kern w:val="0"/>
          <w:sz w:val="52"/>
          <w:szCs w:val="52"/>
        </w:rPr>
      </w:pPr>
    </w:p>
    <w:p w14:paraId="2055FDA7">
      <w:pPr>
        <w:spacing w:line="540" w:lineRule="exact"/>
        <w:jc w:val="center"/>
        <w:rPr>
          <w:rFonts w:ascii="华文中宋" w:hAnsi="华文中宋" w:eastAsia="华文中宋" w:cs="宋体"/>
          <w:b/>
          <w:kern w:val="0"/>
          <w:sz w:val="52"/>
          <w:szCs w:val="52"/>
        </w:rPr>
      </w:pPr>
    </w:p>
    <w:p w14:paraId="2EF3718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6819FB9">
      <w:pPr>
        <w:spacing w:line="540" w:lineRule="exact"/>
        <w:jc w:val="center"/>
        <w:rPr>
          <w:rFonts w:ascii="华文中宋" w:hAnsi="华文中宋" w:eastAsia="华文中宋" w:cs="宋体"/>
          <w:b/>
          <w:kern w:val="0"/>
          <w:sz w:val="52"/>
          <w:szCs w:val="52"/>
        </w:rPr>
      </w:pPr>
    </w:p>
    <w:p w14:paraId="3F5100A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915C907">
      <w:pPr>
        <w:spacing w:line="540" w:lineRule="exact"/>
        <w:jc w:val="center"/>
        <w:rPr>
          <w:rFonts w:hAnsi="宋体" w:eastAsia="仿宋_GB2312" w:cs="宋体"/>
          <w:kern w:val="0"/>
          <w:sz w:val="30"/>
          <w:szCs w:val="30"/>
        </w:rPr>
      </w:pPr>
    </w:p>
    <w:p w14:paraId="2FF42772">
      <w:pPr>
        <w:spacing w:line="540" w:lineRule="exact"/>
        <w:jc w:val="center"/>
        <w:rPr>
          <w:rFonts w:hAnsi="宋体" w:eastAsia="仿宋_GB2312" w:cs="宋体"/>
          <w:kern w:val="0"/>
          <w:sz w:val="30"/>
          <w:szCs w:val="30"/>
        </w:rPr>
      </w:pPr>
    </w:p>
    <w:p w14:paraId="47B3E35E">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715FBF5">
      <w:pPr>
        <w:spacing w:line="540" w:lineRule="exact"/>
        <w:jc w:val="center"/>
        <w:rPr>
          <w:rFonts w:hAnsi="宋体" w:eastAsia="仿宋_GB2312" w:cs="宋体"/>
          <w:kern w:val="0"/>
          <w:sz w:val="30"/>
          <w:szCs w:val="30"/>
        </w:rPr>
      </w:pPr>
    </w:p>
    <w:p w14:paraId="000176A2">
      <w:pPr>
        <w:spacing w:line="540" w:lineRule="exact"/>
        <w:jc w:val="center"/>
        <w:rPr>
          <w:rFonts w:hAnsi="宋体" w:eastAsia="仿宋_GB2312" w:cs="宋体"/>
          <w:kern w:val="0"/>
          <w:sz w:val="30"/>
          <w:szCs w:val="30"/>
        </w:rPr>
      </w:pPr>
    </w:p>
    <w:p w14:paraId="0205A722">
      <w:pPr>
        <w:spacing w:line="540" w:lineRule="exact"/>
        <w:jc w:val="center"/>
        <w:rPr>
          <w:rFonts w:hAnsi="宋体" w:eastAsia="仿宋_GB2312" w:cs="宋体"/>
          <w:kern w:val="0"/>
          <w:sz w:val="30"/>
          <w:szCs w:val="30"/>
        </w:rPr>
      </w:pPr>
    </w:p>
    <w:p w14:paraId="6B0D74FE">
      <w:pPr>
        <w:spacing w:line="540" w:lineRule="exact"/>
        <w:rPr>
          <w:rFonts w:hAnsi="宋体" w:eastAsia="仿宋_GB2312" w:cs="宋体"/>
          <w:kern w:val="0"/>
          <w:sz w:val="30"/>
          <w:szCs w:val="30"/>
        </w:rPr>
      </w:pPr>
    </w:p>
    <w:p w14:paraId="3897546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DD4413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格库铁路（新疆段）扩能改造项目</w:t>
      </w:r>
    </w:p>
    <w:p w14:paraId="2941AF3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自然资源局</w:t>
      </w:r>
    </w:p>
    <w:p w14:paraId="471BC76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巴音郭楞蒙古自治州自然资源局</w:t>
      </w:r>
    </w:p>
    <w:p w14:paraId="16749A6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李浩</w:t>
      </w:r>
    </w:p>
    <w:p w14:paraId="4ADABD6B">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53AD206B">
      <w:pPr>
        <w:spacing w:line="700" w:lineRule="exact"/>
        <w:ind w:firstLine="708" w:firstLineChars="236"/>
        <w:jc w:val="left"/>
        <w:rPr>
          <w:rFonts w:hAnsi="宋体" w:eastAsia="仿宋_GB2312" w:cs="宋体"/>
          <w:kern w:val="0"/>
          <w:sz w:val="30"/>
          <w:szCs w:val="30"/>
        </w:rPr>
      </w:pPr>
    </w:p>
    <w:p w14:paraId="27B5D7ED">
      <w:pPr>
        <w:spacing w:line="540" w:lineRule="exact"/>
        <w:rPr>
          <w:rStyle w:val="19"/>
          <w:rFonts w:ascii="黑体" w:hAnsi="黑体" w:eastAsia="黑体"/>
          <w:b w:val="0"/>
          <w:spacing w:val="-4"/>
          <w:sz w:val="32"/>
          <w:szCs w:val="32"/>
        </w:rPr>
      </w:pPr>
    </w:p>
    <w:p w14:paraId="77CEF42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3510C0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25F764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沿线地区矿产资源丰富、旅游资源独特，是我国资源较为富集的区域，长期以来由于交通基础设施发展的滞后，资源开发利用程度较低，多数资源处于零星开发或待开发状态，资源优势无法转化为经济效益，制约了地方经济的发展。项目地处我国西北地区，是我国路网覆盖较少、路网结构较单薄的区域，以兰新线、南疆线、青藏线为骨架的路网结构无法满足未来经济发展的需要，本项目西联南疆线库尔勒站，途经若羌站与规划南疆环线连通，东接青藏铁路格尔木站，自西向东连通南疆线、南疆环线、敦格线、青藏线、格成线等六条既有、规划铁路，辐射南北疆、甘肃河西、西藏、成都、西宁等多个方向，填补了兰新线、南疆线、青藏线间的路网空白，增强了区域路网布局的合理性，缓解了西部路网主干线兰新铁路的运输压力，是强化区域路网结构、增强路网机动灵活性的重要路网干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综上所述，本项目对于促进沿线自然资源开发、加快地方经济发展、增强区域路网机动灵活性具有重要的意义和作用。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项目主要内容：格库铁路扩能改造项目组件报批工作，通过收集、整理、分析数据资料，进行前期实地现场调研，编制各项报告并充分征求相关部门意见后，收集汇总后上报自治区审批。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完成格库铁路扩能改造项目，其中包括：建设用地组件报批服务、占生态红线不可避让论证报告编制、占林地和草地可行性研究报告编制、征地实地调查和补偿费测算服务、永久用地勘界报告编制、房屋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该项目年初预算数366.5万元，全年预算数366.5万元，该项目资金已全部落实到位，资金来源为财政拨款。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366.5万元，全年预算数366.5万元，全年执行数364.5万元，预算执行率为99.5%，主要用于：建设用地组件报批服务费、占生态红线不可避让论证报告编制费、占林地和草地可行性研究报告编制费、征地实地调查和补偿费测算服务费、永久用地勘界报告编制费、房屋评估费。</w:t>
      </w:r>
    </w:p>
    <w:p w14:paraId="4AD87A1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CCF28C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按期完成格尔木至库尔勒铁路（新疆段）扩能改造工程建设用地组件报批工作，报批附件内容包括编制专项占生态红线不可避让论证报告、占林地和草地可行性研究报告、永久用地勘测定界报告以及房屋评估、征地实地调查和补偿费测算等，最终取得该项目建设用地批复，为项目建设用地提供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一是准备阶段：巴州人民政府和党委安排部署格库铁路扩能改造项目组件报批工作，根据巴音郭楞蒙古自治州人民政府《自治州研究推进格库铁路扩能改造和罗若铁路项目建设部署会议纪要》（巴政阅〔2023〕12号）和中共巴音郭楞蒙古自治州委员会第十一届党委财经委员会会议纪要十一届第12号文件开始收集前期资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是实施阶段：首先编制库尔勒市、若羌县、尉犁县土地复垦报告；库尔勒市、若羌县、尉犁县获取征占使用林地草地审核同意书；其次针对征收土地进行实地调查和补偿费进行测算；计划2024年1月前组件资料齐全上报自治区自然资源厅。</w:t>
      </w:r>
    </w:p>
    <w:p w14:paraId="001885D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FC9845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3DF2B8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严格遵循相关法规与标准，确保评价内容的全面性与准确性。从项目立项、预算编制并申请财政资金、评价指标体系的构建、各项数据收集整理、取得建设用地批复等工作环节，涵盖了经济效益、社会效益等多个维度，力求全方位反映项目的绩效状况。同时，对于每个指标的评价标准和数据来源、数据的质量和完整性均进行了明确说明，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客观地评判项目的管理绩效，了解和掌握格库铁路扩能改造项目工作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格库铁路扩能改造项目及其预算执行情况。该项目由巴州自然资源局负责实施，旨在完成格尔木至库尔勒铁路（新疆段）扩能改造工程建设用地组件报批工作，报批附件内容包括编制专项占生态红线不可避让论证报告、占林地和草地可行性研究报告、永久用地勘测定界报告以及房屋评估、征地实地调查和补偿费测算等，最终取得该项目建设用地批复，为项目建设用地提供保障。项目预算涵盖从2024年1月1日至2024年12月31日的全部资金投入与支出，涉及资金总额为366.5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产出指标（包括数量指标、质量指标、时效指标）、成本指标（包括经济成本指标）、效益指标（包括社会效益指标）三个维度进行格库铁路扩能改造工作评价，评价核心为资金的支出完成情况和效果。</w:t>
      </w:r>
    </w:p>
    <w:p w14:paraId="4B0EF95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15DCDA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格库铁路扩能改造项目采用最低成本法。开展格库铁路扩能改造项目建设用地组件报批工作，由各服务单位提供清单报价，评估组通过各服务单位的清单报价，选取最合理的成本最低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行业标准。计划标准：自治区自然资源厅办公室《关于明确当前建设用地报批工作有关事宜的通知》（新自然资办发〔2022〕32号）、巴音郭楞蒙古自治州人民政府《自治州研究推进格库铁路扩能改造和罗若铁路项目建设部署会议纪要》（巴政阅〔2023〕12号）文件作为标准。行业标准：依据《国土资源调查预算标准》（财政部、国土资源部，2010）、《财政部、国土资源部关于印发&lt;国土资源调查专项资金管理暂行办法&gt;的通知》（财建〔2004〕192号）等文件，作为行业标准参考。</w:t>
      </w:r>
    </w:p>
    <w:p w14:paraId="14036A7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A30811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巴州自然资源局副书记、局长程松林为组长，师伟东为副组长，李浩、张春魁、唐辉为组员，完成格尔木至库尔勒铁路（新疆段）扩能改造工程建设用地组件报批工作，报批附件内容包括编制专项占生态红线不可避让论证报告、占林地和草地可行性研究报告、永久用地勘测定界报告以及房屋评估、征地实地调查和补偿费测算等，最终取得该项目建设用地批复。根据项目的内容和特征制定了评价指标体系及评价标准以及评价实施方案，修正并确定所需资料清单，最终确定绩效评价工作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0A2012E1">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6A7C81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本项目严格按照科学公正、统筹兼顾、激励约束、公开透明的绩效评价原则，采用最低成本法，在保证目标实现的前提下，选择最节省成本的方案，帮助单位以最经济的方式实现目标，提高资金使用效率。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98分，属于“优”。其中，项目决策类指标权重为20分，得分为 20分，得分率为 100%。项目过程类指标权重为20分，得分为19分，得分率为 95%。项目产出类指标权重为40分，得分为39分，得分率为97.5%。项目效益类指标权重为20分，得分为20分，得分率为100%。具体打分情况详见：附件1综合评分表。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98</w:t>
      </w:r>
    </w:p>
    <w:p w14:paraId="307A618F">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154ABF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25960D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依据自治区自然资源厅办公室《关于明确当前建设用地报批工作有关事宜的通知》（新自然资办发〔2022〕32号）、巴音郭楞蒙古自治州人民政府《自治州研究推进格库铁路扩能改造和罗若铁路项目建设部署会议纪要》（巴政阅〔2023〕12号）符合国家法律法规、国民经济发展规划和相关政策。《国土资源调查预算标准》（财政部、国土资源部，2010）、《财政部、国土资源部关于印发&lt;国土资源调查专项资金管理暂行办法&gt;的通知》（财建〔2004〕192号）符合行业规范和政策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按照国家部门职责划分，自然资源部门为此项工作的责任部门。与部门职责范围相符，</w:t>
      </w:r>
      <w:r>
        <w:rPr>
          <w:rStyle w:val="19"/>
          <w:rFonts w:hint="eastAsia" w:ascii="楷体" w:hAnsi="楷体" w:eastAsia="楷体"/>
          <w:spacing w:val="-4"/>
          <w:sz w:val="32"/>
          <w:szCs w:val="32"/>
          <w:lang w:eastAsia="zh-CN"/>
        </w:rPr>
        <w:t>属于部门</w:t>
      </w:r>
      <w:r>
        <w:rPr>
          <w:rStyle w:val="19"/>
          <w:rFonts w:hint="eastAsia" w:ascii="楷体" w:hAnsi="楷体" w:eastAsia="楷体"/>
          <w:spacing w:val="-4"/>
          <w:sz w:val="32"/>
          <w:szCs w:val="32"/>
        </w:rPr>
        <w:t>履职所需。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项目立项为本级财政资金拨款，属于公共财政支持范围，符合中央、地方事权支出责任划分原则。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该项目为我部门全权负责，不存在与相关部门同类项目或部门内部相关项目重复的情况。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政策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格库铁路扩能改造项目设立了项目绩效目标，根据巴音郭楞蒙古自治州人民政府《自治州研究推进格库铁路扩能改造和罗若铁路项目建设部署会议纪要》（巴政阅〔2023〕12号）要求，按阶段完成目标要求，绩效目标与实际工作内容具有相关性；取得项目建设用地批复使得预期产出效益和效果也均能符合正常的业绩水平，并且与预算确定的项目投资额或资金量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格库铁路扩能改造项目将项目绩效目标细化分解为具体的绩效指标，一级指标共3条，二级指标共9条，三级指标共9条，其中量化指标条数共8条，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预算均用于格库铁路扩能改造项目组件报批工作，其中包含报告文本、图集的编制，预算内容与项目内容匹配。预算确定的项目投资额均按照编制工作阶段性任务的完成量设定，与实际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本项目预算资金根据《格库铁路扩能改造项目支出事前绩效评估报告》分配，预算资金分配依据充分；资金分配额度合理，与项目单位或地方实际相适应。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3AFBCF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74CC05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项目过程类指标包括资金管理和组织实施两方面的内容，由5个三级指标构成，权重分值为20分，实际得分19分，得分率为95%。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本项目总投资366.5万元，财政资金及时足额到位，到位率100%，预算资金按计划进度执行。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预算编制较为详细，项目资金支出总体能够按照预算执行，预算资金支出364.5万元，预算执行率为99.4%，偏差原因：根据政府采购招投标程序签订合同，实际付款364.5万元；改进措施：从严从高设置绩效指标。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制定了《巴州自然资源局财务管理制度》、《巴州自然资源局部门预算绩效管理实施办法（试行）》，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了相关管理办法，包括《巴州自然资源局财务管理制度》、《巴州自然资源局部门预算绩效管理实施办法（试行）》等，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完成格尔木至库尔勒铁路（新疆段）扩能改造工程建设用地组件报批工作，报批附件内容包括编制专项占生态红线不可避让论证报告、占林地和草地可行性研究报告、永久用地勘测定界报告以及房屋评估、征地实地调查和补偿费测算等，最终取得该项目建设用地批复，为项目建设用地提供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6A1E66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42B6DE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项目产出类指标包括产出数量、产出质量、产出时效、产出成本四方面的内容，由9个三级指标构成，权重分为40分，实际得分39分，得分率为97.5%。具体产出指标完成情况如下：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指标1：建设用地组件，指标值：=1件，实际完成值：=1件，指标完成率100%；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指标2：编制专项报告，指标值：=3套，实际完成值：=3套，指标完成率100%；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指标3：专项测算评估表，指标值：=2套，实际完成值：=2套，指标完成率100%。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指标1：用地批复通过率，指标值：100%，实际完成值：=100%，指标完成率100%。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指标1：用地组件批复完成时间，指标值：2024年8月30日前，实际完成值：2024年1月12日，指标完成率100%。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指标1：建设用地组件服务，指标值：≤25万元，实际完成值：25万元，指标完成率100%；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指标2：编制专项报告费用，指标值：≤306万元，实际完成值：=304万元，指标完成率99.4%，偏差原因：根据政府采购招投标程序签订合同，实际付款304万元；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指标3：专项测算评估表费用，指标值：≤35.5万元，实际完成值：35.5万元，指标完成率100%。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此项权重分值为40分，得分为39分。</w:t>
      </w:r>
    </w:p>
    <w:p w14:paraId="1F68125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608BA7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1.社会效益指标：指标1：保障项目建设用地，指标值：有效保障，实际完成值有效保障，指标完成率100%。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此项权重分值为20分，得分为20分。</w:t>
      </w:r>
    </w:p>
    <w:p w14:paraId="0142132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本项目未设置满意度指标。</w:t>
      </w:r>
    </w:p>
    <w:p w14:paraId="1E8959EC">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37E0E7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格库铁路扩能改造项目自评工作中，通过具体问题具体分析，了解项目绩效管理的内容，有利于项目实际应用和产出相匹配，有利于对项目进行有效监管，能够推动项目实施，后续我单位将提前布局化被动为主动，为项目尽快落地实施提供基础性保障。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在绩效评估管理工作中，发现在事前绩效评估工作中，制定绩效指标不完整、不全面，导致项目支出绩效评估出现偏差。改进措施：领会指标设置要求，结合项目实际对三级指标以及指标值进行设置，进一步提高绩效指标设定的精准性。</w:t>
      </w:r>
    </w:p>
    <w:p w14:paraId="3DB62FD1">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0A0DBB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进一步完善项目评价过程中有关数据和资料的收集、整理、审核及分析。项目启动时同步做好档案的归纳与整理，及时整理、收集、汇总，健全档案资料。项目后续管理有待进一步加强和跟踪。</w:t>
      </w:r>
    </w:p>
    <w:p w14:paraId="64528C5C">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D59F27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2889C973">
      <w:pPr>
        <w:spacing w:line="540" w:lineRule="exact"/>
        <w:ind w:firstLine="567"/>
        <w:rPr>
          <w:rStyle w:val="19"/>
          <w:rFonts w:ascii="仿宋" w:hAnsi="仿宋" w:eastAsia="仿宋"/>
          <w:b w:val="0"/>
          <w:spacing w:val="-4"/>
          <w:sz w:val="32"/>
          <w:szCs w:val="32"/>
        </w:rPr>
      </w:pPr>
    </w:p>
    <w:p w14:paraId="7D365ADF">
      <w:pPr>
        <w:spacing w:line="540" w:lineRule="exact"/>
        <w:ind w:firstLine="567"/>
        <w:rPr>
          <w:rStyle w:val="19"/>
          <w:rFonts w:ascii="仿宋" w:hAnsi="仿宋" w:eastAsia="仿宋"/>
          <w:b w:val="0"/>
          <w:spacing w:val="-4"/>
          <w:sz w:val="32"/>
          <w:szCs w:val="32"/>
        </w:rPr>
      </w:pPr>
    </w:p>
    <w:p w14:paraId="72641AC4">
      <w:pPr>
        <w:spacing w:line="540" w:lineRule="exact"/>
        <w:ind w:firstLine="567"/>
        <w:rPr>
          <w:rStyle w:val="19"/>
          <w:rFonts w:ascii="仿宋" w:hAnsi="仿宋" w:eastAsia="仿宋"/>
          <w:b w:val="0"/>
          <w:spacing w:val="-4"/>
          <w:sz w:val="32"/>
          <w:szCs w:val="32"/>
        </w:rPr>
      </w:pPr>
    </w:p>
    <w:p w14:paraId="1980B03E">
      <w:pPr>
        <w:spacing w:line="540" w:lineRule="exact"/>
        <w:ind w:firstLine="567"/>
        <w:rPr>
          <w:rStyle w:val="19"/>
          <w:rFonts w:ascii="仿宋" w:hAnsi="仿宋" w:eastAsia="仿宋"/>
          <w:b w:val="0"/>
          <w:spacing w:val="-4"/>
          <w:sz w:val="32"/>
          <w:szCs w:val="32"/>
        </w:rPr>
      </w:pPr>
    </w:p>
    <w:p w14:paraId="5F378240">
      <w:pPr>
        <w:spacing w:line="540" w:lineRule="exact"/>
        <w:ind w:firstLine="567"/>
        <w:rPr>
          <w:rStyle w:val="19"/>
          <w:rFonts w:ascii="仿宋" w:hAnsi="仿宋" w:eastAsia="仿宋"/>
          <w:b w:val="0"/>
          <w:spacing w:val="-4"/>
          <w:sz w:val="32"/>
          <w:szCs w:val="32"/>
        </w:rPr>
      </w:pPr>
    </w:p>
    <w:p w14:paraId="2B2D35ED">
      <w:pPr>
        <w:spacing w:line="540" w:lineRule="exact"/>
        <w:ind w:firstLine="567"/>
        <w:rPr>
          <w:rStyle w:val="19"/>
          <w:rFonts w:ascii="仿宋" w:hAnsi="仿宋" w:eastAsia="仿宋"/>
          <w:b w:val="0"/>
          <w:spacing w:val="-4"/>
          <w:sz w:val="32"/>
          <w:szCs w:val="32"/>
        </w:rPr>
      </w:pPr>
    </w:p>
    <w:p w14:paraId="105A64DF">
      <w:pPr>
        <w:spacing w:line="540" w:lineRule="exact"/>
        <w:ind w:firstLine="567"/>
        <w:rPr>
          <w:rStyle w:val="19"/>
          <w:rFonts w:ascii="仿宋" w:hAnsi="仿宋" w:eastAsia="仿宋"/>
          <w:b w:val="0"/>
          <w:spacing w:val="-4"/>
          <w:sz w:val="32"/>
          <w:szCs w:val="32"/>
        </w:rPr>
      </w:pPr>
    </w:p>
    <w:p w14:paraId="4C2B8ED6">
      <w:pPr>
        <w:spacing w:line="540" w:lineRule="exact"/>
        <w:ind w:firstLine="567"/>
        <w:rPr>
          <w:rStyle w:val="19"/>
          <w:rFonts w:ascii="仿宋" w:hAnsi="仿宋" w:eastAsia="仿宋"/>
          <w:b w:val="0"/>
          <w:spacing w:val="-4"/>
          <w:sz w:val="32"/>
          <w:szCs w:val="32"/>
        </w:rPr>
      </w:pPr>
    </w:p>
    <w:p w14:paraId="43BEECF0">
      <w:pPr>
        <w:spacing w:line="540" w:lineRule="exact"/>
        <w:ind w:firstLine="567"/>
        <w:rPr>
          <w:rStyle w:val="19"/>
          <w:rFonts w:ascii="仿宋" w:hAnsi="仿宋" w:eastAsia="仿宋"/>
          <w:b w:val="0"/>
          <w:spacing w:val="-4"/>
          <w:sz w:val="32"/>
          <w:szCs w:val="32"/>
        </w:rPr>
      </w:pPr>
    </w:p>
    <w:p w14:paraId="6AF2706E">
      <w:pPr>
        <w:spacing w:line="540" w:lineRule="exact"/>
        <w:ind w:firstLine="567"/>
        <w:rPr>
          <w:rStyle w:val="19"/>
          <w:rFonts w:ascii="仿宋" w:hAnsi="仿宋" w:eastAsia="仿宋"/>
          <w:b w:val="0"/>
          <w:spacing w:val="-4"/>
          <w:sz w:val="32"/>
          <w:szCs w:val="32"/>
        </w:rPr>
      </w:pPr>
    </w:p>
    <w:p w14:paraId="078F2A8B">
      <w:pPr>
        <w:spacing w:line="540" w:lineRule="exact"/>
        <w:ind w:firstLine="567"/>
        <w:rPr>
          <w:rStyle w:val="19"/>
          <w:rFonts w:ascii="仿宋" w:hAnsi="仿宋" w:eastAsia="仿宋"/>
          <w:b w:val="0"/>
          <w:spacing w:val="-4"/>
          <w:sz w:val="32"/>
          <w:szCs w:val="32"/>
        </w:rPr>
      </w:pPr>
    </w:p>
    <w:p w14:paraId="5B280450">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6A549ED-80D7-4D91-AF6E-4B3F2A1E10A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699E919-5612-4E01-A053-5C8540666BC3}"/>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D847F53-5089-4DC3-AAC1-4B26702C1D83}"/>
  </w:font>
  <w:font w:name="华文中宋">
    <w:panose1 w:val="02010600040101010101"/>
    <w:charset w:val="86"/>
    <w:family w:val="auto"/>
    <w:pitch w:val="default"/>
    <w:sig w:usb0="00000287" w:usb1="080F0000" w:usb2="00000000" w:usb3="00000000" w:csb0="0004009F" w:csb1="DFD70000"/>
    <w:embedRegular r:id="rId4" w:fontKey="{10CB0A31-01C2-4C58-B4D5-1C83DB8174FB}"/>
  </w:font>
  <w:font w:name="方正小标宋_GBK">
    <w:panose1 w:val="02000000000000000000"/>
    <w:charset w:val="86"/>
    <w:family w:val="script"/>
    <w:pitch w:val="default"/>
    <w:sig w:usb0="A00002BF" w:usb1="38CF7CFA" w:usb2="00082016" w:usb3="00000000" w:csb0="00040001" w:csb1="00000000"/>
    <w:embedRegular r:id="rId5" w:fontKey="{2DFF7B52-5DBA-4581-BB4C-8039D38BA3E0}"/>
  </w:font>
  <w:font w:name="仿宋_GB2312">
    <w:altName w:val="仿宋"/>
    <w:panose1 w:val="02010609030101010101"/>
    <w:charset w:val="86"/>
    <w:family w:val="modern"/>
    <w:pitch w:val="default"/>
    <w:sig w:usb0="00000000" w:usb1="00000000" w:usb2="00000000" w:usb3="00000000" w:csb0="00040000" w:csb1="00000000"/>
    <w:embedRegular r:id="rId6" w:fontKey="{D8D780AE-AAC1-49CA-8581-2D822369F842}"/>
  </w:font>
  <w:font w:name="楷体">
    <w:panose1 w:val="02010609060101010101"/>
    <w:charset w:val="86"/>
    <w:family w:val="modern"/>
    <w:pitch w:val="default"/>
    <w:sig w:usb0="800002BF" w:usb1="38CF7CFA" w:usb2="00000016" w:usb3="00000000" w:csb0="00040001" w:csb1="00000000"/>
    <w:embedRegular r:id="rId7" w:fontKey="{3F1B2566-34F3-4A4C-AF7D-4BE35A53339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AB2CDDD">
        <w:pPr>
          <w:pStyle w:val="12"/>
          <w:jc w:val="center"/>
        </w:pPr>
        <w:r>
          <w:fldChar w:fldCharType="begin"/>
        </w:r>
        <w:r>
          <w:instrText xml:space="preserve">PAGE   \* MERGEFORMAT</w:instrText>
        </w:r>
        <w:r>
          <w:fldChar w:fldCharType="separate"/>
        </w:r>
        <w:r>
          <w:rPr>
            <w:lang w:val="zh-CN"/>
          </w:rPr>
          <w:t>1</w:t>
        </w:r>
        <w:r>
          <w:fldChar w:fldCharType="end"/>
        </w:r>
      </w:p>
    </w:sdtContent>
  </w:sdt>
  <w:p w14:paraId="48442CE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6A27F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98400d4f-a28f-4a63-89c8-38b608b84479}">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8420</Words>
  <Characters>8694</Characters>
  <Lines>5</Lines>
  <Paragraphs>1</Paragraphs>
  <TotalTime>0</TotalTime>
  <ScaleCrop>false</ScaleCrop>
  <LinksUpToDate>false</LinksUpToDate>
  <CharactersWithSpaces>8726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2025-09-22T03:10:17Z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