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巴音郭楞蒙古自治州自然资源局2024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ED0AC11">
      <w:r>
        <w:br w:type="page"/>
      </w:r>
    </w:p>
    <w:p w14:paraId="322083E1">
      <w:pPr>
        <w:spacing w:line="640" w:lineRule="exact"/>
        <w:jc w:val="center"/>
        <w:outlineLvl w:val="1"/>
      </w:pPr>
      <w:r>
        <w:rPr>
          <w:rFonts w:ascii="黑体" w:hAnsi="黑体" w:eastAsia="黑体"/>
          <w:sz w:val="32"/>
        </w:rPr>
        <w:t>第一部分 单位概况</w:t>
      </w:r>
    </w:p>
    <w:p w14:paraId="56B532F3">
      <w:pPr>
        <w:spacing w:line="640" w:lineRule="exact"/>
        <w:ind w:firstLine="640"/>
        <w:jc w:val="both"/>
        <w:outlineLvl w:val="2"/>
      </w:pPr>
      <w:r>
        <w:rPr>
          <w:rFonts w:ascii="黑体" w:hAnsi="黑体" w:eastAsia="黑体"/>
          <w:sz w:val="32"/>
        </w:rPr>
        <w:t>一、主要职能</w:t>
      </w:r>
    </w:p>
    <w:p w14:paraId="0B9B1D6A">
      <w:pPr>
        <w:spacing w:line="580" w:lineRule="exact"/>
        <w:ind w:firstLine="640"/>
        <w:jc w:val="both"/>
      </w:pPr>
      <w:r>
        <w:rPr>
          <w:rFonts w:ascii="仿宋_GB2312" w:hAnsi="仿宋_GB2312" w:eastAsia="仿宋_GB2312"/>
          <w:sz w:val="32"/>
        </w:rPr>
        <w:t>履行全民所有土地、矿产、森林、草原、湿地、水等自然资源资产所有者职责和所有国土空间用途管制、自然资源统一确权登记、自然资源资产有偿使用、自然资源的合理开发利用、建立空间规划体系并监督实施、统筹国土空间生态修复、组织实施最严格的耕地保护制度、地质、矿产资源管理、测绘地理信息管理、自然资源领域科技发展、依法行政、统一管理和协调自治州林业和草原局、党的建设、人事管理、党风廉政建设和反腐败工作、精神文明、维护稳定工作、</w:t>
      </w:r>
      <w:r>
        <w:rPr>
          <w:rFonts w:hint="eastAsia" w:ascii="仿宋_GB2312" w:hAnsi="仿宋_GB2312" w:eastAsia="仿宋_GB2312"/>
          <w:sz w:val="32"/>
          <w:lang w:eastAsia="zh-CN"/>
        </w:rPr>
        <w:t>为民办实事</w:t>
      </w:r>
      <w:r>
        <w:rPr>
          <w:rFonts w:ascii="仿宋_GB2312" w:hAnsi="仿宋_GB2312" w:eastAsia="仿宋_GB2312"/>
          <w:sz w:val="32"/>
        </w:rPr>
        <w:t>、综合治理、民族团结工作、两个全覆盖、安全生产、脱贫攻坚18项主要职责。</w:t>
      </w:r>
    </w:p>
    <w:p w14:paraId="6AF730D7">
      <w:pPr>
        <w:spacing w:line="640" w:lineRule="exact"/>
        <w:ind w:firstLine="640"/>
        <w:jc w:val="both"/>
        <w:outlineLvl w:val="2"/>
      </w:pPr>
      <w:r>
        <w:rPr>
          <w:rFonts w:ascii="黑体" w:hAnsi="黑体" w:eastAsia="黑体"/>
          <w:sz w:val="32"/>
        </w:rPr>
        <w:t>二、机构设置及人员情况</w:t>
      </w:r>
    </w:p>
    <w:p w14:paraId="04485F91">
      <w:pPr>
        <w:spacing w:line="580" w:lineRule="exact"/>
        <w:ind w:firstLine="640"/>
        <w:jc w:val="both"/>
      </w:pPr>
      <w:r>
        <w:rPr>
          <w:rFonts w:ascii="仿宋_GB2312" w:hAnsi="仿宋_GB2312" w:eastAsia="仿宋_GB2312"/>
          <w:sz w:val="32"/>
        </w:rPr>
        <w:t>巴音郭楞蒙古自治州自然资源局2024年度，实有人数76人，其中：在职人员35人，增加4人；离休人员0人，增加0人；退休人员41人,增加2人。</w:t>
      </w:r>
    </w:p>
    <w:p w14:paraId="1E1431F3">
      <w:pPr>
        <w:spacing w:line="580" w:lineRule="exact"/>
        <w:ind w:firstLine="640"/>
        <w:jc w:val="both"/>
      </w:pPr>
      <w:r>
        <w:rPr>
          <w:rFonts w:ascii="仿宋_GB2312" w:hAnsi="仿宋_GB2312" w:eastAsia="仿宋_GB2312"/>
          <w:sz w:val="32"/>
        </w:rPr>
        <w:t>巴音郭楞蒙古自治州自然资源局无下属预算单位，下设8个科室，分别是：办公室、人事科、自然资源调查监测与测绘地理信息管理科、自然资源确权登记科、开发利用与用途管制科、国土空间规划科、矿业权管理科、地质勘查管理科。</w:t>
      </w:r>
    </w:p>
    <w:p w14:paraId="5B49C5F4">
      <w:r>
        <w:br w:type="page"/>
      </w:r>
    </w:p>
    <w:p w14:paraId="6F406B50">
      <w:pPr>
        <w:spacing w:line="240" w:lineRule="auto"/>
        <w:jc w:val="center"/>
        <w:outlineLvl w:val="1"/>
      </w:pPr>
      <w:r>
        <w:rPr>
          <w:rFonts w:ascii="黑体" w:hAnsi="黑体" w:eastAsia="黑体"/>
          <w:sz w:val="32"/>
        </w:rPr>
        <w:t>第二部分 部门决算情况说明</w:t>
      </w:r>
    </w:p>
    <w:p w14:paraId="2D12936B">
      <w:pPr>
        <w:spacing w:line="640" w:lineRule="exact"/>
        <w:ind w:firstLine="640"/>
        <w:jc w:val="both"/>
        <w:outlineLvl w:val="2"/>
      </w:pPr>
      <w:r>
        <w:rPr>
          <w:rFonts w:ascii="黑体" w:hAnsi="黑体" w:eastAsia="黑体"/>
          <w:sz w:val="32"/>
        </w:rPr>
        <w:t>一、收入支出决算总体情况说明</w:t>
      </w:r>
    </w:p>
    <w:p w14:paraId="4215BEF7">
      <w:pPr>
        <w:spacing w:line="580" w:lineRule="exact"/>
        <w:ind w:firstLine="640"/>
        <w:jc w:val="both"/>
      </w:pPr>
      <w:r>
        <w:rPr>
          <w:rFonts w:ascii="仿宋_GB2312" w:hAnsi="仿宋_GB2312" w:eastAsia="仿宋_GB2312"/>
          <w:b/>
          <w:sz w:val="32"/>
        </w:rPr>
        <w:t>2024年度收入总计1,755.00万元，</w:t>
      </w:r>
      <w:r>
        <w:rPr>
          <w:rFonts w:ascii="仿宋_GB2312" w:hAnsi="仿宋_GB2312" w:eastAsia="仿宋_GB2312"/>
          <w:b w:val="0"/>
          <w:sz w:val="32"/>
        </w:rPr>
        <w:t>其中：本年收入合计1,755.00万元，使用非财政拨款结余（含专用结余）0.00万元，年初结转和结余0.00万元。</w:t>
      </w:r>
    </w:p>
    <w:p w14:paraId="61F26353">
      <w:pPr>
        <w:spacing w:line="580" w:lineRule="exact"/>
        <w:ind w:firstLine="640"/>
        <w:jc w:val="both"/>
      </w:pPr>
      <w:r>
        <w:rPr>
          <w:rFonts w:ascii="仿宋_GB2312" w:hAnsi="仿宋_GB2312" w:eastAsia="仿宋_GB2312"/>
          <w:b/>
          <w:sz w:val="32"/>
        </w:rPr>
        <w:t>2024年度支出总计1,755.00万元，</w:t>
      </w:r>
      <w:r>
        <w:rPr>
          <w:rFonts w:ascii="仿宋_GB2312" w:hAnsi="仿宋_GB2312" w:eastAsia="仿宋_GB2312"/>
          <w:b w:val="0"/>
          <w:sz w:val="32"/>
        </w:rPr>
        <w:t>其中：本年支出合计1,754.99万元，结余分配0.00万元，年末结转和结余0.01万元。</w:t>
      </w:r>
    </w:p>
    <w:p w14:paraId="574DF036">
      <w:pPr>
        <w:spacing w:line="580" w:lineRule="exact"/>
        <w:ind w:firstLine="640"/>
        <w:jc w:val="both"/>
      </w:pPr>
      <w:r>
        <w:rPr>
          <w:rFonts w:ascii="仿宋_GB2312" w:hAnsi="仿宋_GB2312" w:eastAsia="仿宋_GB2312"/>
          <w:b w:val="0"/>
          <w:sz w:val="32"/>
        </w:rPr>
        <w:t>收入支出总体与上年相比，增加293.01万元，增长20.04%，主要原因是：本年度新增格库铁路（新疆段）扩能改造项目、自治州“十五五”加快矿业绿色转型高质量发展问题研究、库尔勒城市级实景三维建设项目；本年在职人员增加，在职人员工资调增、社保、公积金基数调增，人员经费增加。</w:t>
      </w:r>
    </w:p>
    <w:p w14:paraId="4CDE79AE">
      <w:pPr>
        <w:spacing w:line="640" w:lineRule="exact"/>
        <w:ind w:firstLine="640"/>
        <w:jc w:val="both"/>
        <w:outlineLvl w:val="2"/>
      </w:pPr>
      <w:r>
        <w:rPr>
          <w:rFonts w:ascii="黑体" w:hAnsi="黑体" w:eastAsia="黑体"/>
          <w:sz w:val="32"/>
        </w:rPr>
        <w:t>二、收入决算情况说明</w:t>
      </w:r>
    </w:p>
    <w:p w14:paraId="4DD9BE6E">
      <w:pPr>
        <w:spacing w:line="580" w:lineRule="exact"/>
        <w:ind w:firstLine="640"/>
        <w:jc w:val="both"/>
      </w:pPr>
      <w:r>
        <w:rPr>
          <w:rFonts w:ascii="仿宋_GB2312" w:hAnsi="仿宋_GB2312" w:eastAsia="仿宋_GB2312"/>
          <w:b/>
          <w:sz w:val="32"/>
        </w:rPr>
        <w:t>本年收入1,755.00万元，</w:t>
      </w:r>
      <w:r>
        <w:rPr>
          <w:rFonts w:ascii="仿宋_GB2312" w:hAnsi="仿宋_GB2312" w:eastAsia="仿宋_GB2312"/>
          <w:b w:val="0"/>
          <w:sz w:val="32"/>
        </w:rPr>
        <w:t>其中：财政拨款收入1,732.78万元，占98.73%；上级补助收入0.00万元，占0.00%；事业收入0.00万元，占0.00%；经营收入0.00万元，占0.00%；附属单位上缴收入0.00万元，占0.00%；其他收入22.22万元，占1.27%。</w:t>
      </w:r>
    </w:p>
    <w:p w14:paraId="3E5EFC19">
      <w:pPr>
        <w:spacing w:line="640" w:lineRule="exact"/>
        <w:ind w:firstLine="640"/>
        <w:jc w:val="both"/>
        <w:outlineLvl w:val="2"/>
      </w:pPr>
      <w:r>
        <w:rPr>
          <w:rFonts w:ascii="黑体" w:hAnsi="黑体" w:eastAsia="黑体"/>
          <w:sz w:val="32"/>
        </w:rPr>
        <w:t>三、支出决算情况说明</w:t>
      </w:r>
    </w:p>
    <w:p w14:paraId="76C597E1">
      <w:pPr>
        <w:spacing w:line="580" w:lineRule="exact"/>
        <w:ind w:firstLine="640"/>
        <w:jc w:val="both"/>
      </w:pPr>
      <w:r>
        <w:rPr>
          <w:rFonts w:ascii="仿宋_GB2312" w:hAnsi="仿宋_GB2312" w:eastAsia="仿宋_GB2312"/>
          <w:b/>
          <w:sz w:val="32"/>
        </w:rPr>
        <w:t>本年支出1,754.99万元，</w:t>
      </w:r>
      <w:r>
        <w:rPr>
          <w:rFonts w:ascii="仿宋_GB2312" w:hAnsi="仿宋_GB2312" w:eastAsia="仿宋_GB2312"/>
          <w:b w:val="0"/>
          <w:sz w:val="32"/>
        </w:rPr>
        <w:t>其中：基本支出726.30万元，占41.38%；项目支出1,028.69万元，占58.62%；上缴上级支出0.00万元，占0.00%；经营支出0.00万元，占0.00%；对附属单位补助支出0.00万元，占0.00%。</w:t>
      </w:r>
    </w:p>
    <w:p w14:paraId="1E076459">
      <w:pPr>
        <w:spacing w:line="640" w:lineRule="exact"/>
        <w:ind w:firstLine="640"/>
        <w:jc w:val="both"/>
        <w:outlineLvl w:val="2"/>
      </w:pPr>
      <w:r>
        <w:rPr>
          <w:rFonts w:ascii="黑体" w:hAnsi="黑体" w:eastAsia="黑体"/>
          <w:sz w:val="32"/>
        </w:rPr>
        <w:t>四、财政拨款收入支出决算总体情况说明</w:t>
      </w:r>
    </w:p>
    <w:p w14:paraId="51D9BDD7">
      <w:pPr>
        <w:spacing w:line="580" w:lineRule="exact"/>
        <w:ind w:firstLine="640"/>
        <w:jc w:val="both"/>
      </w:pPr>
      <w:r>
        <w:rPr>
          <w:rFonts w:ascii="仿宋_GB2312" w:hAnsi="仿宋_GB2312" w:eastAsia="仿宋_GB2312"/>
          <w:b/>
          <w:sz w:val="32"/>
        </w:rPr>
        <w:t>2024年度财政拨款收入总计1,732.78万元，</w:t>
      </w:r>
      <w:r>
        <w:rPr>
          <w:rFonts w:ascii="仿宋_GB2312" w:hAnsi="仿宋_GB2312" w:eastAsia="仿宋_GB2312"/>
          <w:b w:val="0"/>
          <w:sz w:val="32"/>
        </w:rPr>
        <w:t>其中：年初财政拨款结转和结余0.00万元，本年财政拨款收入1,732.78万元。</w:t>
      </w:r>
      <w:r>
        <w:rPr>
          <w:rFonts w:ascii="仿宋_GB2312" w:hAnsi="仿宋_GB2312" w:eastAsia="仿宋_GB2312"/>
          <w:b/>
          <w:sz w:val="32"/>
        </w:rPr>
        <w:t>财政拨款支出总计1,732.78万元，</w:t>
      </w:r>
      <w:r>
        <w:rPr>
          <w:rFonts w:ascii="仿宋_GB2312" w:hAnsi="仿宋_GB2312" w:eastAsia="仿宋_GB2312"/>
          <w:b w:val="0"/>
          <w:sz w:val="32"/>
        </w:rPr>
        <w:t>其中：年末财政拨款结转和结余0.00万元，本年财政拨款支出1,732.78万元。</w:t>
      </w:r>
    </w:p>
    <w:p w14:paraId="3D02DC8F">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270.79万元，增长18.52%，主要原因是：本年度新增格库铁路（新疆段）扩能改造项目、自治州“十五五”加快矿业绿色转型高质量发展问题研究、库尔勒城市级实景三维建设项目；本年在职人员增加，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1,189.95万元，决算数1,732.78万元，预决算差异率45.62%，主要原因是：年中追加特定类项目自治州“十五五”加快矿业绿色转型高质量发展问题研究、库尔勒城市级实景三维建设项目，导致预决算存在差异。</w:t>
      </w:r>
    </w:p>
    <w:p w14:paraId="069FF26B">
      <w:pPr>
        <w:spacing w:line="640" w:lineRule="exact"/>
        <w:ind w:firstLine="640"/>
        <w:jc w:val="both"/>
        <w:outlineLvl w:val="2"/>
      </w:pPr>
      <w:r>
        <w:rPr>
          <w:rFonts w:ascii="黑体" w:hAnsi="黑体" w:eastAsia="黑体"/>
          <w:sz w:val="32"/>
        </w:rPr>
        <w:t>五、一般公共预算财政拨款支出决算情况说明</w:t>
      </w:r>
    </w:p>
    <w:p w14:paraId="56741BBF">
      <w:pPr>
        <w:spacing w:line="640" w:lineRule="exact"/>
        <w:ind w:firstLine="640"/>
        <w:jc w:val="both"/>
        <w:outlineLvl w:val="3"/>
      </w:pPr>
      <w:r>
        <w:rPr>
          <w:rFonts w:ascii="楷体_GB2312" w:hAnsi="楷体_GB2312" w:eastAsia="楷体_GB2312"/>
          <w:b/>
          <w:sz w:val="32"/>
        </w:rPr>
        <w:t>（一）一般公共预算财政拨款支出决算总体情况</w:t>
      </w:r>
    </w:p>
    <w:p w14:paraId="3E6F9B6C">
      <w:pPr>
        <w:spacing w:line="580" w:lineRule="exact"/>
        <w:ind w:firstLine="640"/>
        <w:jc w:val="both"/>
      </w:pPr>
      <w:r>
        <w:rPr>
          <w:rFonts w:ascii="仿宋_GB2312" w:hAnsi="仿宋_GB2312" w:eastAsia="仿宋_GB2312"/>
          <w:b/>
          <w:sz w:val="32"/>
        </w:rPr>
        <w:t>2024年度一般公共预算财政拨款支出1,732.78万元，</w:t>
      </w:r>
      <w:r>
        <w:rPr>
          <w:rFonts w:ascii="仿宋_GB2312" w:hAnsi="仿宋_GB2312" w:eastAsia="仿宋_GB2312"/>
          <w:b w:val="0"/>
          <w:sz w:val="32"/>
        </w:rPr>
        <w:t>占本年支出合计的98.73%。</w:t>
      </w:r>
      <w:r>
        <w:rPr>
          <w:rFonts w:ascii="仿宋_GB2312" w:hAnsi="仿宋_GB2312" w:eastAsia="仿宋_GB2312"/>
          <w:b/>
          <w:sz w:val="32"/>
        </w:rPr>
        <w:t>与上年相比，</w:t>
      </w:r>
      <w:r>
        <w:rPr>
          <w:rFonts w:ascii="仿宋_GB2312" w:hAnsi="仿宋_GB2312" w:eastAsia="仿宋_GB2312"/>
          <w:b w:val="0"/>
          <w:sz w:val="32"/>
        </w:rPr>
        <w:t>增加270.79万元，增长18.52%，主要原因是：本年度新增格库铁路（新疆段）扩能改造项目、自治州“十五五”加快矿业绿色转型高质量发展问题研究、库尔勒城市级实景三维建设项目；本年在职人员增加，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1,189.95万元，决算数1,732.78万元，预决算差异率45.62%，主要原因是：年中追加特定类项目自治州“十五五”加快矿业绿色转型高质量发展问题研究、库尔勒城市级实景三维建设项目，导致预决算存在差异。</w:t>
      </w:r>
    </w:p>
    <w:p w14:paraId="733116B1">
      <w:pPr>
        <w:spacing w:line="640" w:lineRule="exact"/>
        <w:ind w:firstLine="640"/>
        <w:jc w:val="both"/>
        <w:outlineLvl w:val="3"/>
      </w:pPr>
      <w:r>
        <w:rPr>
          <w:rFonts w:ascii="楷体_GB2312" w:hAnsi="楷体_GB2312" w:eastAsia="楷体_GB2312"/>
          <w:b/>
          <w:sz w:val="32"/>
        </w:rPr>
        <w:t>（二）一般公共预算财政拨款支出决算结构情况</w:t>
      </w:r>
    </w:p>
    <w:p w14:paraId="5030196E">
      <w:pPr>
        <w:spacing w:line="580" w:lineRule="exact"/>
        <w:ind w:firstLine="640"/>
        <w:jc w:val="both"/>
      </w:pPr>
      <w:r>
        <w:rPr>
          <w:rFonts w:ascii="仿宋_GB2312" w:hAnsi="仿宋_GB2312" w:eastAsia="仿宋_GB2312"/>
          <w:b w:val="0"/>
          <w:sz w:val="32"/>
        </w:rPr>
        <w:t>1.一般公共服务支出(类)10.00万元,占0.58%。</w:t>
      </w:r>
    </w:p>
    <w:p w14:paraId="56EA5B2F">
      <w:pPr>
        <w:spacing w:line="580" w:lineRule="exact"/>
        <w:ind w:firstLine="640"/>
        <w:jc w:val="both"/>
      </w:pPr>
      <w:r>
        <w:rPr>
          <w:rFonts w:ascii="仿宋_GB2312" w:hAnsi="仿宋_GB2312" w:eastAsia="仿宋_GB2312"/>
          <w:b w:val="0"/>
          <w:sz w:val="32"/>
        </w:rPr>
        <w:t>2.教育支出(类)2.43万元,占0.14%。</w:t>
      </w:r>
    </w:p>
    <w:p w14:paraId="7B539F3D">
      <w:pPr>
        <w:spacing w:line="580" w:lineRule="exact"/>
        <w:ind w:firstLine="640"/>
        <w:jc w:val="both"/>
      </w:pPr>
      <w:r>
        <w:rPr>
          <w:rFonts w:ascii="仿宋_GB2312" w:hAnsi="仿宋_GB2312" w:eastAsia="仿宋_GB2312"/>
          <w:b w:val="0"/>
          <w:sz w:val="32"/>
        </w:rPr>
        <w:t>3.社会保障和就业支出(类)120.45万元,占6.95%。</w:t>
      </w:r>
    </w:p>
    <w:p w14:paraId="7C7368E7">
      <w:pPr>
        <w:spacing w:line="580" w:lineRule="exact"/>
        <w:ind w:firstLine="640"/>
        <w:jc w:val="both"/>
      </w:pPr>
      <w:r>
        <w:rPr>
          <w:rFonts w:ascii="仿宋_GB2312" w:hAnsi="仿宋_GB2312" w:eastAsia="仿宋_GB2312"/>
          <w:b w:val="0"/>
          <w:sz w:val="32"/>
        </w:rPr>
        <w:t>4.卫生健康支出(类)33.81万元,占1.95%。</w:t>
      </w:r>
    </w:p>
    <w:p w14:paraId="1166057C">
      <w:pPr>
        <w:spacing w:line="580" w:lineRule="exact"/>
        <w:ind w:firstLine="640"/>
        <w:jc w:val="both"/>
      </w:pPr>
      <w:r>
        <w:rPr>
          <w:rFonts w:ascii="仿宋_GB2312" w:hAnsi="仿宋_GB2312" w:eastAsia="仿宋_GB2312"/>
          <w:b w:val="0"/>
          <w:sz w:val="32"/>
        </w:rPr>
        <w:t>5.自然资源海洋气象等支出(类)1,518.66万元,占87.64%。</w:t>
      </w:r>
    </w:p>
    <w:p w14:paraId="18666C9F">
      <w:pPr>
        <w:spacing w:line="580" w:lineRule="exact"/>
        <w:ind w:firstLine="640"/>
        <w:jc w:val="both"/>
      </w:pPr>
      <w:r>
        <w:rPr>
          <w:rFonts w:ascii="仿宋_GB2312" w:hAnsi="仿宋_GB2312" w:eastAsia="仿宋_GB2312"/>
          <w:b w:val="0"/>
          <w:sz w:val="32"/>
        </w:rPr>
        <w:t>6.住房保障支出(类)47.43万元,占2.74%。</w:t>
      </w:r>
    </w:p>
    <w:p w14:paraId="361F5989">
      <w:pPr>
        <w:spacing w:line="640" w:lineRule="exact"/>
        <w:ind w:firstLine="640"/>
        <w:jc w:val="both"/>
        <w:outlineLvl w:val="3"/>
      </w:pPr>
      <w:r>
        <w:rPr>
          <w:rFonts w:ascii="楷体_GB2312" w:hAnsi="楷体_GB2312" w:eastAsia="楷体_GB2312"/>
          <w:b/>
          <w:sz w:val="32"/>
        </w:rPr>
        <w:t>（三）一般公共预算财政拨款支出决算具体情况</w:t>
      </w:r>
    </w:p>
    <w:p w14:paraId="3C072B76">
      <w:pPr>
        <w:spacing w:line="580" w:lineRule="exact"/>
        <w:ind w:firstLine="640"/>
        <w:jc w:val="both"/>
      </w:pPr>
      <w:r>
        <w:rPr>
          <w:rFonts w:ascii="仿宋_GB2312" w:hAnsi="仿宋_GB2312" w:eastAsia="仿宋_GB2312"/>
          <w:b w:val="0"/>
          <w:sz w:val="32"/>
        </w:rPr>
        <w:t>1.一般公共服务支出(类)发展与改革事务(款)经济体制改革研究(项):支出决算数为10.00万元，比上年决算增加10.00万元，增长100.00%,主要原因是：本年增加自治州“十五五”加快矿业绿色转型高质量发展问题研究项目。</w:t>
      </w:r>
    </w:p>
    <w:p w14:paraId="2D252A8C">
      <w:pPr>
        <w:spacing w:line="580" w:lineRule="exact"/>
        <w:ind w:firstLine="640"/>
        <w:jc w:val="both"/>
      </w:pPr>
      <w:r>
        <w:rPr>
          <w:rFonts w:ascii="仿宋_GB2312" w:hAnsi="仿宋_GB2312" w:eastAsia="仿宋_GB2312"/>
          <w:b w:val="0"/>
          <w:sz w:val="32"/>
        </w:rPr>
        <w:t>2.教育支出(类)进修及培训(款)培训支出(项):支出决算数为2.43万元，比上年决算增加0.26万元，增长11.98%,主要原因是：本年</w:t>
      </w:r>
      <w:r>
        <w:rPr>
          <w:rFonts w:hint="eastAsia" w:ascii="仿宋_GB2312" w:hAnsi="仿宋_GB2312" w:eastAsia="仿宋_GB2312"/>
          <w:b w:val="0"/>
          <w:sz w:val="32"/>
          <w:lang w:eastAsia="zh-CN"/>
        </w:rPr>
        <w:t>加大</w:t>
      </w:r>
      <w:r>
        <w:rPr>
          <w:rFonts w:ascii="仿宋_GB2312" w:hAnsi="仿宋_GB2312" w:eastAsia="仿宋_GB2312"/>
          <w:b w:val="0"/>
          <w:sz w:val="32"/>
        </w:rPr>
        <w:t>培训力度，培训次数增加，导致培训经费较上年增加。</w:t>
      </w:r>
    </w:p>
    <w:p w14:paraId="043D8809">
      <w:pPr>
        <w:spacing w:line="580" w:lineRule="exact"/>
        <w:ind w:firstLine="640"/>
        <w:jc w:val="both"/>
      </w:pPr>
      <w:r>
        <w:rPr>
          <w:rFonts w:ascii="仿宋_GB2312" w:hAnsi="仿宋_GB2312" w:eastAsia="仿宋_GB2312"/>
          <w:b w:val="0"/>
          <w:sz w:val="32"/>
        </w:rPr>
        <w:t>3.社会保障和就业支出(类)行政事业单位养老支出(款)行政单位离退休(项):支出决算数为41.21万元，比上年决算增加8.82万元，增长27.23%,主要原因是：本年退休人员增加，增加退休人员绩效奖，相应支出增加。</w:t>
      </w:r>
    </w:p>
    <w:p w14:paraId="64F78E95">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62.53万元，比上年决算增加11.30万元，增长22.06%,主要原因是：本年度在职人员增加，在职人员工资基数调增，养老缴费基数上涨，相应支出增加。</w:t>
      </w:r>
    </w:p>
    <w:p w14:paraId="1FC5E4AB">
      <w:pPr>
        <w:spacing w:line="580" w:lineRule="exact"/>
        <w:ind w:firstLine="640"/>
        <w:jc w:val="both"/>
      </w:pPr>
      <w:r>
        <w:rPr>
          <w:rFonts w:ascii="仿宋_GB2312" w:hAnsi="仿宋_GB2312" w:eastAsia="仿宋_GB2312"/>
          <w:b w:val="0"/>
          <w:sz w:val="32"/>
        </w:rPr>
        <w:t>5.社会保障和就业支出(类)行政事业单位养老支出(款)机关事业单位</w:t>
      </w:r>
      <w:bookmarkStart w:id="0" w:name="_GoBack"/>
      <w:r>
        <w:rPr>
          <w:rFonts w:ascii="仿宋_GB2312" w:hAnsi="仿宋_GB2312" w:eastAsia="仿宋_GB2312"/>
          <w:b w:val="0"/>
          <w:sz w:val="32"/>
        </w:rPr>
        <w:t>职业</w:t>
      </w:r>
      <w:bookmarkEnd w:id="0"/>
      <w:r>
        <w:rPr>
          <w:rFonts w:ascii="仿宋_GB2312" w:hAnsi="仿宋_GB2312" w:eastAsia="仿宋_GB2312"/>
          <w:b w:val="0"/>
          <w:sz w:val="32"/>
        </w:rPr>
        <w:t>年金缴费支出(项):支出决算数为16.71万元，比上年决算增加10.80万元，增长182.74%,主要原因是：本年新增退休人员</w:t>
      </w:r>
      <w:r>
        <w:rPr>
          <w:rFonts w:hint="eastAsia" w:ascii="仿宋_GB2312" w:hAnsi="仿宋_GB2312" w:eastAsia="仿宋_GB2312"/>
          <w:b w:val="0"/>
          <w:sz w:val="32"/>
          <w:lang w:eastAsia="zh-CN"/>
        </w:rPr>
        <w:t>较上年增加</w:t>
      </w:r>
      <w:r>
        <w:rPr>
          <w:rFonts w:ascii="仿宋_GB2312" w:hAnsi="仿宋_GB2312" w:eastAsia="仿宋_GB2312"/>
          <w:b w:val="0"/>
          <w:sz w:val="32"/>
        </w:rPr>
        <w:t>，职业年金缴费支出增加。</w:t>
      </w:r>
    </w:p>
    <w:p w14:paraId="13819FEE">
      <w:pPr>
        <w:spacing w:line="580" w:lineRule="exact"/>
        <w:ind w:firstLine="640"/>
        <w:jc w:val="both"/>
      </w:pPr>
      <w:r>
        <w:rPr>
          <w:rFonts w:ascii="仿宋_GB2312" w:hAnsi="仿宋_GB2312" w:eastAsia="仿宋_GB2312"/>
          <w:b w:val="0"/>
          <w:sz w:val="32"/>
        </w:rPr>
        <w:t>6.社会保障和就业支出(类)抚恤(款)死亡抚恤(项):支出决算数为0.00万元，比上年决算减少50.13万元，下降100.00%,主要原因是：本年无死亡人员，死亡抚恤支出较上年减少。</w:t>
      </w:r>
    </w:p>
    <w:p w14:paraId="41CE1EE3">
      <w:pPr>
        <w:spacing w:line="580" w:lineRule="exact"/>
        <w:ind w:firstLine="640"/>
        <w:jc w:val="both"/>
      </w:pPr>
      <w:r>
        <w:rPr>
          <w:rFonts w:ascii="仿宋_GB2312" w:hAnsi="仿宋_GB2312" w:eastAsia="仿宋_GB2312"/>
          <w:b w:val="0"/>
          <w:sz w:val="32"/>
        </w:rPr>
        <w:t>7.卫生健康支出(类)行政事业单位医疗(款)行政单位医疗(项):支出决算数为15.62万元，比上年决算增加3.74万元，增长31.48%,主要原因是：本年度在职人员增加，工资基数调增，医疗缴费基数上涨，相应支出增加。</w:t>
      </w:r>
    </w:p>
    <w:p w14:paraId="18DF52B5">
      <w:pPr>
        <w:spacing w:line="580" w:lineRule="exact"/>
        <w:ind w:firstLine="640"/>
        <w:jc w:val="both"/>
      </w:pPr>
      <w:r>
        <w:rPr>
          <w:rFonts w:ascii="仿宋_GB2312" w:hAnsi="仿宋_GB2312" w:eastAsia="仿宋_GB2312"/>
          <w:b w:val="0"/>
          <w:sz w:val="32"/>
        </w:rPr>
        <w:t>8.卫生健康支出(类)行政事业单位医疗(款)事业单位医疗(项):支出决算数为10.52万元，比上年决算增加0.31万元，增长3.04%,主要原因是：本年度在职人员增加，工资基数调增，医疗缴费基数上涨，相应支出增加。</w:t>
      </w:r>
    </w:p>
    <w:p w14:paraId="6D07E284">
      <w:pPr>
        <w:spacing w:line="580" w:lineRule="exact"/>
        <w:ind w:firstLine="640"/>
        <w:jc w:val="both"/>
      </w:pPr>
      <w:r>
        <w:rPr>
          <w:rFonts w:ascii="仿宋_GB2312" w:hAnsi="仿宋_GB2312" w:eastAsia="仿宋_GB2312"/>
          <w:b w:val="0"/>
          <w:sz w:val="32"/>
        </w:rPr>
        <w:t>9.卫生健康支出(类)行政事业单位医疗(款)公务员医疗补助(项):支出决算数为6.74万元，比上年决算增加1.59万元，增长30.87%,主要原因是：本年度在职人员增加，工资基数调增，公务员医疗补助缴费基数调增，相应支出增加。</w:t>
      </w:r>
    </w:p>
    <w:p w14:paraId="149FAAC9">
      <w:pPr>
        <w:spacing w:line="580" w:lineRule="exact"/>
        <w:ind w:firstLine="640"/>
        <w:jc w:val="both"/>
      </w:pPr>
      <w:r>
        <w:rPr>
          <w:rFonts w:ascii="仿宋_GB2312" w:hAnsi="仿宋_GB2312" w:eastAsia="仿宋_GB2312"/>
          <w:b w:val="0"/>
          <w:sz w:val="32"/>
        </w:rPr>
        <w:t>10.卫生健康支出(类)行政事业单位医疗(款)其他行政事业单位医疗支出(项):支出决算数为0.93万元，比上年决算减少0.71万元，下降43.29%,主要原因是：因退休人员医疗保险制度改革，退休人员基本医疗不再由单位缴纳，导致经费较上年减少。</w:t>
      </w:r>
    </w:p>
    <w:p w14:paraId="48A00228">
      <w:pPr>
        <w:spacing w:line="580" w:lineRule="exact"/>
        <w:ind w:firstLine="640"/>
        <w:jc w:val="both"/>
      </w:pPr>
      <w:r>
        <w:rPr>
          <w:rFonts w:ascii="仿宋_GB2312" w:hAnsi="仿宋_GB2312" w:eastAsia="仿宋_GB2312"/>
          <w:b w:val="0"/>
          <w:sz w:val="32"/>
        </w:rPr>
        <w:t>11.自然资源海洋气象等支出(类)自然资源事务(款)行政运行(项):支出决算数为328.67万元，比上年决算增加38.52万元，增长13.28%,主要原因是：本年增加在职人员奖励性绩</w:t>
      </w:r>
      <w:r>
        <w:rPr>
          <w:rFonts w:hint="eastAsia" w:ascii="仿宋_GB2312" w:hAnsi="仿宋_GB2312" w:eastAsia="仿宋_GB2312"/>
          <w:b w:val="0"/>
          <w:sz w:val="32"/>
          <w:lang w:eastAsia="zh-CN"/>
        </w:rPr>
        <w:t>效激</w:t>
      </w:r>
      <w:r>
        <w:rPr>
          <w:rFonts w:ascii="仿宋_GB2312" w:hAnsi="仿宋_GB2312" w:eastAsia="仿宋_GB2312"/>
          <w:b w:val="0"/>
          <w:sz w:val="32"/>
        </w:rPr>
        <w:t>励；本年新增在职人员，人员经费增加，导致经费较上年有所增加；本年功能科目调整，临聘人员经费上年在一般行政管理事务科目列支，本年在行政运行科目列支，导致经费较上年增加。</w:t>
      </w:r>
    </w:p>
    <w:p w14:paraId="640A6438">
      <w:pPr>
        <w:spacing w:line="580" w:lineRule="exact"/>
        <w:ind w:firstLine="640"/>
        <w:jc w:val="both"/>
      </w:pPr>
      <w:r>
        <w:rPr>
          <w:rFonts w:ascii="仿宋_GB2312" w:hAnsi="仿宋_GB2312" w:eastAsia="仿宋_GB2312"/>
          <w:b w:val="0"/>
          <w:sz w:val="32"/>
        </w:rPr>
        <w:t>12.自然资源海洋气象等支出(类)自然资源事务(款)一般行政管理事务(项):支出决算数为134.00万元，比上年决算减少15.00万元，下降10.07%,主要原因是：本年功能科目调整，临聘人员经费上年在一般行政管理事务科目列支，本年在行政运行科目列支，导致经费较上年减少。</w:t>
      </w:r>
    </w:p>
    <w:p w14:paraId="1C86C383">
      <w:pPr>
        <w:spacing w:line="580" w:lineRule="exact"/>
        <w:ind w:firstLine="640"/>
        <w:jc w:val="both"/>
      </w:pPr>
      <w:r>
        <w:rPr>
          <w:rFonts w:ascii="仿宋_GB2312" w:hAnsi="仿宋_GB2312" w:eastAsia="仿宋_GB2312"/>
          <w:b w:val="0"/>
          <w:sz w:val="32"/>
        </w:rPr>
        <w:t>13.自然资源海洋气象等支出(类)自然资源事务(款)自然资源规划及管理(项):支出决算数为297.98万元，比上年决算减少151.42万元，下降33.69%,主要原因是：本年支付国土空间规划编制项目为延续性项目尾款，导致经费较上年减少。</w:t>
      </w:r>
    </w:p>
    <w:p w14:paraId="1DDA839A">
      <w:pPr>
        <w:spacing w:line="580" w:lineRule="exact"/>
        <w:ind w:firstLine="640"/>
        <w:jc w:val="both"/>
      </w:pPr>
      <w:r>
        <w:rPr>
          <w:rFonts w:ascii="仿宋_GB2312" w:hAnsi="仿宋_GB2312" w:eastAsia="仿宋_GB2312"/>
          <w:b w:val="0"/>
          <w:sz w:val="32"/>
        </w:rPr>
        <w:t>14.自然资源海洋气象等支出(类)自然资源事务(款)地质勘查与矿产资源管理(项):支出决算数为0.00万元，比上年决算减少175.00万元，下降100.00%,主要原因是：本年未安排矿产资源规划和地质灾害防治规划编制项目资金。</w:t>
      </w:r>
    </w:p>
    <w:p w14:paraId="20F55B52">
      <w:pPr>
        <w:spacing w:line="580" w:lineRule="exact"/>
        <w:ind w:firstLine="640"/>
        <w:jc w:val="both"/>
      </w:pPr>
      <w:r>
        <w:rPr>
          <w:rFonts w:ascii="仿宋_GB2312" w:hAnsi="仿宋_GB2312" w:eastAsia="仿宋_GB2312"/>
          <w:b w:val="0"/>
          <w:sz w:val="32"/>
        </w:rPr>
        <w:t>15.自然资源海洋气象等支出(类)自然资源事务(款)基础测绘与地理信息监管(项):支出决算数为200.00万元，比上年决算增加200.00万元，增长100.00%,主要原因是：本年增加库尔勒城市级实景三维建设项目。</w:t>
      </w:r>
    </w:p>
    <w:p w14:paraId="11D318D0">
      <w:pPr>
        <w:spacing w:line="580" w:lineRule="exact"/>
        <w:ind w:firstLine="640"/>
        <w:jc w:val="both"/>
      </w:pPr>
      <w:r>
        <w:rPr>
          <w:rFonts w:ascii="仿宋_GB2312" w:hAnsi="仿宋_GB2312" w:eastAsia="仿宋_GB2312"/>
          <w:b w:val="0"/>
          <w:sz w:val="32"/>
        </w:rPr>
        <w:t>16.自然资源海洋气象等支出(类)自然资源事务(款)事业运行(项):支出决算数为193.51万元，比上年决算增加4.27万元，增长2.26%,主要原因是：本年在职人员工资调增，导致相关人员经费较上年有所增加。</w:t>
      </w:r>
    </w:p>
    <w:p w14:paraId="5B09F53D">
      <w:pPr>
        <w:spacing w:line="580" w:lineRule="exact"/>
        <w:ind w:firstLine="640"/>
        <w:jc w:val="both"/>
      </w:pPr>
      <w:r>
        <w:rPr>
          <w:rFonts w:ascii="仿宋_GB2312" w:hAnsi="仿宋_GB2312" w:eastAsia="仿宋_GB2312"/>
          <w:b w:val="0"/>
          <w:sz w:val="32"/>
        </w:rPr>
        <w:t>17.自然资源海洋气象等支出(类)自然资源事务(款)其他自然资源事务支出(项):支出决算数为364.50万元，比上年决算增加364.50万元，增长100.00%,主要原因是：本年新增特定类项目格库铁路（新疆段）扩能改造项目。</w:t>
      </w:r>
    </w:p>
    <w:p w14:paraId="59F17B21">
      <w:pPr>
        <w:spacing w:line="580" w:lineRule="exact"/>
        <w:ind w:firstLine="640"/>
        <w:jc w:val="both"/>
      </w:pPr>
      <w:r>
        <w:rPr>
          <w:rFonts w:ascii="仿宋_GB2312" w:hAnsi="仿宋_GB2312" w:eastAsia="仿宋_GB2312"/>
          <w:b w:val="0"/>
          <w:sz w:val="32"/>
        </w:rPr>
        <w:t>18.住房保障支出(类)住房改革支出(款)住房公积金(项):支出决算数为47.43万元，比上年决算增加8.95万元，增长23.26%,主要原因是：本年在职人员增加，住房公积金支出较上年增加。</w:t>
      </w:r>
    </w:p>
    <w:p w14:paraId="3D133E6E">
      <w:pPr>
        <w:spacing w:line="640" w:lineRule="exact"/>
        <w:ind w:firstLine="640"/>
        <w:jc w:val="both"/>
        <w:outlineLvl w:val="2"/>
      </w:pPr>
      <w:r>
        <w:rPr>
          <w:rFonts w:ascii="黑体" w:hAnsi="黑体" w:eastAsia="黑体"/>
          <w:sz w:val="32"/>
        </w:rPr>
        <w:t>六、一般公共预算财政拨款基本支出决算情况说明</w:t>
      </w:r>
    </w:p>
    <w:p w14:paraId="0DF7EF24">
      <w:pPr>
        <w:spacing w:line="580" w:lineRule="exact"/>
        <w:ind w:firstLine="640"/>
        <w:jc w:val="both"/>
      </w:pPr>
      <w:r>
        <w:rPr>
          <w:rFonts w:ascii="仿宋_GB2312" w:hAnsi="仿宋_GB2312" w:eastAsia="仿宋_GB2312"/>
          <w:b w:val="0"/>
          <w:sz w:val="32"/>
        </w:rPr>
        <w:t>2024年度一般公共预算财政拨款基本支出726.30万元，其中：</w:t>
      </w:r>
      <w:r>
        <w:rPr>
          <w:rFonts w:ascii="仿宋_GB2312" w:hAnsi="仿宋_GB2312" w:eastAsia="仿宋_GB2312"/>
          <w:b/>
          <w:sz w:val="32"/>
        </w:rPr>
        <w:t>人员经费654.18万元，</w:t>
      </w:r>
      <w:r>
        <w:rPr>
          <w:rFonts w:ascii="仿宋_GB2312" w:hAnsi="仿宋_GB2312" w:eastAsia="仿宋_GB2312"/>
          <w:b w:val="0"/>
          <w:sz w:val="32"/>
        </w:rPr>
        <w:t>包括：基本工资、津贴补贴、奖金、伙食补助费、机关事业单位基本养老保险缴费、职业年金缴费、职工基本医疗保险缴费、公务员医疗补助缴费、其他社会保障缴费、住房公积金、其他工资福利支出、退休费、生活补助、奖励金。</w:t>
      </w:r>
    </w:p>
    <w:p w14:paraId="5ACC596E">
      <w:pPr>
        <w:spacing w:line="580" w:lineRule="exact"/>
        <w:ind w:firstLine="640"/>
        <w:jc w:val="both"/>
      </w:pPr>
      <w:r>
        <w:rPr>
          <w:rFonts w:ascii="仿宋_GB2312" w:hAnsi="仿宋_GB2312" w:eastAsia="仿宋_GB2312"/>
          <w:b/>
          <w:sz w:val="32"/>
        </w:rPr>
        <w:t>公用经费72.12万元，</w:t>
      </w:r>
      <w:r>
        <w:rPr>
          <w:rFonts w:ascii="仿宋_GB2312" w:hAnsi="仿宋_GB2312" w:eastAsia="仿宋_GB2312"/>
          <w:b w:val="0"/>
          <w:sz w:val="32"/>
        </w:rPr>
        <w:t>包括：办公费、水费、电费、邮电费、取暖费、物业管理费、差旅费、维修（护）费、培训费、公务接待费、劳务费、工会经费、福利费、公务用车运行维护费、其他交通费用、其他商品和服务支出、办公设备购置。</w:t>
      </w:r>
    </w:p>
    <w:p w14:paraId="6B6C86D4">
      <w:pPr>
        <w:spacing w:line="640" w:lineRule="exact"/>
        <w:ind w:firstLine="640"/>
        <w:jc w:val="both"/>
        <w:outlineLvl w:val="2"/>
      </w:pPr>
      <w:r>
        <w:rPr>
          <w:rFonts w:ascii="黑体" w:hAnsi="黑体" w:eastAsia="黑体"/>
          <w:sz w:val="32"/>
        </w:rPr>
        <w:t>七、政府性基金预算财政拨款收入支出决算情况说明</w:t>
      </w:r>
    </w:p>
    <w:p w14:paraId="0E84F3FC">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45C368DC">
      <w:pPr>
        <w:spacing w:line="640" w:lineRule="exact"/>
        <w:ind w:firstLine="640"/>
        <w:jc w:val="both"/>
        <w:outlineLvl w:val="2"/>
      </w:pPr>
      <w:r>
        <w:rPr>
          <w:rFonts w:ascii="黑体" w:hAnsi="黑体" w:eastAsia="黑体"/>
          <w:sz w:val="32"/>
        </w:rPr>
        <w:t>八、国有资本经营预算财政拨款收入支出决算情况说明</w:t>
      </w:r>
    </w:p>
    <w:p w14:paraId="71B2FDD7">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C9E7621">
      <w:pPr>
        <w:spacing w:line="640" w:lineRule="exact"/>
        <w:ind w:firstLine="640"/>
        <w:jc w:val="both"/>
        <w:outlineLvl w:val="2"/>
      </w:pPr>
      <w:r>
        <w:rPr>
          <w:rFonts w:ascii="黑体" w:hAnsi="黑体" w:eastAsia="黑体"/>
          <w:sz w:val="32"/>
        </w:rPr>
        <w:t>九、财政拨款“三公”经费支出决算情况说明</w:t>
      </w:r>
    </w:p>
    <w:p w14:paraId="2E158B72">
      <w:pPr>
        <w:spacing w:line="580" w:lineRule="exact"/>
        <w:ind w:firstLine="640"/>
        <w:jc w:val="both"/>
      </w:pPr>
      <w:r>
        <w:rPr>
          <w:rFonts w:ascii="仿宋_GB2312" w:hAnsi="仿宋_GB2312" w:eastAsia="仿宋_GB2312"/>
          <w:b/>
          <w:sz w:val="32"/>
        </w:rPr>
        <w:t>2024年度财政拨款“三公”经费支出12.50万元，</w:t>
      </w:r>
      <w:r>
        <w:rPr>
          <w:rFonts w:ascii="仿宋_GB2312" w:hAnsi="仿宋_GB2312" w:eastAsia="仿宋_GB2312"/>
          <w:b w:val="0"/>
          <w:sz w:val="32"/>
        </w:rPr>
        <w:t>比上年减少0.03万元，下降0.24%，主要原因是：严格落实中央八项规定精神，厉行节约，减少财政拨款“三公”经费。其中：因公出国（境）费支出0.00万元，占0.00%，比上年增加0.00万元，增长0.00%，主要原因是：2023年与2024年均未安排因公出国（境）费支出。公务用车购置及运行维护费支出12.00万元，占96.00%，比上年增加0.00万元，增长0.00%，主要原因是：本单位公务用车运行维护费与上年一致无变化。公务接待费支出0.50万元，占4.00%，比上年减少0.03万元，下降5.66%，主要原因是：严格落实中央八项规定精神，厉行节约，减少公务接待费。</w:t>
      </w:r>
    </w:p>
    <w:p w14:paraId="3C116659">
      <w:pPr>
        <w:spacing w:line="580" w:lineRule="exact"/>
        <w:ind w:firstLine="640"/>
        <w:jc w:val="both"/>
      </w:pPr>
      <w:r>
        <w:rPr>
          <w:rFonts w:ascii="仿宋_GB2312" w:hAnsi="仿宋_GB2312" w:eastAsia="仿宋_GB2312"/>
          <w:b/>
          <w:sz w:val="32"/>
        </w:rPr>
        <w:t>具体情况如下：</w:t>
      </w:r>
    </w:p>
    <w:p w14:paraId="1B6CDA9F">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A626A68">
      <w:pPr>
        <w:spacing w:line="580" w:lineRule="exact"/>
        <w:ind w:firstLine="640"/>
        <w:jc w:val="both"/>
      </w:pPr>
      <w:r>
        <w:rPr>
          <w:rFonts w:ascii="仿宋_GB2312" w:hAnsi="仿宋_GB2312" w:eastAsia="仿宋_GB2312"/>
          <w:b w:val="0"/>
          <w:sz w:val="32"/>
        </w:rPr>
        <w:t>公务用车购置及运行维护费12.00万元，其中：公务用车购置费0.00万元，公务用车运行维护费12.00万元。公务用车运行维护费开支内容包括车辆加油费、维修费、保险费、审车费、过路费。公务用车购置数0辆，公务用车保有量2辆。国有资产占用情况中固定资产车辆2辆，与公务用车保有量差异原因是：本单位固定资产车辆与公务用车保有量一致无差异。</w:t>
      </w:r>
    </w:p>
    <w:p w14:paraId="42CC6D16">
      <w:pPr>
        <w:spacing w:line="580" w:lineRule="exact"/>
        <w:ind w:firstLine="640"/>
        <w:jc w:val="both"/>
      </w:pPr>
      <w:r>
        <w:rPr>
          <w:rFonts w:ascii="仿宋_GB2312" w:hAnsi="仿宋_GB2312" w:eastAsia="仿宋_GB2312"/>
          <w:b w:val="0"/>
          <w:sz w:val="32"/>
        </w:rPr>
        <w:t>公务接待费0.50万元，开支内容包括因上级单位检查、指导工作，接待上级领导检查、督导组检查、工作小组考察学习产生的就餐费。单位全年安排的国内公务接待14批次，94人次。</w:t>
      </w:r>
    </w:p>
    <w:p w14:paraId="398AA4F1">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12.50万元，决算数12.50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12.00万元，决算数12.00万元，预决算差异率0.00%，主要原因是：严格按照预算执行，预决算无差异。公务接待费全年预算数0.50万元，决算数0.50万元，预决算差异率0.00%，主要原因是：严格按照预算执行，预决算无差异。</w:t>
      </w:r>
    </w:p>
    <w:p w14:paraId="38AB42F5">
      <w:pPr>
        <w:spacing w:line="640" w:lineRule="exact"/>
        <w:ind w:firstLine="640"/>
        <w:jc w:val="both"/>
        <w:outlineLvl w:val="2"/>
      </w:pPr>
      <w:r>
        <w:rPr>
          <w:rFonts w:ascii="黑体" w:hAnsi="黑体" w:eastAsia="黑体"/>
          <w:sz w:val="32"/>
        </w:rPr>
        <w:t>十、其他重要事项的情况说明</w:t>
      </w:r>
    </w:p>
    <w:p w14:paraId="089109D9">
      <w:pPr>
        <w:spacing w:line="640" w:lineRule="exact"/>
        <w:ind w:firstLine="640"/>
        <w:jc w:val="both"/>
        <w:outlineLvl w:val="3"/>
      </w:pPr>
      <w:r>
        <w:rPr>
          <w:rFonts w:ascii="楷体_GB2312" w:hAnsi="楷体_GB2312" w:eastAsia="楷体_GB2312"/>
          <w:b/>
          <w:sz w:val="32"/>
        </w:rPr>
        <w:t>（一）机关运行经费及公用经费支出情况</w:t>
      </w:r>
    </w:p>
    <w:p w14:paraId="40C82FC1">
      <w:pPr>
        <w:spacing w:line="580" w:lineRule="exact"/>
        <w:ind w:firstLine="640"/>
        <w:jc w:val="both"/>
      </w:pPr>
      <w:r>
        <w:rPr>
          <w:rFonts w:ascii="仿宋_GB2312" w:hAnsi="仿宋_GB2312" w:eastAsia="仿宋_GB2312"/>
          <w:b w:val="0"/>
          <w:sz w:val="32"/>
        </w:rPr>
        <w:t>2024年度巴音郭楞蒙古自治州自然资源局（行政单位和参照公务员法管理事业单位）机关运行经费支出72.12万元，比上年增加23.24万元，增长47.55%，主要原因是：本年增加办公费用，导致机关运行经费较上年增加。</w:t>
      </w:r>
    </w:p>
    <w:p w14:paraId="195E3723">
      <w:pPr>
        <w:spacing w:line="640" w:lineRule="exact"/>
        <w:ind w:firstLine="640"/>
        <w:jc w:val="both"/>
        <w:outlineLvl w:val="3"/>
      </w:pPr>
      <w:r>
        <w:rPr>
          <w:rFonts w:ascii="楷体_GB2312" w:hAnsi="楷体_GB2312" w:eastAsia="楷体_GB2312"/>
          <w:b/>
          <w:sz w:val="32"/>
        </w:rPr>
        <w:t>（二）政府采购情况</w:t>
      </w:r>
    </w:p>
    <w:p w14:paraId="0C23F58B">
      <w:pPr>
        <w:spacing w:line="580" w:lineRule="exact"/>
        <w:ind w:firstLine="640"/>
        <w:jc w:val="both"/>
      </w:pPr>
      <w:r>
        <w:rPr>
          <w:rFonts w:ascii="仿宋_GB2312" w:hAnsi="仿宋_GB2312" w:eastAsia="仿宋_GB2312"/>
          <w:b w:val="0"/>
          <w:sz w:val="32"/>
        </w:rPr>
        <w:t>2024年度政府采购支出总额1,003.17万元，其中：政府采购货物支出50.32万元、政府采购工程支出0.00万元、政府采购服务支出952.85万元。</w:t>
      </w:r>
    </w:p>
    <w:p w14:paraId="7A163515">
      <w:pPr>
        <w:spacing w:line="580" w:lineRule="exact"/>
        <w:ind w:firstLine="640"/>
        <w:jc w:val="both"/>
      </w:pPr>
      <w:r>
        <w:rPr>
          <w:rFonts w:ascii="仿宋_GB2312" w:hAnsi="仿宋_GB2312" w:eastAsia="仿宋_GB2312"/>
          <w:b w:val="0"/>
          <w:sz w:val="32"/>
        </w:rPr>
        <w:t>授予中小企业合同金额1,003.17万元，占政府采购支出总额的100.00%，其中：授予小微企业合同金额847.58万元，占政府采购支出总额的84.49%。</w:t>
      </w:r>
    </w:p>
    <w:p w14:paraId="448ACC1B">
      <w:pPr>
        <w:spacing w:line="640" w:lineRule="exact"/>
        <w:ind w:firstLine="640"/>
        <w:jc w:val="both"/>
        <w:outlineLvl w:val="3"/>
      </w:pPr>
      <w:r>
        <w:rPr>
          <w:rFonts w:ascii="楷体_GB2312" w:hAnsi="楷体_GB2312" w:eastAsia="楷体_GB2312"/>
          <w:b/>
          <w:sz w:val="32"/>
        </w:rPr>
        <w:t>（三）国有资产占用情况说明</w:t>
      </w:r>
    </w:p>
    <w:p w14:paraId="60D412F9">
      <w:pPr>
        <w:spacing w:line="580" w:lineRule="exact"/>
        <w:ind w:firstLine="640"/>
        <w:jc w:val="both"/>
      </w:pPr>
      <w:r>
        <w:rPr>
          <w:rFonts w:ascii="仿宋_GB2312" w:hAnsi="仿宋_GB2312" w:eastAsia="仿宋_GB2312"/>
          <w:b w:val="0"/>
          <w:sz w:val="32"/>
        </w:rPr>
        <w:t>截至2024年12月31日，房屋5,728.09平方米，价值1,089.78万元。车辆2辆，价值143.44万元，其中：副部（省）级及以上领导用车0辆、主要负责人用车0辆、机要通信用车0辆、应急保障用车0辆、执法执勤用车0辆、特种专业技术用车0辆、离退休干部服务用车0辆、其他用车2辆，其他用车主要是：一般公务用车。单价100万元（含）以上设备（不含车辆）0台（套）。</w:t>
      </w:r>
    </w:p>
    <w:p w14:paraId="558AD9E8">
      <w:pPr>
        <w:spacing w:line="640" w:lineRule="exact"/>
        <w:ind w:firstLine="640"/>
        <w:jc w:val="both"/>
        <w:outlineLvl w:val="2"/>
      </w:pPr>
      <w:r>
        <w:rPr>
          <w:rFonts w:ascii="黑体" w:hAnsi="黑体" w:eastAsia="黑体"/>
          <w:sz w:val="32"/>
        </w:rPr>
        <w:t>十一、预算绩效的情况说明</w:t>
      </w:r>
    </w:p>
    <w:p w14:paraId="7B6A0DF6">
      <w:pPr>
        <w:spacing w:line="580" w:lineRule="exact"/>
        <w:ind w:firstLine="640"/>
        <w:jc w:val="both"/>
      </w:pPr>
      <w:r>
        <w:rPr>
          <w:rFonts w:ascii="仿宋_GB2312" w:hAnsi="仿宋_GB2312" w:eastAsia="仿宋_GB2312"/>
          <w:b w:val="0"/>
          <w:sz w:val="32"/>
        </w:rPr>
        <w:t>根据预算绩效管理要求，本单位预算绩效评价项目7个，全年预算数1,010.30万元，全年执行数1,006.48万元。预算绩效管理取得的成效：以绩效目标实现为导向，进一步加强制度建设，提升自评质量，预算绩效管理取得新成效。一是抓好绩效目标编制，及时报送绩效目标。二是探索绩效跟踪监控，加强监控过程。三是深入开展财政支出绩效评价，对专项资金实施绩效自评和项目核查，形成自评报告。四是强化评估结果应用，组织绩效自评和绩效监控，对发现的问题及时改进，加强评价结果与项目资金安排的衔接。五是健全绩效管理工作机制，明确责任分工，努力提高绩效管理工作水平。发现的问题及原因：一是单位承担绩效主体责任不够；二是单位绩效管理质量和水平不高；三是财政预算绩效管理重点不突出。下一步改进措施：一是推动单位内部预算绩效管理制度建设。压实单位负责人和具体项目负责人的绩效主体责任，厘清单位内部财务、业务部门之间的绩效管理关系。二是完善分行业预算绩效目标共性体系。聚焦项目建设核心内容，修订完善《共性项目绩效指标体系》，指导部门单位科学、合理设置绩效目标。发挥单位评价的积极作用。提高部门评价在项目支出绩效评价结果中的权重，进一步调动单位运用绩效手段强化内部资金管理的积极性、主动性。实施绩效自评真实性核查。财政部门要按一定比例，随机抽取部分项目，对单位自评结果的真实性进行实地核查。三是做优财政重点绩效评价。财政部门负责遴选投资规模大、社会影响广、群众关注度高的项目，积极引入第三方机构，独立实施绩效评价，提高评价结果的客观公正性。具体附项目支出绩效自评表和评价报告。</w:t>
      </w:r>
    </w:p>
    <w:p w14:paraId="0E858FB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1C0CEC5E">
        <w:tblPrEx>
          <w:tblCellMar>
            <w:top w:w="0" w:type="dxa"/>
            <w:left w:w="108" w:type="dxa"/>
            <w:bottom w:w="0" w:type="dxa"/>
            <w:right w:w="108" w:type="dxa"/>
          </w:tblCellMar>
        </w:tblPrEx>
        <w:tc>
          <w:tcPr>
            <w:tcW w:w="8848" w:type="dxa"/>
            <w:gridSpan w:val="14"/>
            <w:vAlign w:val="center"/>
          </w:tcPr>
          <w:p w14:paraId="4C68ED68">
            <w:pPr>
              <w:jc w:val="center"/>
            </w:pPr>
            <w:r>
              <w:rPr>
                <w:rFonts w:ascii="宋体" w:hAnsi="宋体" w:eastAsia="宋体"/>
                <w:sz w:val="24"/>
              </w:rPr>
              <w:t>项目支出绩效自评表</w:t>
            </w:r>
          </w:p>
        </w:tc>
      </w:tr>
      <w:tr w14:paraId="6859D52B">
        <w:tblPrEx>
          <w:tblCellMar>
            <w:top w:w="0" w:type="dxa"/>
            <w:left w:w="108" w:type="dxa"/>
            <w:bottom w:w="0" w:type="dxa"/>
            <w:right w:w="108" w:type="dxa"/>
          </w:tblCellMar>
        </w:tblPrEx>
        <w:tc>
          <w:tcPr>
            <w:tcW w:w="8848" w:type="dxa"/>
            <w:gridSpan w:val="14"/>
            <w:vAlign w:val="center"/>
          </w:tcPr>
          <w:p w14:paraId="6262654D">
            <w:pPr>
              <w:jc w:val="center"/>
            </w:pPr>
            <w:r>
              <w:rPr>
                <w:rFonts w:ascii="宋体" w:hAnsi="宋体" w:eastAsia="宋体"/>
                <w:sz w:val="24"/>
              </w:rPr>
              <w:t>(2024年度)</w:t>
            </w:r>
          </w:p>
        </w:tc>
      </w:tr>
      <w:tr w14:paraId="085D430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8937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E10B8E5">
            <w:pPr>
              <w:jc w:val="center"/>
            </w:pPr>
            <w:r>
              <w:rPr>
                <w:rFonts w:ascii="宋体" w:hAnsi="宋体" w:eastAsia="宋体"/>
                <w:sz w:val="16"/>
              </w:rPr>
              <w:t>为民办实事工作经费</w:t>
            </w:r>
          </w:p>
        </w:tc>
      </w:tr>
      <w:tr w14:paraId="1E1B012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6BF8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309AA4">
            <w:pPr>
              <w:jc w:val="center"/>
            </w:pPr>
            <w:r>
              <w:rPr>
                <w:rFonts w:ascii="宋体" w:hAnsi="宋体" w:eastAsia="宋体"/>
                <w:sz w:val="16"/>
              </w:rPr>
              <w:t>巴音郭楞蒙古自治州自然资源局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9EDD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748C66">
            <w:pPr>
              <w:jc w:val="center"/>
            </w:pPr>
            <w:r>
              <w:rPr>
                <w:rFonts w:ascii="宋体" w:hAnsi="宋体" w:eastAsia="宋体"/>
                <w:sz w:val="16"/>
              </w:rPr>
              <w:t>巴音郭楞蒙古自治州自然资源局</w:t>
            </w:r>
          </w:p>
        </w:tc>
      </w:tr>
      <w:tr w14:paraId="7115C6E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EBB61C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B91E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EB2F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34AC3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A0D9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755AEF">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7FA8A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8B64C">
            <w:pPr>
              <w:jc w:val="center"/>
            </w:pPr>
            <w:r>
              <w:rPr>
                <w:rFonts w:ascii="宋体" w:hAnsi="宋体" w:eastAsia="宋体"/>
                <w:sz w:val="16"/>
              </w:rPr>
              <w:t>得分</w:t>
            </w:r>
          </w:p>
        </w:tc>
      </w:tr>
      <w:tr w14:paraId="44B013B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9A81F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C612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134F4">
            <w:pPr>
              <w:jc w:val="center"/>
            </w:pPr>
            <w:r>
              <w:rPr>
                <w:rFonts w:ascii="宋体" w:hAnsi="宋体" w:eastAsia="宋体"/>
                <w:sz w:val="16"/>
              </w:rPr>
              <w:t>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958AEE">
            <w:pPr>
              <w:jc w:val="center"/>
            </w:pPr>
            <w:r>
              <w:rPr>
                <w:rFonts w:ascii="宋体" w:hAnsi="宋体" w:eastAsia="宋体"/>
                <w:sz w:val="16"/>
              </w:rPr>
              <w:t>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AFAFB9">
            <w:pPr>
              <w:jc w:val="center"/>
            </w:pPr>
            <w:r>
              <w:rPr>
                <w:rFonts w:ascii="宋体" w:hAnsi="宋体" w:eastAsia="宋体"/>
                <w:sz w:val="16"/>
              </w:rPr>
              <w:t>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19CC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2F24B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3A64D">
            <w:pPr>
              <w:jc w:val="center"/>
            </w:pPr>
            <w:r>
              <w:rPr>
                <w:rFonts w:ascii="宋体" w:hAnsi="宋体" w:eastAsia="宋体"/>
                <w:sz w:val="16"/>
              </w:rPr>
              <w:t>10.00</w:t>
            </w:r>
          </w:p>
        </w:tc>
      </w:tr>
      <w:tr w14:paraId="552A5F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F32DF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58F4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31B3E6">
            <w:pPr>
              <w:jc w:val="center"/>
            </w:pPr>
            <w:r>
              <w:rPr>
                <w:rFonts w:ascii="宋体" w:hAnsi="宋体" w:eastAsia="宋体"/>
                <w:sz w:val="16"/>
              </w:rPr>
              <w:t>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7F396">
            <w:pPr>
              <w:jc w:val="center"/>
            </w:pPr>
            <w:r>
              <w:rPr>
                <w:rFonts w:ascii="宋体" w:hAnsi="宋体" w:eastAsia="宋体"/>
                <w:sz w:val="16"/>
              </w:rPr>
              <w:t>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411C9">
            <w:pPr>
              <w:jc w:val="center"/>
            </w:pPr>
            <w:r>
              <w:rPr>
                <w:rFonts w:ascii="宋体" w:hAnsi="宋体" w:eastAsia="宋体"/>
                <w:sz w:val="16"/>
              </w:rPr>
              <w:t>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ED138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1A9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2C94E">
            <w:pPr>
              <w:jc w:val="center"/>
            </w:pPr>
            <w:r>
              <w:rPr>
                <w:rFonts w:ascii="宋体" w:hAnsi="宋体" w:eastAsia="宋体"/>
                <w:sz w:val="16"/>
              </w:rPr>
              <w:t>-</w:t>
            </w:r>
          </w:p>
        </w:tc>
      </w:tr>
      <w:tr w14:paraId="28219B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C58EA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D0941">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C559C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AB63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CC4A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1CFE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690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39393">
            <w:pPr>
              <w:jc w:val="center"/>
            </w:pPr>
            <w:r>
              <w:rPr>
                <w:rFonts w:ascii="宋体" w:hAnsi="宋体" w:eastAsia="宋体"/>
                <w:sz w:val="16"/>
              </w:rPr>
              <w:t>-</w:t>
            </w:r>
          </w:p>
        </w:tc>
      </w:tr>
      <w:tr w14:paraId="2E9953F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522B2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49401D">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D9511F">
            <w:pPr>
              <w:jc w:val="center"/>
            </w:pPr>
            <w:r>
              <w:rPr>
                <w:rFonts w:ascii="宋体" w:hAnsi="宋体" w:eastAsia="宋体"/>
                <w:sz w:val="16"/>
              </w:rPr>
              <w:t>总体目标完成情况</w:t>
            </w:r>
          </w:p>
        </w:tc>
      </w:tr>
      <w:tr w14:paraId="782A40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E3520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03C9FB">
            <w:pPr>
              <w:jc w:val="both"/>
            </w:pPr>
            <w:r>
              <w:rPr>
                <w:rFonts w:ascii="宋体" w:hAnsi="宋体" w:eastAsia="宋体"/>
                <w:sz w:val="16"/>
              </w:rPr>
              <w:t>为和静县巴仑台镇南桥社区、轮台县策大雅乡其格里克村为民办实事工作专项保障。根据《关于印发&lt;自治州加强优化</w:t>
            </w:r>
            <w:r>
              <w:rPr>
                <w:rFonts w:hint="eastAsia" w:ascii="宋体" w:hAnsi="宋体"/>
                <w:sz w:val="16"/>
                <w:lang w:eastAsia="zh-CN"/>
              </w:rPr>
              <w:t>为民办实事</w:t>
            </w:r>
            <w:r>
              <w:rPr>
                <w:rFonts w:ascii="宋体" w:hAnsi="宋体" w:eastAsia="宋体"/>
                <w:sz w:val="16"/>
              </w:rPr>
              <w:t>工作提升基层治理水平实施方案&gt;的通知》（巴民组发﹝2024﹞1号密件）文件，开展访贫问苦，为群众送信息、送服务、送温暖；给困难村民提供帮助、改善基础设施，提高村民收入等；</w:t>
            </w:r>
            <w:r>
              <w:rPr>
                <w:rFonts w:hint="eastAsia" w:ascii="宋体" w:hAnsi="宋体"/>
                <w:sz w:val="16"/>
                <w:lang w:eastAsia="zh-CN"/>
              </w:rPr>
              <w:t>巩固拓展脱贫攻坚成果</w:t>
            </w:r>
            <w:r>
              <w:rPr>
                <w:rFonts w:ascii="宋体" w:hAnsi="宋体" w:eastAsia="宋体"/>
                <w:sz w:val="16"/>
              </w:rPr>
              <w:t>，加强民族团结，强化基层基础等方面取得突破性进展，努力提升村民幸福感，维护社会稳定。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BFF7054">
            <w:pPr>
              <w:jc w:val="both"/>
            </w:pPr>
            <w:r>
              <w:rPr>
                <w:rFonts w:ascii="宋体" w:hAnsi="宋体" w:eastAsia="宋体"/>
                <w:sz w:val="16"/>
              </w:rPr>
              <w:t>2024年度共派驻2个工作队，1个第一书记，完成了以下工作：和静县巴仑台镇南桥社区工作队重点开展了社区网格化管理、党建工作、扶贫救助、社区治安和环境治理等工作。组织党员开展志愿服务活动，为居民清理杂草与垃圾，开展“红领巾小课堂”志愿活动参加人数180人次。开展义务卫生大扫除活动，清扫社区道路等；轮台县策大雅乡其格里克村工作队坚持每月对全村613户农户进行逐户走访，为制定科学合理的帮扶计划奠定了坚实基础。共计排查化解风险隐患345处，解决两类人员困难诉求57件，化解矛盾纠纷115条。全村摸排风险隐患36条、开展各类宣讲45场次、组织群众观看警示教育纪录片5场。平均每月入户走访80余户，收集解决各类困难诉求28件，及时解决了当地群众灌溉受限问题。通过为民办实事各项工作的开展，提升了脱贫攻坚成果，加强民族团结，强化基层基础等方面取得突破性进展，同时提升了村民幸福感，维护了社会稳定。</w:t>
            </w:r>
          </w:p>
        </w:tc>
      </w:tr>
      <w:tr w14:paraId="7375A8C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59D53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0BE5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5736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D33A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C9BAE">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2D15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F5FB3">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433C7">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00B80">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7923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2934F">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4381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2E13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5899B">
            <w:pPr>
              <w:jc w:val="center"/>
            </w:pPr>
            <w:r>
              <w:rPr>
                <w:rFonts w:ascii="宋体" w:hAnsi="宋体" w:eastAsia="宋体"/>
                <w:sz w:val="16"/>
              </w:rPr>
              <w:t>偏差原因分析及改进措施</w:t>
            </w:r>
          </w:p>
        </w:tc>
      </w:tr>
      <w:tr w14:paraId="5466F42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9C28A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F4774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EDAEC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34C56">
            <w:pPr>
              <w:jc w:val="center"/>
            </w:pPr>
            <w:r>
              <w:rPr>
                <w:rFonts w:ascii="宋体" w:hAnsi="宋体" w:eastAsia="宋体"/>
                <w:sz w:val="16"/>
              </w:rPr>
              <w:t>工作队数量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1044C">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144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C36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1BE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E23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A13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C017A">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76A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2E6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1ADC0">
            <w:pPr>
              <w:jc w:val="center"/>
            </w:pPr>
          </w:p>
        </w:tc>
      </w:tr>
      <w:tr w14:paraId="47B335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2E3E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AB29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075E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EDC10">
            <w:pPr>
              <w:jc w:val="center"/>
            </w:pPr>
            <w:r>
              <w:rPr>
                <w:rFonts w:ascii="宋体" w:hAnsi="宋体" w:eastAsia="宋体"/>
                <w:sz w:val="16"/>
              </w:rPr>
              <w:t>第一书记人数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6FDF9">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B9D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A76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C47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7C2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48C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97682">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534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BE7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8C84A">
            <w:pPr>
              <w:jc w:val="center"/>
            </w:pPr>
          </w:p>
        </w:tc>
      </w:tr>
      <w:tr w14:paraId="6359E1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F9AD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65C4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5F9F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B9C4E">
            <w:pPr>
              <w:jc w:val="center"/>
            </w:pPr>
            <w:r>
              <w:rPr>
                <w:rFonts w:ascii="宋体" w:hAnsi="宋体" w:eastAsia="宋体"/>
                <w:sz w:val="16"/>
              </w:rPr>
              <w:t>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5BE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1B1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C93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0FAB6">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A55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152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3CB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2A8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7E174">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564B2">
            <w:pPr>
              <w:jc w:val="center"/>
            </w:pPr>
          </w:p>
        </w:tc>
      </w:tr>
      <w:tr w14:paraId="023825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714E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BE5B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CC0E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6467C">
            <w:pPr>
              <w:jc w:val="center"/>
            </w:pPr>
            <w:r>
              <w:rPr>
                <w:rFonts w:ascii="宋体" w:hAnsi="宋体" w:eastAsia="宋体"/>
                <w:sz w:val="16"/>
              </w:rPr>
              <w:t>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7ED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C90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05D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9449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61C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50C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BAF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70D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73D5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F9790">
            <w:pPr>
              <w:jc w:val="center"/>
            </w:pPr>
          </w:p>
        </w:tc>
      </w:tr>
      <w:tr w14:paraId="282338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D1EDD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0C7CE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4252E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3034C">
            <w:pPr>
              <w:jc w:val="center"/>
            </w:pPr>
            <w:r>
              <w:rPr>
                <w:rFonts w:ascii="宋体" w:hAnsi="宋体" w:eastAsia="宋体"/>
                <w:sz w:val="16"/>
              </w:rPr>
              <w:t>为民办实事经费（含第一书记经费）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FE0A1">
            <w:pPr>
              <w:jc w:val="center"/>
            </w:pPr>
            <w:r>
              <w:rPr>
                <w:rFonts w:ascii="宋体" w:hAnsi="宋体" w:eastAsia="宋体"/>
                <w:sz w:val="16"/>
              </w:rPr>
              <w:t>&lt;=12万元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3638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E26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A484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795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C413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0C400">
            <w:pPr>
              <w:jc w:val="center"/>
            </w:pPr>
            <w:r>
              <w:rPr>
                <w:rFonts w:ascii="宋体" w:hAnsi="宋体" w:eastAsia="宋体"/>
                <w:sz w:val="16"/>
              </w:rPr>
              <w: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8B3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8ADD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A46BA">
            <w:pPr>
              <w:jc w:val="center"/>
            </w:pPr>
          </w:p>
        </w:tc>
      </w:tr>
      <w:tr w14:paraId="11F3ED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4BB9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F577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67C0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2D734">
            <w:pPr>
              <w:jc w:val="center"/>
            </w:pPr>
            <w:r>
              <w:rPr>
                <w:rFonts w:ascii="宋体" w:hAnsi="宋体" w:eastAsia="宋体"/>
                <w:sz w:val="16"/>
              </w:rPr>
              <w:t>驻社区为民办实事经费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083E2">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4692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231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37153">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23A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39A8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989A2">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36A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F7444">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E1E20">
            <w:pPr>
              <w:jc w:val="center"/>
            </w:pPr>
          </w:p>
        </w:tc>
      </w:tr>
      <w:tr w14:paraId="1B9204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7B4F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A36A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B280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3E29A">
            <w:pPr>
              <w:jc w:val="center"/>
            </w:pPr>
            <w:r>
              <w:rPr>
                <w:rFonts w:ascii="宋体" w:hAnsi="宋体" w:eastAsia="宋体"/>
                <w:sz w:val="16"/>
              </w:rPr>
              <w:t>村民及社区居民幸福感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98571">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05A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D71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E756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D0C9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E68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430E8">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7E9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0843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C8D48">
            <w:pPr>
              <w:jc w:val="center"/>
            </w:pPr>
          </w:p>
        </w:tc>
      </w:tr>
      <w:tr w14:paraId="472DB2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3AF8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B642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F060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43AE7">
            <w:pPr>
              <w:jc w:val="center"/>
            </w:pPr>
            <w:r>
              <w:rPr>
                <w:rFonts w:ascii="宋体" w:hAnsi="宋体" w:eastAsia="宋体"/>
                <w:sz w:val="16"/>
              </w:rPr>
              <w:t>村民及社区居民满意度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7275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E04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9E0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A5C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871D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268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9BC19">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76D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1FD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8B13F">
            <w:pPr>
              <w:jc w:val="center"/>
            </w:pPr>
          </w:p>
        </w:tc>
      </w:tr>
      <w:tr w14:paraId="6D186BB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C872D6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DE41B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A47E7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4E18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3EB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6A887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0D89B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1634B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E4E3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F54E6">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52F2A1"/>
        </w:tc>
      </w:tr>
    </w:tbl>
    <w:p w14:paraId="2E505BC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776"/>
        <w:gridCol w:w="632"/>
        <w:gridCol w:w="696"/>
      </w:tblGrid>
      <w:tr w14:paraId="59EF0207">
        <w:tblPrEx>
          <w:tblCellMar>
            <w:top w:w="0" w:type="dxa"/>
            <w:left w:w="108" w:type="dxa"/>
            <w:bottom w:w="0" w:type="dxa"/>
            <w:right w:w="108" w:type="dxa"/>
          </w:tblCellMar>
        </w:tblPrEx>
        <w:tc>
          <w:tcPr>
            <w:tcW w:w="8848" w:type="dxa"/>
            <w:gridSpan w:val="14"/>
            <w:vAlign w:val="center"/>
          </w:tcPr>
          <w:p w14:paraId="01935BDE">
            <w:pPr>
              <w:jc w:val="center"/>
            </w:pPr>
            <w:r>
              <w:rPr>
                <w:rFonts w:ascii="宋体" w:hAnsi="宋体" w:eastAsia="宋体"/>
                <w:sz w:val="24"/>
              </w:rPr>
              <w:t>项目支出绩效自评表</w:t>
            </w:r>
          </w:p>
        </w:tc>
      </w:tr>
      <w:tr w14:paraId="1EB60ADB">
        <w:tblPrEx>
          <w:tblCellMar>
            <w:top w:w="0" w:type="dxa"/>
            <w:left w:w="108" w:type="dxa"/>
            <w:bottom w:w="0" w:type="dxa"/>
            <w:right w:w="108" w:type="dxa"/>
          </w:tblCellMar>
        </w:tblPrEx>
        <w:tc>
          <w:tcPr>
            <w:tcW w:w="8848" w:type="dxa"/>
            <w:gridSpan w:val="14"/>
            <w:vAlign w:val="center"/>
          </w:tcPr>
          <w:p w14:paraId="33F5B594">
            <w:pPr>
              <w:jc w:val="center"/>
            </w:pPr>
            <w:r>
              <w:rPr>
                <w:rFonts w:ascii="宋体" w:hAnsi="宋体" w:eastAsia="宋体"/>
                <w:sz w:val="24"/>
              </w:rPr>
              <w:t>(2024年度)</w:t>
            </w:r>
          </w:p>
        </w:tc>
      </w:tr>
      <w:tr w14:paraId="201C5A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2F04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78A4403">
            <w:pPr>
              <w:jc w:val="center"/>
            </w:pPr>
            <w:r>
              <w:rPr>
                <w:rFonts w:ascii="宋体" w:hAnsi="宋体" w:eastAsia="宋体"/>
                <w:sz w:val="16"/>
              </w:rPr>
              <w:t>国土空间规划编制项目</w:t>
            </w:r>
          </w:p>
        </w:tc>
      </w:tr>
      <w:tr w14:paraId="0DF36F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641D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DA1B44">
            <w:pPr>
              <w:jc w:val="center"/>
            </w:pPr>
            <w:r>
              <w:rPr>
                <w:rFonts w:ascii="宋体" w:hAnsi="宋体" w:eastAsia="宋体"/>
                <w:sz w:val="16"/>
              </w:rPr>
              <w:t>巴音郭楞蒙古自治州自然资源局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0ED9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D37CCDF">
            <w:pPr>
              <w:jc w:val="center"/>
            </w:pPr>
            <w:r>
              <w:rPr>
                <w:rFonts w:ascii="宋体" w:hAnsi="宋体" w:eastAsia="宋体"/>
                <w:sz w:val="16"/>
              </w:rPr>
              <w:t>巴音郭楞蒙古自治州自然资源局</w:t>
            </w:r>
          </w:p>
        </w:tc>
      </w:tr>
      <w:tr w14:paraId="59C94BE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515464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568AE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A0CE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5B43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BF7F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322306">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B6D40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573A6">
            <w:pPr>
              <w:jc w:val="center"/>
            </w:pPr>
            <w:r>
              <w:rPr>
                <w:rFonts w:ascii="宋体" w:hAnsi="宋体" w:eastAsia="宋体"/>
                <w:sz w:val="16"/>
              </w:rPr>
              <w:t>得分</w:t>
            </w:r>
          </w:p>
        </w:tc>
      </w:tr>
      <w:tr w14:paraId="67A286B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62413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A1B72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4F911">
            <w:pPr>
              <w:jc w:val="center"/>
            </w:pPr>
            <w:r>
              <w:rPr>
                <w:rFonts w:ascii="宋体" w:hAnsi="宋体" w:eastAsia="宋体"/>
                <w:sz w:val="16"/>
              </w:rPr>
              <w:t>149.80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5A42D">
            <w:pPr>
              <w:jc w:val="center"/>
            </w:pPr>
            <w:r>
              <w:rPr>
                <w:rFonts w:ascii="宋体" w:hAnsi="宋体" w:eastAsia="宋体"/>
                <w:sz w:val="16"/>
              </w:rPr>
              <w:t>149.80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DF7D92">
            <w:pPr>
              <w:jc w:val="center"/>
            </w:pPr>
            <w:r>
              <w:rPr>
                <w:rFonts w:ascii="宋体" w:hAnsi="宋体" w:eastAsia="宋体"/>
                <w:sz w:val="16"/>
              </w:rPr>
              <w:t>149.80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6999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560C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A2A63">
            <w:pPr>
              <w:jc w:val="center"/>
            </w:pPr>
            <w:r>
              <w:rPr>
                <w:rFonts w:ascii="宋体" w:hAnsi="宋体" w:eastAsia="宋体"/>
                <w:sz w:val="16"/>
              </w:rPr>
              <w:t>10.00</w:t>
            </w:r>
          </w:p>
        </w:tc>
      </w:tr>
      <w:tr w14:paraId="59A412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045B3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02B4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379BEA">
            <w:pPr>
              <w:jc w:val="center"/>
            </w:pPr>
            <w:r>
              <w:rPr>
                <w:rFonts w:ascii="宋体" w:hAnsi="宋体" w:eastAsia="宋体"/>
                <w:sz w:val="16"/>
              </w:rPr>
              <w:t>149.80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D49E4D">
            <w:pPr>
              <w:jc w:val="center"/>
            </w:pPr>
            <w:r>
              <w:rPr>
                <w:rFonts w:ascii="宋体" w:hAnsi="宋体" w:eastAsia="宋体"/>
                <w:sz w:val="16"/>
              </w:rPr>
              <w:t>149.80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9A2517">
            <w:pPr>
              <w:jc w:val="center"/>
            </w:pPr>
            <w:r>
              <w:rPr>
                <w:rFonts w:ascii="宋体" w:hAnsi="宋体" w:eastAsia="宋体"/>
                <w:sz w:val="16"/>
              </w:rPr>
              <w:t>149.80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BAD2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89C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69493">
            <w:pPr>
              <w:jc w:val="center"/>
            </w:pPr>
            <w:r>
              <w:rPr>
                <w:rFonts w:ascii="宋体" w:hAnsi="宋体" w:eastAsia="宋体"/>
                <w:sz w:val="16"/>
              </w:rPr>
              <w:t>-</w:t>
            </w:r>
          </w:p>
        </w:tc>
      </w:tr>
      <w:tr w14:paraId="3808D8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2A693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43C82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BAFA4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29FC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DECA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E358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1F5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C2C5F">
            <w:pPr>
              <w:jc w:val="center"/>
            </w:pPr>
            <w:r>
              <w:rPr>
                <w:rFonts w:ascii="宋体" w:hAnsi="宋体" w:eastAsia="宋体"/>
                <w:sz w:val="16"/>
              </w:rPr>
              <w:t>-</w:t>
            </w:r>
          </w:p>
        </w:tc>
      </w:tr>
      <w:tr w14:paraId="5821B84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B3560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CAD073">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C0CA5B">
            <w:pPr>
              <w:jc w:val="center"/>
            </w:pPr>
            <w:r>
              <w:rPr>
                <w:rFonts w:ascii="宋体" w:hAnsi="宋体" w:eastAsia="宋体"/>
                <w:sz w:val="16"/>
              </w:rPr>
              <w:t>总体目标完成情况</w:t>
            </w:r>
          </w:p>
        </w:tc>
      </w:tr>
      <w:tr w14:paraId="039A98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990B9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CEBC6A">
            <w:pPr>
              <w:jc w:val="both"/>
            </w:pPr>
            <w:r>
              <w:rPr>
                <w:rFonts w:ascii="宋体" w:hAnsi="宋体" w:eastAsia="宋体"/>
                <w:sz w:val="16"/>
              </w:rPr>
              <w:t>按照党中央、国务院关于建立国土空间规划体系并监督实施的战略部署，落实自治区《关于印发新疆全面开展国土空间规划编制工作方案的通知》（新政办发〔2019〕92号）的工作要求，通过围绕巴州战略定位要求，优化国土空间资源配置、提升国土空间品质，推动国土空间治理水平现代化，全面实施国土空间监测预警和绩效考核机制，2024年8月底前完成规划成果和数据库审批。达到巴州国土空间总体规划成果和“一张图”数据库的全阶段应用，强化国土空间规划指导约束作用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9FC2B3E">
            <w:pPr>
              <w:jc w:val="both"/>
            </w:pPr>
            <w:r>
              <w:rPr>
                <w:rFonts w:ascii="宋体" w:hAnsi="宋体" w:eastAsia="宋体"/>
                <w:sz w:val="16"/>
              </w:rPr>
              <w:t>完成规划编制成果（文本、图集、说明书）1套，国土空间规划数据库成果1套，并通过州级专家部门联席、</w:t>
            </w:r>
            <w:r>
              <w:rPr>
                <w:rFonts w:hint="eastAsia" w:ascii="宋体" w:hAnsi="宋体"/>
                <w:sz w:val="16"/>
                <w:lang w:eastAsia="zh-CN"/>
              </w:rPr>
              <w:t>人民代表大会</w:t>
            </w:r>
            <w:r>
              <w:rPr>
                <w:rFonts w:ascii="宋体" w:hAnsi="宋体" w:eastAsia="宋体"/>
                <w:sz w:val="16"/>
              </w:rPr>
              <w:t>、政府常务会、厅专家部门审查，规划编制成果自治区审查合格率100%，“一张图”数据库核查通过率100% ，2024年6月10日完成规划成果审批。基本形成生产空间集约高效、生活空间宜居适度、生态空间山清水秀，安全和谐、富有竞争力和可持续发展的国土空间格局。</w:t>
            </w:r>
          </w:p>
        </w:tc>
      </w:tr>
      <w:tr w14:paraId="17C3316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EBF1C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3C7B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82D1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A698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76123">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1F3A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1A61F">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5A837">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7FAE9">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A203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E751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7B3B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9639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3AE3C">
            <w:pPr>
              <w:jc w:val="center"/>
            </w:pPr>
            <w:r>
              <w:rPr>
                <w:rFonts w:ascii="宋体" w:hAnsi="宋体" w:eastAsia="宋体"/>
                <w:sz w:val="16"/>
              </w:rPr>
              <w:t>偏差原因分析及改进措施</w:t>
            </w:r>
          </w:p>
        </w:tc>
      </w:tr>
      <w:tr w14:paraId="02E7B8C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0B0B8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F7F9E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3926E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71346">
            <w:pPr>
              <w:jc w:val="center"/>
            </w:pPr>
            <w:r>
              <w:rPr>
                <w:rFonts w:ascii="宋体" w:hAnsi="宋体" w:eastAsia="宋体"/>
                <w:sz w:val="16"/>
              </w:rPr>
              <w:t>规划编制成果数量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27965">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069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456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DE58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659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A87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366DD">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D68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1469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5AB03">
            <w:pPr>
              <w:jc w:val="center"/>
            </w:pPr>
          </w:p>
        </w:tc>
      </w:tr>
      <w:tr w14:paraId="1AA0F3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7CFC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6017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20DD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365DB">
            <w:pPr>
              <w:jc w:val="center"/>
            </w:pPr>
            <w:r>
              <w:rPr>
                <w:rFonts w:ascii="宋体" w:hAnsi="宋体" w:eastAsia="宋体"/>
                <w:sz w:val="16"/>
              </w:rPr>
              <w:t>规划编制成果数量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39AB4">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F6D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295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FF28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81D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11F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9819D">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DAB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B16C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52DA3">
            <w:pPr>
              <w:jc w:val="center"/>
            </w:pPr>
          </w:p>
        </w:tc>
      </w:tr>
      <w:tr w14:paraId="5FFD01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A78F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986A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4881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77EA8">
            <w:pPr>
              <w:jc w:val="center"/>
            </w:pPr>
            <w:r>
              <w:rPr>
                <w:rFonts w:ascii="宋体" w:hAnsi="宋体" w:eastAsia="宋体"/>
                <w:sz w:val="16"/>
              </w:rPr>
              <w:t>全州国土空间开发保护“一张图”数据库</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D8746">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A6F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939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B8C5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D86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3216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4211B">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952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A0CB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496B7">
            <w:pPr>
              <w:jc w:val="center"/>
            </w:pPr>
          </w:p>
        </w:tc>
      </w:tr>
      <w:tr w14:paraId="4D8E5A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8365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15C0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0610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29190">
            <w:pPr>
              <w:jc w:val="center"/>
            </w:pPr>
            <w:r>
              <w:rPr>
                <w:rFonts w:ascii="宋体" w:hAnsi="宋体" w:eastAsia="宋体"/>
                <w:sz w:val="16"/>
              </w:rPr>
              <w:t>全州国土空间开发保护“一张图”数据库</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5E3F2">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A46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6DB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006C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72C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B15F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5E435">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86A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EF87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011EE">
            <w:pPr>
              <w:jc w:val="center"/>
            </w:pPr>
          </w:p>
        </w:tc>
      </w:tr>
      <w:tr w14:paraId="495AAA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BFFD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7EE69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C3558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4FECF">
            <w:pPr>
              <w:jc w:val="center"/>
            </w:pPr>
            <w:r>
              <w:rPr>
                <w:rFonts w:ascii="宋体" w:hAnsi="宋体" w:eastAsia="宋体"/>
                <w:sz w:val="16"/>
              </w:rPr>
              <w:t>规划编制成果审查合格率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4AA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149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5F3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9491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DF2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133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E9E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FDE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A67F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C0934">
            <w:pPr>
              <w:jc w:val="center"/>
            </w:pPr>
          </w:p>
        </w:tc>
      </w:tr>
      <w:tr w14:paraId="03C46E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7CB6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DAF0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CDAC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3021B">
            <w:pPr>
              <w:jc w:val="center"/>
            </w:pPr>
            <w:r>
              <w:rPr>
                <w:rFonts w:ascii="宋体" w:hAnsi="宋体" w:eastAsia="宋体"/>
                <w:sz w:val="16"/>
              </w:rPr>
              <w:t>规划编制成果审查合格率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CA2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5CC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0CA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F0B9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08D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F21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76A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BB7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3B2C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84E9E">
            <w:pPr>
              <w:jc w:val="center"/>
            </w:pPr>
          </w:p>
        </w:tc>
      </w:tr>
      <w:tr w14:paraId="3F6744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B6AB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6759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8363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30A4A">
            <w:pPr>
              <w:jc w:val="center"/>
            </w:pPr>
            <w:r>
              <w:rPr>
                <w:rFonts w:ascii="宋体" w:hAnsi="宋体" w:eastAsia="宋体"/>
                <w:sz w:val="16"/>
              </w:rPr>
              <w:t>“一张图”数据库核查通过率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2F1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A54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84A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BDED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B6C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473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C1B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8DD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D3B7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11D3B">
            <w:pPr>
              <w:jc w:val="center"/>
            </w:pPr>
          </w:p>
        </w:tc>
      </w:tr>
      <w:tr w14:paraId="72BD0C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F5BD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D701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D46A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A6C84">
            <w:pPr>
              <w:jc w:val="center"/>
            </w:pPr>
            <w:r>
              <w:rPr>
                <w:rFonts w:ascii="宋体" w:hAnsi="宋体" w:eastAsia="宋体"/>
                <w:sz w:val="16"/>
              </w:rPr>
              <w:t>“一张图”数据库核查通过率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04A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127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96F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A475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427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A07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C2A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380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88B6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0CE18">
            <w:pPr>
              <w:jc w:val="center"/>
            </w:pPr>
          </w:p>
        </w:tc>
      </w:tr>
      <w:tr w14:paraId="6D9444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6139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632B0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33CA1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A58C1">
            <w:pPr>
              <w:jc w:val="center"/>
            </w:pPr>
            <w:r>
              <w:rPr>
                <w:rFonts w:ascii="宋体" w:hAnsi="宋体" w:eastAsia="宋体"/>
                <w:sz w:val="16"/>
              </w:rPr>
              <w:t>规划成果审批时间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2DF45">
            <w:pPr>
              <w:jc w:val="center"/>
            </w:pPr>
            <w:r>
              <w:rPr>
                <w:rFonts w:ascii="宋体" w:hAnsi="宋体" w:eastAsia="宋体"/>
                <w:sz w:val="16"/>
              </w:rPr>
              <w:t>2024年6月30日前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1B7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8EB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82D6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53B0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3F4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A952D">
            <w:pPr>
              <w:jc w:val="center"/>
            </w:pPr>
            <w:r>
              <w:rPr>
                <w:rFonts w:ascii="宋体" w:hAnsi="宋体" w:eastAsia="宋体"/>
                <w:sz w:val="16"/>
              </w:rPr>
              <w:t>2024年6月10日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41E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4DAC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9EA0D">
            <w:pPr>
              <w:jc w:val="center"/>
            </w:pPr>
          </w:p>
        </w:tc>
      </w:tr>
      <w:tr w14:paraId="27BD3A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75F1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A5CE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99A5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259FF">
            <w:pPr>
              <w:jc w:val="center"/>
            </w:pPr>
            <w:r>
              <w:rPr>
                <w:rFonts w:ascii="宋体" w:hAnsi="宋体" w:eastAsia="宋体"/>
                <w:sz w:val="16"/>
              </w:rPr>
              <w:t>规划成果审批时间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D87D2">
            <w:pPr>
              <w:jc w:val="center"/>
            </w:pPr>
            <w:r>
              <w:rPr>
                <w:rFonts w:ascii="宋体" w:hAnsi="宋体" w:eastAsia="宋体"/>
                <w:sz w:val="16"/>
              </w:rPr>
              <w:t>2024年6月30日前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371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6E7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D347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E3A5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AE2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BD8F3">
            <w:pPr>
              <w:jc w:val="center"/>
            </w:pPr>
            <w:r>
              <w:rPr>
                <w:rFonts w:ascii="宋体" w:hAnsi="宋体" w:eastAsia="宋体"/>
                <w:sz w:val="16"/>
              </w:rPr>
              <w:t>2024年6月10日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EBB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94BF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5878C">
            <w:pPr>
              <w:jc w:val="center"/>
            </w:pPr>
          </w:p>
        </w:tc>
      </w:tr>
      <w:tr w14:paraId="3F69E5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B6397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E8BE0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5CAF3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74601">
            <w:pPr>
              <w:jc w:val="center"/>
            </w:pPr>
            <w:r>
              <w:rPr>
                <w:rFonts w:ascii="宋体" w:hAnsi="宋体" w:eastAsia="宋体"/>
                <w:sz w:val="16"/>
              </w:rPr>
              <w:t>资金使用控制误差率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78D84">
            <w:pPr>
              <w:jc w:val="center"/>
            </w:pPr>
            <w:r>
              <w:rPr>
                <w:rFonts w:ascii="宋体" w:hAnsi="宋体" w:eastAsia="宋体"/>
                <w:sz w:val="16"/>
              </w:rPr>
              <w:t>&lt;=5%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2BB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763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E0B6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4406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CAA9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25F9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F11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9488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8B087">
            <w:pPr>
              <w:jc w:val="center"/>
            </w:pPr>
          </w:p>
        </w:tc>
      </w:tr>
      <w:tr w14:paraId="659639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EF4B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458D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0865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7D568">
            <w:pPr>
              <w:jc w:val="center"/>
            </w:pPr>
            <w:r>
              <w:rPr>
                <w:rFonts w:ascii="宋体" w:hAnsi="宋体" w:eastAsia="宋体"/>
                <w:sz w:val="16"/>
              </w:rPr>
              <w:t>资金使用控制误差率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35063">
            <w:pPr>
              <w:jc w:val="center"/>
            </w:pPr>
            <w:r>
              <w:rPr>
                <w:rFonts w:ascii="宋体" w:hAnsi="宋体" w:eastAsia="宋体"/>
                <w:sz w:val="16"/>
              </w:rPr>
              <w:t>&lt;=5%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D75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146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05FE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56AD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0664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5E69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D28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46FA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D7842">
            <w:pPr>
              <w:jc w:val="center"/>
            </w:pPr>
          </w:p>
        </w:tc>
      </w:tr>
      <w:tr w14:paraId="199722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5E230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B318ED">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0A524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731E6">
            <w:pPr>
              <w:jc w:val="center"/>
            </w:pPr>
            <w:r>
              <w:rPr>
                <w:rFonts w:ascii="宋体" w:hAnsi="宋体" w:eastAsia="宋体"/>
                <w:sz w:val="16"/>
              </w:rPr>
              <w:t>规划应用率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2CBA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D56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731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FFD4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8B1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6D7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962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2275D">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BF94B">
            <w:pPr>
              <w:jc w:val="center"/>
            </w:pPr>
            <w:r>
              <w:rPr>
                <w:rFonts w:ascii="宋体" w:hAnsi="宋体" w:eastAsia="宋体"/>
                <w:sz w:val="16"/>
              </w:rPr>
              <w:t>17.78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F8FF4">
            <w:pPr>
              <w:jc w:val="center"/>
            </w:pPr>
            <w:r>
              <w:rPr>
                <w:rFonts w:ascii="宋体" w:hAnsi="宋体" w:eastAsia="宋体"/>
                <w:sz w:val="16"/>
              </w:rPr>
              <w:t>根据自治区工作要求，在项目用地报批阶段所有项目资料均需以国土空间规划为依据，因此规划应用率为100%。改进措施：进一步提高绩效指标设定精准性。</w:t>
            </w:r>
          </w:p>
        </w:tc>
      </w:tr>
      <w:tr w14:paraId="480E9D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0639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F9FC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DB66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58672">
            <w:pPr>
              <w:jc w:val="center"/>
            </w:pPr>
            <w:r>
              <w:rPr>
                <w:rFonts w:ascii="宋体" w:hAnsi="宋体" w:eastAsia="宋体"/>
                <w:sz w:val="16"/>
              </w:rPr>
              <w:t>规划应用率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E015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6FE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11C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1A39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385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D4D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C83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BD2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BFD4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ADFF5">
            <w:pPr>
              <w:jc w:val="center"/>
            </w:pPr>
          </w:p>
        </w:tc>
      </w:tr>
      <w:tr w14:paraId="5E8B04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95377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AA5B77">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E2FE4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6358D">
            <w:pPr>
              <w:jc w:val="center"/>
            </w:pPr>
            <w:r>
              <w:rPr>
                <w:rFonts w:ascii="宋体" w:hAnsi="宋体" w:eastAsia="宋体"/>
                <w:sz w:val="16"/>
              </w:rPr>
              <w:t>社会公众满意度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3B18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8D6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79F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0A9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D19D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FA8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E51F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C9D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E07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A2320">
            <w:pPr>
              <w:jc w:val="center"/>
            </w:pPr>
          </w:p>
        </w:tc>
      </w:tr>
      <w:tr w14:paraId="4267A1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F9E4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C881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ED03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B6E98">
            <w:pPr>
              <w:jc w:val="center"/>
            </w:pPr>
            <w:r>
              <w:rPr>
                <w:rFonts w:ascii="宋体" w:hAnsi="宋体" w:eastAsia="宋体"/>
                <w:sz w:val="16"/>
              </w:rPr>
              <w:t>社会公众满意度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E710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224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D9A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2E9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17DF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FA5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2D9A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88D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88E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63E0E">
            <w:pPr>
              <w:jc w:val="center"/>
            </w:pPr>
          </w:p>
        </w:tc>
      </w:tr>
      <w:tr w14:paraId="7D92DE4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09539D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2B7F9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50FF4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DCE6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B17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586A3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B104B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25138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CB1A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7B07B">
            <w:pPr>
              <w:jc w:val="center"/>
            </w:pPr>
            <w:r>
              <w:rPr>
                <w:rFonts w:ascii="宋体" w:hAnsi="宋体" w:eastAsia="宋体"/>
                <w:sz w:val="16"/>
              </w:rPr>
              <w:t>97.78分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78AEBB"/>
        </w:tc>
      </w:tr>
    </w:tbl>
    <w:p w14:paraId="5E1EF58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776"/>
        <w:gridCol w:w="696"/>
        <w:gridCol w:w="632"/>
        <w:gridCol w:w="632"/>
      </w:tblGrid>
      <w:tr w14:paraId="7665A01A">
        <w:tblPrEx>
          <w:tblCellMar>
            <w:top w:w="0" w:type="dxa"/>
            <w:left w:w="108" w:type="dxa"/>
            <w:bottom w:w="0" w:type="dxa"/>
            <w:right w:w="108" w:type="dxa"/>
          </w:tblCellMar>
        </w:tblPrEx>
        <w:tc>
          <w:tcPr>
            <w:tcW w:w="8848" w:type="dxa"/>
            <w:gridSpan w:val="14"/>
            <w:vAlign w:val="center"/>
          </w:tcPr>
          <w:p w14:paraId="697339A8">
            <w:pPr>
              <w:jc w:val="center"/>
            </w:pPr>
            <w:r>
              <w:rPr>
                <w:rFonts w:ascii="宋体" w:hAnsi="宋体" w:eastAsia="宋体"/>
                <w:sz w:val="24"/>
              </w:rPr>
              <w:t>项目支出绩效自评表</w:t>
            </w:r>
          </w:p>
        </w:tc>
      </w:tr>
      <w:tr w14:paraId="2FC91228">
        <w:tblPrEx>
          <w:tblCellMar>
            <w:top w:w="0" w:type="dxa"/>
            <w:left w:w="108" w:type="dxa"/>
            <w:bottom w:w="0" w:type="dxa"/>
            <w:right w:w="108" w:type="dxa"/>
          </w:tblCellMar>
        </w:tblPrEx>
        <w:tc>
          <w:tcPr>
            <w:tcW w:w="8848" w:type="dxa"/>
            <w:gridSpan w:val="14"/>
            <w:vAlign w:val="center"/>
          </w:tcPr>
          <w:p w14:paraId="2002BD08">
            <w:pPr>
              <w:jc w:val="center"/>
            </w:pPr>
            <w:r>
              <w:rPr>
                <w:rFonts w:ascii="宋体" w:hAnsi="宋体" w:eastAsia="宋体"/>
                <w:sz w:val="24"/>
              </w:rPr>
              <w:t>(2024年度)</w:t>
            </w:r>
          </w:p>
        </w:tc>
      </w:tr>
      <w:tr w14:paraId="6E743C2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7393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C68A7D3">
            <w:pPr>
              <w:jc w:val="center"/>
            </w:pPr>
            <w:r>
              <w:rPr>
                <w:rFonts w:ascii="宋体" w:hAnsi="宋体" w:eastAsia="宋体"/>
                <w:sz w:val="16"/>
              </w:rPr>
              <w:t>巴州国土空间生态修复规划编制项目</w:t>
            </w:r>
          </w:p>
        </w:tc>
      </w:tr>
      <w:tr w14:paraId="208DAE9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D94F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6A305F">
            <w:pPr>
              <w:jc w:val="center"/>
            </w:pPr>
            <w:r>
              <w:rPr>
                <w:rFonts w:ascii="宋体" w:hAnsi="宋体" w:eastAsia="宋体"/>
                <w:sz w:val="16"/>
              </w:rPr>
              <w:t>巴音郭楞蒙古自治州自然资源局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9F01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9A42E6">
            <w:pPr>
              <w:jc w:val="center"/>
            </w:pPr>
            <w:r>
              <w:rPr>
                <w:rFonts w:ascii="宋体" w:hAnsi="宋体" w:eastAsia="宋体"/>
                <w:sz w:val="16"/>
              </w:rPr>
              <w:t>巴音郭楞蒙古自治州自然资源局</w:t>
            </w:r>
          </w:p>
        </w:tc>
      </w:tr>
      <w:tr w14:paraId="1326AE5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BDB06E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80874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A4FFD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C7962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19773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B790FB">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97E3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8FF8D">
            <w:pPr>
              <w:jc w:val="center"/>
            </w:pPr>
            <w:r>
              <w:rPr>
                <w:rFonts w:ascii="宋体" w:hAnsi="宋体" w:eastAsia="宋体"/>
                <w:sz w:val="16"/>
              </w:rPr>
              <w:t>得分</w:t>
            </w:r>
          </w:p>
        </w:tc>
      </w:tr>
      <w:tr w14:paraId="15CF658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3B856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391F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F7379">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B72AC9">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93DEB">
            <w:pPr>
              <w:jc w:val="center"/>
            </w:pPr>
            <w:r>
              <w:rPr>
                <w:rFonts w:ascii="宋体" w:hAnsi="宋体" w:eastAsia="宋体"/>
                <w:sz w:val="16"/>
              </w:rPr>
              <w:t>148.18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BAEA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09869">
            <w:pPr>
              <w:jc w:val="center"/>
            </w:pPr>
            <w:r>
              <w:rPr>
                <w:rFonts w:ascii="宋体" w:hAnsi="宋体" w:eastAsia="宋体"/>
                <w:sz w:val="16"/>
              </w:rPr>
              <w:t>98.79%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EF180">
            <w:pPr>
              <w:jc w:val="center"/>
            </w:pPr>
            <w:r>
              <w:rPr>
                <w:rFonts w:ascii="宋体" w:hAnsi="宋体" w:eastAsia="宋体"/>
                <w:sz w:val="16"/>
              </w:rPr>
              <w:t>9.70</w:t>
            </w:r>
          </w:p>
        </w:tc>
      </w:tr>
      <w:tr w14:paraId="306031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53D6A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F183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70850F">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A41A9">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29E027">
            <w:pPr>
              <w:jc w:val="center"/>
            </w:pPr>
            <w:r>
              <w:rPr>
                <w:rFonts w:ascii="宋体" w:hAnsi="宋体" w:eastAsia="宋体"/>
                <w:sz w:val="16"/>
              </w:rPr>
              <w:t>148.18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1C45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18F4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FFC16">
            <w:pPr>
              <w:jc w:val="center"/>
            </w:pPr>
            <w:r>
              <w:rPr>
                <w:rFonts w:ascii="宋体" w:hAnsi="宋体" w:eastAsia="宋体"/>
                <w:sz w:val="16"/>
              </w:rPr>
              <w:t>-</w:t>
            </w:r>
          </w:p>
        </w:tc>
      </w:tr>
      <w:tr w14:paraId="243537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5756F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D3306D">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58A4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8D33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07164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11D32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EC6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F5D3E">
            <w:pPr>
              <w:jc w:val="center"/>
            </w:pPr>
            <w:r>
              <w:rPr>
                <w:rFonts w:ascii="宋体" w:hAnsi="宋体" w:eastAsia="宋体"/>
                <w:sz w:val="16"/>
              </w:rPr>
              <w:t>-</w:t>
            </w:r>
          </w:p>
        </w:tc>
      </w:tr>
      <w:tr w14:paraId="1B0969D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7B5C9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DB2394">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C87C25">
            <w:pPr>
              <w:jc w:val="center"/>
            </w:pPr>
            <w:r>
              <w:rPr>
                <w:rFonts w:ascii="宋体" w:hAnsi="宋体" w:eastAsia="宋体"/>
                <w:sz w:val="16"/>
              </w:rPr>
              <w:t>总体目标完成情况</w:t>
            </w:r>
          </w:p>
        </w:tc>
      </w:tr>
      <w:tr w14:paraId="111332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BE279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AE75A0">
            <w:pPr>
              <w:jc w:val="both"/>
            </w:pPr>
            <w:r>
              <w:rPr>
                <w:rFonts w:ascii="宋体" w:hAnsi="宋体" w:eastAsia="宋体"/>
                <w:sz w:val="16"/>
              </w:rPr>
              <w:t>根据自治区自然资源局下发了《关于开展地（州、市）级国土空间生态修复规划编制工作的通知》（新自然资函〔2021〕58号），要求各地州开展《规划》编制工作。通过外业调查实地生态研究</w:t>
            </w:r>
            <w:r>
              <w:rPr>
                <w:rFonts w:hint="eastAsia" w:ascii="宋体" w:hAnsi="宋体"/>
                <w:sz w:val="16"/>
                <w:lang w:eastAsia="zh-CN"/>
              </w:rPr>
              <w:t>，</w:t>
            </w:r>
            <w:r>
              <w:rPr>
                <w:rFonts w:ascii="宋体" w:hAnsi="宋体" w:eastAsia="宋体"/>
                <w:sz w:val="16"/>
              </w:rPr>
              <w:t>形成巴州国土空间生态修复规划分析稿，为编制巴州国土空间生态修复规划成果稿、建立数据库提供依据。</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DCFB0C">
            <w:pPr>
              <w:jc w:val="both"/>
            </w:pPr>
            <w:r>
              <w:rPr>
                <w:rFonts w:ascii="宋体" w:hAnsi="宋体" w:eastAsia="宋体"/>
                <w:sz w:val="16"/>
              </w:rPr>
              <w:t>根据自治区自然资源局下发了《关于开展地（州、市）级国土空间生态修复规划编制工作的通知》（新自然资函〔2021〕58号），要求各地州开展《规划》编制工作。2024年通过外业调查实地生态调研3次，已形成巴州国土空间生态修复规划分析稿1套，分析稿成果采纳率达到100%，为编制巴州国土空间生态修复规划成果稿、建立数据库提供依据。</w:t>
            </w:r>
          </w:p>
        </w:tc>
      </w:tr>
      <w:tr w14:paraId="1D503DC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DDCCA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5324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BD13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A316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9EECD">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86B8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A5626">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D8FD6">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DFD03">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286F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1A841">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4996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C09BE">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9317C">
            <w:pPr>
              <w:jc w:val="center"/>
            </w:pPr>
            <w:r>
              <w:rPr>
                <w:rFonts w:ascii="宋体" w:hAnsi="宋体" w:eastAsia="宋体"/>
                <w:sz w:val="16"/>
              </w:rPr>
              <w:t>偏差原因分析及改进措施</w:t>
            </w:r>
          </w:p>
        </w:tc>
      </w:tr>
      <w:tr w14:paraId="3839353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E74A2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202A4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547A7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C3154">
            <w:pPr>
              <w:jc w:val="center"/>
            </w:pPr>
            <w:r>
              <w:rPr>
                <w:rFonts w:ascii="宋体" w:hAnsi="宋体" w:eastAsia="宋体"/>
                <w:sz w:val="16"/>
              </w:rPr>
              <w:t>外业核查调研次数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7FECC">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1AE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DA6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6647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B3F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8AE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59F2E">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7FA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9026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197CA">
            <w:pPr>
              <w:jc w:val="center"/>
            </w:pPr>
          </w:p>
        </w:tc>
      </w:tr>
      <w:tr w14:paraId="4A6CFA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5572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C4B0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B0FE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2DA81">
            <w:pPr>
              <w:jc w:val="center"/>
            </w:pPr>
            <w:r>
              <w:rPr>
                <w:rFonts w:ascii="宋体" w:hAnsi="宋体" w:eastAsia="宋体"/>
                <w:sz w:val="16"/>
              </w:rPr>
              <w:t>国土空间生态修复规划分析稿份数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15835">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27D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AC0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FE41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CE8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B89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B96B1">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0F5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B8CB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C768F">
            <w:pPr>
              <w:jc w:val="center"/>
            </w:pPr>
          </w:p>
        </w:tc>
      </w:tr>
      <w:tr w14:paraId="03F3A6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8E72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FFD5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968B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57BB0">
            <w:pPr>
              <w:jc w:val="center"/>
            </w:pPr>
            <w:r>
              <w:rPr>
                <w:rFonts w:ascii="宋体" w:hAnsi="宋体" w:eastAsia="宋体"/>
                <w:sz w:val="16"/>
              </w:rPr>
              <w:t>规划分析稿通过率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B85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CE5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CE7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A414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17C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D50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FB0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201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C5EE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F0B9A">
            <w:pPr>
              <w:jc w:val="center"/>
            </w:pPr>
          </w:p>
        </w:tc>
      </w:tr>
      <w:tr w14:paraId="4C755A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E16E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648CA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9E645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4D914">
            <w:pPr>
              <w:jc w:val="center"/>
            </w:pPr>
            <w:r>
              <w:rPr>
                <w:rFonts w:ascii="宋体" w:hAnsi="宋体" w:eastAsia="宋体"/>
                <w:sz w:val="16"/>
              </w:rPr>
              <w:t>外业核查调研完成时间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FB42A">
            <w:pPr>
              <w:jc w:val="center"/>
            </w:pPr>
            <w:r>
              <w:rPr>
                <w:rFonts w:ascii="宋体" w:hAnsi="宋体" w:eastAsia="宋体"/>
                <w:sz w:val="16"/>
              </w:rPr>
              <w:t>2024年12月1日前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608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670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62F5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BA13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7C1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05F2B">
            <w:pPr>
              <w:jc w:val="center"/>
            </w:pPr>
            <w:r>
              <w:rPr>
                <w:rFonts w:ascii="宋体" w:hAnsi="宋体" w:eastAsia="宋体"/>
                <w:sz w:val="16"/>
              </w:rPr>
              <w:t>2024年12月1日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F0E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3AD6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0E76C">
            <w:pPr>
              <w:jc w:val="center"/>
            </w:pPr>
          </w:p>
        </w:tc>
      </w:tr>
      <w:tr w14:paraId="300E75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6D04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15ED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C163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E15AB">
            <w:pPr>
              <w:jc w:val="center"/>
            </w:pPr>
            <w:r>
              <w:rPr>
                <w:rFonts w:ascii="宋体" w:hAnsi="宋体" w:eastAsia="宋体"/>
                <w:sz w:val="16"/>
              </w:rPr>
              <w:t>规划分析稿完成时间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BD519">
            <w:pPr>
              <w:jc w:val="center"/>
            </w:pPr>
            <w:r>
              <w:rPr>
                <w:rFonts w:ascii="宋体" w:hAnsi="宋体" w:eastAsia="宋体"/>
                <w:sz w:val="16"/>
              </w:rPr>
              <w:t>2024年12月10日前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8FA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008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42B9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77FA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1B4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F912B">
            <w:pPr>
              <w:jc w:val="center"/>
            </w:pPr>
            <w:r>
              <w:rPr>
                <w:rFonts w:ascii="宋体" w:hAnsi="宋体" w:eastAsia="宋体"/>
                <w:sz w:val="16"/>
              </w:rPr>
              <w:t>2024年12月9日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190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3113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10811">
            <w:pPr>
              <w:jc w:val="center"/>
            </w:pPr>
          </w:p>
        </w:tc>
      </w:tr>
      <w:tr w14:paraId="48CCD1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E4C96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57077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5AAB5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47632">
            <w:pPr>
              <w:jc w:val="center"/>
            </w:pPr>
            <w:r>
              <w:rPr>
                <w:rFonts w:ascii="宋体" w:hAnsi="宋体" w:eastAsia="宋体"/>
                <w:sz w:val="16"/>
              </w:rPr>
              <w:t>外业核查调研成本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DD40E">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E1C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12B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5B4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4F7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331F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E4A02">
            <w:pPr>
              <w:jc w:val="center"/>
            </w:pPr>
            <w:r>
              <w:rPr>
                <w:rFonts w:ascii="宋体" w:hAnsi="宋体" w:eastAsia="宋体"/>
                <w:sz w:val="16"/>
              </w:rPr>
              <w: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DE7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71D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57254">
            <w:pPr>
              <w:jc w:val="center"/>
            </w:pPr>
          </w:p>
        </w:tc>
      </w:tr>
      <w:tr w14:paraId="17903C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A88C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5A6A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8B59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330CB">
            <w:pPr>
              <w:jc w:val="center"/>
            </w:pPr>
            <w:r>
              <w:rPr>
                <w:rFonts w:ascii="宋体" w:hAnsi="宋体" w:eastAsia="宋体"/>
                <w:sz w:val="16"/>
              </w:rPr>
              <w:t>规划分析稿编制成本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DC262">
            <w:pPr>
              <w:jc w:val="center"/>
            </w:pPr>
            <w:r>
              <w:rPr>
                <w:rFonts w:ascii="宋体" w:hAnsi="宋体" w:eastAsia="宋体"/>
                <w:sz w:val="16"/>
              </w:rPr>
              <w:t>&lt;=120万元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C18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0F3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083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83F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4B0C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DFDA9">
            <w:pPr>
              <w:jc w:val="center"/>
            </w:pPr>
            <w:r>
              <w:rPr>
                <w:rFonts w:ascii="宋体" w:hAnsi="宋体" w:eastAsia="宋体"/>
                <w:sz w:val="16"/>
              </w:rPr>
              <w:t>=118.18万元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80BFE">
            <w:pPr>
              <w:jc w:val="center"/>
            </w:pPr>
            <w:r>
              <w:rPr>
                <w:rFonts w:ascii="宋体" w:hAnsi="宋体" w:eastAsia="宋体"/>
                <w:sz w:val="16"/>
              </w:rPr>
              <w:t>98.48%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7272B">
            <w:pPr>
              <w:jc w:val="center"/>
            </w:pPr>
            <w:r>
              <w:rPr>
                <w:rFonts w:ascii="宋体" w:hAnsi="宋体" w:eastAsia="宋体"/>
                <w:sz w:val="16"/>
              </w:rPr>
              <w:t>9.62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CA9A3">
            <w:pPr>
              <w:jc w:val="center"/>
            </w:pPr>
            <w:r>
              <w:rPr>
                <w:rFonts w:ascii="宋体" w:hAnsi="宋体" w:eastAsia="宋体"/>
                <w:sz w:val="16"/>
              </w:rPr>
              <w:t>偏差原因：政府采购节约资金1.82万元，措施：指标设置更加精准化。</w:t>
            </w:r>
          </w:p>
        </w:tc>
      </w:tr>
      <w:tr w14:paraId="76F8EE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3EF4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B1A2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BF31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C18E1">
            <w:pPr>
              <w:jc w:val="center"/>
            </w:pPr>
            <w:r>
              <w:rPr>
                <w:rFonts w:ascii="宋体" w:hAnsi="宋体" w:eastAsia="宋体"/>
                <w:sz w:val="16"/>
              </w:rPr>
              <w:t>分析稿成果采纳率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78BD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184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77F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50187">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567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8A5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D25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6C8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9646F">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28D9F">
            <w:pPr>
              <w:jc w:val="center"/>
            </w:pPr>
          </w:p>
        </w:tc>
      </w:tr>
      <w:tr w14:paraId="5F76711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734E6C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B8420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6E8B7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5034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6C0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47540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4F5FF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FA835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7250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FC228">
            <w:pPr>
              <w:jc w:val="center"/>
            </w:pPr>
            <w:r>
              <w:rPr>
                <w:rFonts w:ascii="宋体" w:hAnsi="宋体" w:eastAsia="宋体"/>
                <w:sz w:val="16"/>
              </w:rPr>
              <w:t>99.32分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CB34E8"/>
        </w:tc>
      </w:tr>
    </w:tbl>
    <w:p w14:paraId="21E48C7E">
      <w:r>
        <w:br w:type="page"/>
      </w:r>
    </w:p>
    <w:tbl>
      <w:tblPr>
        <w:tblStyle w:val="9"/>
        <w:tblW w:w="0" w:type="auto"/>
        <w:tblInd w:w="0" w:type="dxa"/>
        <w:tblLayout w:type="autofit"/>
        <w:tblCellMar>
          <w:top w:w="0" w:type="dxa"/>
          <w:left w:w="108" w:type="dxa"/>
          <w:bottom w:w="0" w:type="dxa"/>
          <w:right w:w="108" w:type="dxa"/>
        </w:tblCellMar>
      </w:tblPr>
      <w:tblGrid>
        <w:gridCol w:w="628"/>
        <w:gridCol w:w="622"/>
        <w:gridCol w:w="622"/>
        <w:gridCol w:w="856"/>
        <w:gridCol w:w="631"/>
        <w:gridCol w:w="622"/>
        <w:gridCol w:w="622"/>
        <w:gridCol w:w="625"/>
        <w:gridCol w:w="622"/>
        <w:gridCol w:w="622"/>
        <w:gridCol w:w="631"/>
        <w:gridCol w:w="628"/>
        <w:gridCol w:w="697"/>
        <w:gridCol w:w="632"/>
      </w:tblGrid>
      <w:tr w14:paraId="654F931C">
        <w:tblPrEx>
          <w:tblCellMar>
            <w:top w:w="0" w:type="dxa"/>
            <w:left w:w="108" w:type="dxa"/>
            <w:bottom w:w="0" w:type="dxa"/>
            <w:right w:w="108" w:type="dxa"/>
          </w:tblCellMar>
        </w:tblPrEx>
        <w:tc>
          <w:tcPr>
            <w:tcW w:w="8848" w:type="dxa"/>
            <w:gridSpan w:val="14"/>
            <w:vAlign w:val="center"/>
          </w:tcPr>
          <w:p w14:paraId="27C6D66D">
            <w:pPr>
              <w:jc w:val="center"/>
            </w:pPr>
            <w:r>
              <w:rPr>
                <w:rFonts w:ascii="宋体" w:hAnsi="宋体" w:eastAsia="宋体"/>
                <w:sz w:val="24"/>
              </w:rPr>
              <w:t>项目支出绩效自评表</w:t>
            </w:r>
          </w:p>
        </w:tc>
      </w:tr>
      <w:tr w14:paraId="1EAF50C0">
        <w:tblPrEx>
          <w:tblCellMar>
            <w:top w:w="0" w:type="dxa"/>
            <w:left w:w="108" w:type="dxa"/>
            <w:bottom w:w="0" w:type="dxa"/>
            <w:right w:w="108" w:type="dxa"/>
          </w:tblCellMar>
        </w:tblPrEx>
        <w:tc>
          <w:tcPr>
            <w:tcW w:w="8848" w:type="dxa"/>
            <w:gridSpan w:val="14"/>
            <w:vAlign w:val="center"/>
          </w:tcPr>
          <w:p w14:paraId="2AD549D9">
            <w:pPr>
              <w:jc w:val="center"/>
            </w:pPr>
            <w:r>
              <w:rPr>
                <w:rFonts w:ascii="宋体" w:hAnsi="宋体" w:eastAsia="宋体"/>
                <w:sz w:val="24"/>
              </w:rPr>
              <w:t>(2024年度)</w:t>
            </w:r>
          </w:p>
        </w:tc>
      </w:tr>
      <w:tr w14:paraId="21C22A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D8E0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058F978">
            <w:pPr>
              <w:jc w:val="center"/>
            </w:pPr>
            <w:r>
              <w:rPr>
                <w:rFonts w:ascii="宋体" w:hAnsi="宋体" w:eastAsia="宋体"/>
                <w:sz w:val="16"/>
              </w:rPr>
              <w:t>库尔勒城市级实景三维建设项目</w:t>
            </w:r>
          </w:p>
        </w:tc>
      </w:tr>
      <w:tr w14:paraId="2DDA08B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0A3B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DE3664">
            <w:pPr>
              <w:jc w:val="center"/>
            </w:pPr>
            <w:r>
              <w:rPr>
                <w:rFonts w:ascii="宋体" w:hAnsi="宋体" w:eastAsia="宋体"/>
                <w:sz w:val="16"/>
              </w:rPr>
              <w:t>巴音郭楞蒙古自治州自然资源局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16D8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1B4B91F">
            <w:pPr>
              <w:jc w:val="center"/>
            </w:pPr>
            <w:r>
              <w:rPr>
                <w:rFonts w:ascii="宋体" w:hAnsi="宋体" w:eastAsia="宋体"/>
                <w:sz w:val="16"/>
              </w:rPr>
              <w:t>巴音郭楞蒙古自治州自然资源局</w:t>
            </w:r>
          </w:p>
        </w:tc>
      </w:tr>
      <w:tr w14:paraId="6B1091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EE3596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BF6DF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7EEF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81E1C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2BE67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CFA99">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6C510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B5B1B">
            <w:pPr>
              <w:jc w:val="center"/>
            </w:pPr>
            <w:r>
              <w:rPr>
                <w:rFonts w:ascii="宋体" w:hAnsi="宋体" w:eastAsia="宋体"/>
                <w:sz w:val="16"/>
              </w:rPr>
              <w:t>得分</w:t>
            </w:r>
          </w:p>
        </w:tc>
      </w:tr>
      <w:tr w14:paraId="2E231D2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8C7FA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853C7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6C016">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86672">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E9972">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6A8E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000E3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202F6">
            <w:pPr>
              <w:jc w:val="center"/>
            </w:pPr>
            <w:r>
              <w:rPr>
                <w:rFonts w:ascii="宋体" w:hAnsi="宋体" w:eastAsia="宋体"/>
                <w:sz w:val="16"/>
              </w:rPr>
              <w:t>10.00</w:t>
            </w:r>
          </w:p>
        </w:tc>
      </w:tr>
      <w:tr w14:paraId="34F5D9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E2C52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880B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9D7C4">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C7FA0">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CEAE6">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1B55B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AC7F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C7E03">
            <w:pPr>
              <w:jc w:val="center"/>
            </w:pPr>
            <w:r>
              <w:rPr>
                <w:rFonts w:ascii="宋体" w:hAnsi="宋体" w:eastAsia="宋体"/>
                <w:sz w:val="16"/>
              </w:rPr>
              <w:t>-</w:t>
            </w:r>
          </w:p>
        </w:tc>
      </w:tr>
      <w:tr w14:paraId="50D847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2FE5B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C2F2F3">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1446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44035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4ADF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FE488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24C3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64C4B">
            <w:pPr>
              <w:jc w:val="center"/>
            </w:pPr>
            <w:r>
              <w:rPr>
                <w:rFonts w:ascii="宋体" w:hAnsi="宋体" w:eastAsia="宋体"/>
                <w:sz w:val="16"/>
              </w:rPr>
              <w:t>-</w:t>
            </w:r>
          </w:p>
        </w:tc>
      </w:tr>
      <w:tr w14:paraId="6EA7CF1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7E5FE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6A9342">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22BCFB">
            <w:pPr>
              <w:jc w:val="center"/>
            </w:pPr>
            <w:r>
              <w:rPr>
                <w:rFonts w:ascii="宋体" w:hAnsi="宋体" w:eastAsia="宋体"/>
                <w:sz w:val="16"/>
              </w:rPr>
              <w:t>总体目标完成情况</w:t>
            </w:r>
          </w:p>
        </w:tc>
      </w:tr>
      <w:tr w14:paraId="773E31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50F1C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FBFDAF">
            <w:pPr>
              <w:jc w:val="both"/>
            </w:pPr>
            <w:r>
              <w:rPr>
                <w:rFonts w:ascii="宋体" w:hAnsi="宋体" w:eastAsia="宋体"/>
                <w:sz w:val="16"/>
              </w:rPr>
              <w:t>按照自治区通知文件要求按期完成巴州政府所在地库尔勒主要建成区约130平方公里优于3厘米分辨率数字正射影像图（DOM）三维Mesh模型数据成果，0.5米分辨率数字高程模型（DEM）、数字地表模型（DSM）数据成果和城市三维模型（LOD1.3级）。为城市精细化管理、建设规划以及结构化提供直观、真实的三维场景体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2B58E5">
            <w:pPr>
              <w:jc w:val="both"/>
            </w:pPr>
            <w:r>
              <w:rPr>
                <w:rFonts w:ascii="宋体" w:hAnsi="宋体" w:eastAsia="宋体"/>
                <w:sz w:val="16"/>
              </w:rPr>
              <w:t>已按期完成巴州政府所在地库尔勒主要建成区约130平方公里优于3厘米分辨率数字正射影像图（DOM）三维Mesh模型数据成果1套，0.5米分辨率数字高程模型（DEM）、数字地表模型（DSM）数据成果和城市三维模型（LOD1.3级）1套。为城市精细化管理、建设规划以及结构化提供直观、真实的三维场景体验，为数字巴州统一的空间定位框架和分析基础提供了有力支撑。</w:t>
            </w:r>
          </w:p>
        </w:tc>
      </w:tr>
      <w:tr w14:paraId="4C01799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884D8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CAE9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F23B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3BA1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429CE">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ED1C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25E18">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76531">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0E59E">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3087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F6D25">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19AF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4694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2CDA7">
            <w:pPr>
              <w:jc w:val="center"/>
            </w:pPr>
            <w:r>
              <w:rPr>
                <w:rFonts w:ascii="宋体" w:hAnsi="宋体" w:eastAsia="宋体"/>
                <w:sz w:val="16"/>
              </w:rPr>
              <w:t>偏差原因分析及改进措施</w:t>
            </w:r>
          </w:p>
        </w:tc>
      </w:tr>
      <w:tr w14:paraId="7C60B3B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610AA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B0824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C7418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FD7BF">
            <w:pPr>
              <w:jc w:val="center"/>
            </w:pPr>
            <w:r>
              <w:rPr>
                <w:rFonts w:ascii="宋体" w:hAnsi="宋体" w:eastAsia="宋体"/>
                <w:sz w:val="16"/>
              </w:rPr>
              <w:t>获取无人机倾斜摄影及地理场景建设（Mash三维模型）建模（含像控）数量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62401">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D89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64E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DD7B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C3D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91C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CCA05">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3F7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B3F9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EB7EB">
            <w:pPr>
              <w:jc w:val="center"/>
            </w:pPr>
          </w:p>
        </w:tc>
      </w:tr>
      <w:tr w14:paraId="775590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89A6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0652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1CB2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6D2A8">
            <w:pPr>
              <w:jc w:val="center"/>
            </w:pPr>
            <w:r>
              <w:rPr>
                <w:rFonts w:ascii="宋体" w:hAnsi="宋体" w:eastAsia="宋体"/>
                <w:sz w:val="16"/>
              </w:rPr>
              <w:t>构建城市三维模型（LOD1.3级）数量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77D84">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CD3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442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1F45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968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904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990AD">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87F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F7A9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D9E30">
            <w:pPr>
              <w:jc w:val="center"/>
            </w:pPr>
          </w:p>
        </w:tc>
      </w:tr>
      <w:tr w14:paraId="30ACCB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66A9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D0410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126FE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85B28">
            <w:pPr>
              <w:jc w:val="center"/>
            </w:pPr>
            <w:r>
              <w:rPr>
                <w:rFonts w:ascii="宋体" w:hAnsi="宋体" w:eastAsia="宋体"/>
                <w:sz w:val="16"/>
              </w:rPr>
              <w:t>无人机倾斜摄影及地理场景建设（Mash三维模型）建模（含像控）质量合格率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CBF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C1F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E87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160B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868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110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394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744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B93B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9212A">
            <w:pPr>
              <w:jc w:val="center"/>
            </w:pPr>
          </w:p>
        </w:tc>
      </w:tr>
      <w:tr w14:paraId="71B01E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40D4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C21F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44CF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01E06">
            <w:pPr>
              <w:jc w:val="center"/>
            </w:pPr>
            <w:r>
              <w:rPr>
                <w:rFonts w:ascii="宋体" w:hAnsi="宋体" w:eastAsia="宋体"/>
                <w:sz w:val="16"/>
              </w:rPr>
              <w:t>城市三维模型（LOD1.3级）质量合格率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6F4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AC6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A69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BF34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BEE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B5B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28E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596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675C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62065">
            <w:pPr>
              <w:jc w:val="center"/>
            </w:pPr>
          </w:p>
        </w:tc>
      </w:tr>
      <w:tr w14:paraId="0B7192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B825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48F75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9F1EF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ADBF6">
            <w:pPr>
              <w:jc w:val="center"/>
            </w:pPr>
            <w:r>
              <w:rPr>
                <w:rFonts w:ascii="宋体" w:hAnsi="宋体" w:eastAsia="宋体"/>
                <w:sz w:val="16"/>
              </w:rPr>
              <w:t>获取无人机倾斜摄影及地理场景建设（Mash三维模型）建模（含像控）完成时间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2FA58">
            <w:pPr>
              <w:jc w:val="center"/>
            </w:pPr>
            <w:r>
              <w:rPr>
                <w:rFonts w:ascii="宋体" w:hAnsi="宋体" w:eastAsia="宋体"/>
                <w:sz w:val="16"/>
              </w:rPr>
              <w:t>2024年11月底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971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B4B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5202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830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0B7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B85C4">
            <w:pPr>
              <w:jc w:val="center"/>
            </w:pPr>
            <w:r>
              <w:rPr>
                <w:rFonts w:ascii="宋体" w:hAnsi="宋体" w:eastAsia="宋体"/>
                <w:sz w:val="16"/>
              </w:rPr>
              <w:t>2024年11月20日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EF2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C23B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62E8B">
            <w:pPr>
              <w:jc w:val="center"/>
            </w:pPr>
          </w:p>
        </w:tc>
      </w:tr>
      <w:tr w14:paraId="07F044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A11A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DBC1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A181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0072F">
            <w:pPr>
              <w:jc w:val="center"/>
            </w:pPr>
            <w:r>
              <w:rPr>
                <w:rFonts w:ascii="宋体" w:hAnsi="宋体" w:eastAsia="宋体"/>
                <w:sz w:val="16"/>
              </w:rPr>
              <w:t>构建城市三维模型（LOD1.3级）完成时间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4B1A3">
            <w:pPr>
              <w:jc w:val="center"/>
            </w:pPr>
            <w:r>
              <w:rPr>
                <w:rFonts w:ascii="宋体" w:hAnsi="宋体" w:eastAsia="宋体"/>
                <w:sz w:val="16"/>
              </w:rPr>
              <w:t>2024年12月底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DEE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DC8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C9C3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A89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796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D91A9">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975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0D48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4B093">
            <w:pPr>
              <w:jc w:val="center"/>
            </w:pPr>
          </w:p>
        </w:tc>
      </w:tr>
      <w:tr w14:paraId="7DE292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66F2F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B35D2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08CB4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C4F2B">
            <w:pPr>
              <w:jc w:val="center"/>
            </w:pPr>
            <w:r>
              <w:rPr>
                <w:rFonts w:ascii="宋体" w:hAnsi="宋体" w:eastAsia="宋体"/>
                <w:sz w:val="16"/>
              </w:rPr>
              <w:t>获取无人机倾斜摄影及地理场景建设（Mash三维模型）建模（含像控）成本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6F547">
            <w:pPr>
              <w:jc w:val="center"/>
            </w:pPr>
            <w:r>
              <w:rPr>
                <w:rFonts w:ascii="宋体" w:hAnsi="宋体" w:eastAsia="宋体"/>
                <w:sz w:val="16"/>
              </w:rPr>
              <w:t>&lt;=135万元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FE3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D4C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FD4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30A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CDBC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2C87C">
            <w:pPr>
              <w:jc w:val="center"/>
            </w:pPr>
            <w:r>
              <w:rPr>
                <w:rFonts w:ascii="宋体" w:hAnsi="宋体" w:eastAsia="宋体"/>
                <w:sz w:val="16"/>
              </w:rPr>
              <w:t>=135万元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FA2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33B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AE3CA">
            <w:pPr>
              <w:jc w:val="center"/>
            </w:pPr>
          </w:p>
        </w:tc>
      </w:tr>
      <w:tr w14:paraId="434D78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5FF6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C677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56F5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12EEF">
            <w:pPr>
              <w:jc w:val="center"/>
            </w:pPr>
            <w:r>
              <w:rPr>
                <w:rFonts w:ascii="宋体" w:hAnsi="宋体" w:eastAsia="宋体"/>
                <w:sz w:val="16"/>
              </w:rPr>
              <w:t>构建城市三维模型（LOD1.3级）成本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3F0F1">
            <w:pPr>
              <w:jc w:val="center"/>
            </w:pPr>
            <w:r>
              <w:rPr>
                <w:rFonts w:ascii="宋体" w:hAnsi="宋体" w:eastAsia="宋体"/>
                <w:sz w:val="16"/>
              </w:rPr>
              <w:t>&lt;=65万元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F75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DBF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3FC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B0A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051B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F0B00">
            <w:pPr>
              <w:jc w:val="center"/>
            </w:pPr>
            <w:r>
              <w:rPr>
                <w:rFonts w:ascii="宋体" w:hAnsi="宋体" w:eastAsia="宋体"/>
                <w:sz w:val="16"/>
              </w:rPr>
              <w:t>=65万元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0D0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BA7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7ABB9">
            <w:pPr>
              <w:jc w:val="center"/>
            </w:pPr>
          </w:p>
        </w:tc>
      </w:tr>
      <w:tr w14:paraId="24698E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E124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8809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662E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81AC5">
            <w:pPr>
              <w:jc w:val="center"/>
            </w:pPr>
            <w:r>
              <w:rPr>
                <w:rFonts w:ascii="宋体" w:hAnsi="宋体" w:eastAsia="宋体"/>
                <w:sz w:val="16"/>
              </w:rPr>
              <w:t>为数字巴州提供统一的空间定位框架和分析基础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E71E2">
            <w:pPr>
              <w:jc w:val="center"/>
            </w:pPr>
            <w:r>
              <w:rPr>
                <w:rFonts w:ascii="宋体" w:hAnsi="宋体" w:eastAsia="宋体"/>
                <w:sz w:val="16"/>
              </w:rPr>
              <w:t>有力支撑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F1E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284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10F2A">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11FF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E79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267B4">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81E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ACAB1">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2559C">
            <w:pPr>
              <w:jc w:val="center"/>
            </w:pPr>
          </w:p>
        </w:tc>
      </w:tr>
      <w:tr w14:paraId="3BBCA0C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FAC5F4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DD709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A00FE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F118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BC8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D023B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11220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138CA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AC68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3EA6B">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C44E14"/>
        </w:tc>
      </w:tr>
    </w:tbl>
    <w:p w14:paraId="4F28CA6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32"/>
        <w:gridCol w:w="696"/>
        <w:gridCol w:w="632"/>
        <w:gridCol w:w="632"/>
      </w:tblGrid>
      <w:tr w14:paraId="082481DA">
        <w:tblPrEx>
          <w:tblCellMar>
            <w:top w:w="0" w:type="dxa"/>
            <w:left w:w="108" w:type="dxa"/>
            <w:bottom w:w="0" w:type="dxa"/>
            <w:right w:w="108" w:type="dxa"/>
          </w:tblCellMar>
        </w:tblPrEx>
        <w:tc>
          <w:tcPr>
            <w:tcW w:w="8848" w:type="dxa"/>
            <w:gridSpan w:val="14"/>
            <w:vAlign w:val="center"/>
          </w:tcPr>
          <w:p w14:paraId="74C848E7">
            <w:pPr>
              <w:jc w:val="center"/>
            </w:pPr>
            <w:r>
              <w:rPr>
                <w:rFonts w:ascii="宋体" w:hAnsi="宋体" w:eastAsia="宋体"/>
                <w:sz w:val="24"/>
              </w:rPr>
              <w:t>项目支出绩效自评表</w:t>
            </w:r>
          </w:p>
        </w:tc>
      </w:tr>
      <w:tr w14:paraId="13852DF1">
        <w:tblPrEx>
          <w:tblCellMar>
            <w:top w:w="0" w:type="dxa"/>
            <w:left w:w="108" w:type="dxa"/>
            <w:bottom w:w="0" w:type="dxa"/>
            <w:right w:w="108" w:type="dxa"/>
          </w:tblCellMar>
        </w:tblPrEx>
        <w:tc>
          <w:tcPr>
            <w:tcW w:w="8848" w:type="dxa"/>
            <w:gridSpan w:val="14"/>
            <w:vAlign w:val="center"/>
          </w:tcPr>
          <w:p w14:paraId="695AF283">
            <w:pPr>
              <w:jc w:val="center"/>
            </w:pPr>
            <w:r>
              <w:rPr>
                <w:rFonts w:ascii="宋体" w:hAnsi="宋体" w:eastAsia="宋体"/>
                <w:sz w:val="24"/>
              </w:rPr>
              <w:t>(2024年度)</w:t>
            </w:r>
          </w:p>
        </w:tc>
      </w:tr>
      <w:tr w14:paraId="0F3DC35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B30E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A779BB6">
            <w:pPr>
              <w:jc w:val="center"/>
            </w:pPr>
            <w:r>
              <w:rPr>
                <w:rFonts w:ascii="宋体" w:hAnsi="宋体" w:eastAsia="宋体"/>
                <w:sz w:val="16"/>
              </w:rPr>
              <w:t>格库铁路（新疆段）扩能改造项目</w:t>
            </w:r>
          </w:p>
        </w:tc>
      </w:tr>
      <w:tr w14:paraId="7A60FF9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CF86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F9C67E">
            <w:pPr>
              <w:jc w:val="center"/>
            </w:pPr>
            <w:r>
              <w:rPr>
                <w:rFonts w:ascii="宋体" w:hAnsi="宋体" w:eastAsia="宋体"/>
                <w:sz w:val="16"/>
              </w:rPr>
              <w:t>巴音郭楞蒙古自治州自然资源局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9A4E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E47B1F">
            <w:pPr>
              <w:jc w:val="center"/>
            </w:pPr>
            <w:r>
              <w:rPr>
                <w:rFonts w:ascii="宋体" w:hAnsi="宋体" w:eastAsia="宋体"/>
                <w:sz w:val="16"/>
              </w:rPr>
              <w:t>巴音郭楞蒙古自治州自然资源局</w:t>
            </w:r>
          </w:p>
        </w:tc>
      </w:tr>
      <w:tr w14:paraId="249B20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94B2A8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B0BC2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E1D4E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3B1D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0AB7C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593D1">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97110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B509D">
            <w:pPr>
              <w:jc w:val="center"/>
            </w:pPr>
            <w:r>
              <w:rPr>
                <w:rFonts w:ascii="宋体" w:hAnsi="宋体" w:eastAsia="宋体"/>
                <w:sz w:val="16"/>
              </w:rPr>
              <w:t>得分</w:t>
            </w:r>
          </w:p>
        </w:tc>
      </w:tr>
      <w:tr w14:paraId="54E6772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0FB03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793E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662EC">
            <w:pPr>
              <w:jc w:val="center"/>
            </w:pPr>
            <w:r>
              <w:rPr>
                <w:rFonts w:ascii="宋体" w:hAnsi="宋体" w:eastAsia="宋体"/>
                <w:sz w:val="16"/>
              </w:rPr>
              <w:t>366.50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8FBB75">
            <w:pPr>
              <w:jc w:val="center"/>
            </w:pPr>
            <w:r>
              <w:rPr>
                <w:rFonts w:ascii="宋体" w:hAnsi="宋体" w:eastAsia="宋体"/>
                <w:sz w:val="16"/>
              </w:rPr>
              <w:t>366.50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BFD99">
            <w:pPr>
              <w:jc w:val="center"/>
            </w:pPr>
            <w:r>
              <w:rPr>
                <w:rFonts w:ascii="宋体" w:hAnsi="宋体" w:eastAsia="宋体"/>
                <w:sz w:val="16"/>
              </w:rPr>
              <w:t>364.50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9E3A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71920">
            <w:pPr>
              <w:jc w:val="center"/>
            </w:pPr>
            <w:r>
              <w:rPr>
                <w:rFonts w:ascii="宋体" w:hAnsi="宋体" w:eastAsia="宋体"/>
                <w:sz w:val="16"/>
              </w:rPr>
              <w:t>99.45%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562D1">
            <w:pPr>
              <w:jc w:val="center"/>
            </w:pPr>
            <w:r>
              <w:rPr>
                <w:rFonts w:ascii="宋体" w:hAnsi="宋体" w:eastAsia="宋体"/>
                <w:sz w:val="16"/>
              </w:rPr>
              <w:t>9.86</w:t>
            </w:r>
          </w:p>
        </w:tc>
      </w:tr>
      <w:tr w14:paraId="43AB3E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EDD01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46A02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6D851">
            <w:pPr>
              <w:jc w:val="center"/>
            </w:pPr>
            <w:r>
              <w:rPr>
                <w:rFonts w:ascii="宋体" w:hAnsi="宋体" w:eastAsia="宋体"/>
                <w:sz w:val="16"/>
              </w:rPr>
              <w:t>366.50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721E7">
            <w:pPr>
              <w:jc w:val="center"/>
            </w:pPr>
            <w:r>
              <w:rPr>
                <w:rFonts w:ascii="宋体" w:hAnsi="宋体" w:eastAsia="宋体"/>
                <w:sz w:val="16"/>
              </w:rPr>
              <w:t>366.50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B6E328">
            <w:pPr>
              <w:jc w:val="center"/>
            </w:pPr>
            <w:r>
              <w:rPr>
                <w:rFonts w:ascii="宋体" w:hAnsi="宋体" w:eastAsia="宋体"/>
                <w:sz w:val="16"/>
              </w:rPr>
              <w:t>364.50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07645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497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8B0F2">
            <w:pPr>
              <w:jc w:val="center"/>
            </w:pPr>
            <w:r>
              <w:rPr>
                <w:rFonts w:ascii="宋体" w:hAnsi="宋体" w:eastAsia="宋体"/>
                <w:sz w:val="16"/>
              </w:rPr>
              <w:t>-</w:t>
            </w:r>
          </w:p>
        </w:tc>
      </w:tr>
      <w:tr w14:paraId="02C4BC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D3A4F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3155C">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DFC57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B033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93E3D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D0CF8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E2C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3FD9A">
            <w:pPr>
              <w:jc w:val="center"/>
            </w:pPr>
            <w:r>
              <w:rPr>
                <w:rFonts w:ascii="宋体" w:hAnsi="宋体" w:eastAsia="宋体"/>
                <w:sz w:val="16"/>
              </w:rPr>
              <w:t>-</w:t>
            </w:r>
          </w:p>
        </w:tc>
      </w:tr>
      <w:tr w14:paraId="5AD3FA0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917CF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ACC647">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AE2868">
            <w:pPr>
              <w:jc w:val="center"/>
            </w:pPr>
            <w:r>
              <w:rPr>
                <w:rFonts w:ascii="宋体" w:hAnsi="宋体" w:eastAsia="宋体"/>
                <w:sz w:val="16"/>
              </w:rPr>
              <w:t>总体目标完成情况</w:t>
            </w:r>
          </w:p>
        </w:tc>
      </w:tr>
      <w:tr w14:paraId="028015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283A3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ED581B">
            <w:pPr>
              <w:jc w:val="both"/>
            </w:pPr>
            <w:r>
              <w:rPr>
                <w:rFonts w:ascii="宋体" w:hAnsi="宋体" w:eastAsia="宋体"/>
                <w:sz w:val="16"/>
              </w:rPr>
              <w:t>完成格尔木至库尔勒铁路（新疆段）扩能改造工程建设用地组件报批工作，报批附件内容包括编制专项占生态红线不可避让论证报告、占林地和草地可行性研究报告、永久用地勘测定界报告以及房屋评估、征地实地调查和补偿费测算等，最终取得该项目建设用地批复，为项目建设用地提供保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F84C204">
            <w:pPr>
              <w:jc w:val="both"/>
            </w:pPr>
            <w:r>
              <w:rPr>
                <w:rFonts w:ascii="宋体" w:hAnsi="宋体" w:eastAsia="宋体"/>
                <w:sz w:val="16"/>
              </w:rPr>
              <w:t>该项目已全部完成，格尔木至库尔勒铁路（新疆段）扩能改造工程建设用地组件报批工作已完成。最终取得该项目建设用地批复包括建设用地组件1套，编制专项报告3份，专项测算评估表2套，已取得该项目建设用地批复，为项目建设用地提供了有力保障。</w:t>
            </w:r>
          </w:p>
        </w:tc>
      </w:tr>
      <w:tr w14:paraId="3573D4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22E7A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CECF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146B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626F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B3E9E">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E74E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33531">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71EC9">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114E5">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A36A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5664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BD73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37E4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34497">
            <w:pPr>
              <w:jc w:val="center"/>
            </w:pPr>
            <w:r>
              <w:rPr>
                <w:rFonts w:ascii="宋体" w:hAnsi="宋体" w:eastAsia="宋体"/>
                <w:sz w:val="16"/>
              </w:rPr>
              <w:t>偏差原因分析及改进措施</w:t>
            </w:r>
          </w:p>
        </w:tc>
      </w:tr>
      <w:tr w14:paraId="13F7D77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E2C29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ABB35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BE9D3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58000">
            <w:pPr>
              <w:jc w:val="center"/>
            </w:pPr>
            <w:r>
              <w:rPr>
                <w:rFonts w:ascii="宋体" w:hAnsi="宋体" w:eastAsia="宋体"/>
                <w:sz w:val="16"/>
              </w:rPr>
              <w:t>建设用地组件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52BEA">
            <w:pPr>
              <w:jc w:val="center"/>
            </w:pPr>
            <w:r>
              <w:rPr>
                <w:rFonts w:ascii="宋体" w:hAnsi="宋体" w:eastAsia="宋体"/>
                <w:sz w:val="16"/>
              </w:rPr>
              <w:t>=1件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7D3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A2B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CD2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491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423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176F9">
            <w:pPr>
              <w:jc w:val="center"/>
            </w:pPr>
            <w:r>
              <w:rPr>
                <w:rFonts w:ascii="宋体" w:hAnsi="宋体" w:eastAsia="宋体"/>
                <w:sz w:val="16"/>
              </w:rPr>
              <w:t>=1件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A0F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829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2AB5D">
            <w:pPr>
              <w:jc w:val="center"/>
            </w:pPr>
          </w:p>
        </w:tc>
      </w:tr>
      <w:tr w14:paraId="402324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BE51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AC2F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EA7F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2A3C7">
            <w:pPr>
              <w:jc w:val="center"/>
            </w:pPr>
            <w:r>
              <w:rPr>
                <w:rFonts w:ascii="宋体" w:hAnsi="宋体" w:eastAsia="宋体"/>
                <w:sz w:val="16"/>
              </w:rPr>
              <w:t>编制专项报告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54150">
            <w:pPr>
              <w:jc w:val="center"/>
            </w:pPr>
            <w:r>
              <w:rPr>
                <w:rFonts w:ascii="宋体" w:hAnsi="宋体" w:eastAsia="宋体"/>
                <w:sz w:val="16"/>
              </w:rPr>
              <w:t>=3套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C80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EDD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75FB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FFC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398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3CC04">
            <w:pPr>
              <w:jc w:val="center"/>
            </w:pPr>
            <w:r>
              <w:rPr>
                <w:rFonts w:ascii="宋体" w:hAnsi="宋体" w:eastAsia="宋体"/>
                <w:sz w:val="16"/>
              </w:rPr>
              <w:t>=3套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5D1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3A2A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64C9A">
            <w:pPr>
              <w:jc w:val="center"/>
            </w:pPr>
          </w:p>
        </w:tc>
      </w:tr>
      <w:tr w14:paraId="475833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1205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1FFC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DA38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20B67">
            <w:pPr>
              <w:jc w:val="center"/>
            </w:pPr>
            <w:r>
              <w:rPr>
                <w:rFonts w:ascii="宋体" w:hAnsi="宋体" w:eastAsia="宋体"/>
                <w:sz w:val="16"/>
              </w:rPr>
              <w:t>专项测算评估表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F5409">
            <w:pPr>
              <w:jc w:val="center"/>
            </w:pPr>
            <w:r>
              <w:rPr>
                <w:rFonts w:ascii="宋体" w:hAnsi="宋体" w:eastAsia="宋体"/>
                <w:sz w:val="16"/>
              </w:rPr>
              <w:t>=2套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01F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F53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E3AA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74E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C27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4D363">
            <w:pPr>
              <w:jc w:val="center"/>
            </w:pPr>
            <w:r>
              <w:rPr>
                <w:rFonts w:ascii="宋体" w:hAnsi="宋体" w:eastAsia="宋体"/>
                <w:sz w:val="16"/>
              </w:rPr>
              <w:t>=2套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00F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A3C8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8079E">
            <w:pPr>
              <w:jc w:val="center"/>
            </w:pPr>
          </w:p>
        </w:tc>
      </w:tr>
      <w:tr w14:paraId="3A1615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4DCE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60A6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7D3A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D6DF5">
            <w:pPr>
              <w:jc w:val="center"/>
            </w:pPr>
            <w:r>
              <w:rPr>
                <w:rFonts w:ascii="宋体" w:hAnsi="宋体" w:eastAsia="宋体"/>
                <w:sz w:val="16"/>
              </w:rPr>
              <w:t>用地批复通过率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F28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0CD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DD2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6165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9EE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F43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18B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75F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E53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D53E7">
            <w:pPr>
              <w:jc w:val="center"/>
            </w:pPr>
          </w:p>
        </w:tc>
      </w:tr>
      <w:tr w14:paraId="621734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2BE9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D1CE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A994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B64D1">
            <w:pPr>
              <w:jc w:val="center"/>
            </w:pPr>
            <w:r>
              <w:rPr>
                <w:rFonts w:ascii="宋体" w:hAnsi="宋体" w:eastAsia="宋体"/>
                <w:sz w:val="16"/>
              </w:rPr>
              <w:t>用地组件批复完成时间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12C28">
            <w:pPr>
              <w:jc w:val="center"/>
            </w:pPr>
            <w:r>
              <w:rPr>
                <w:rFonts w:ascii="宋体" w:hAnsi="宋体" w:eastAsia="宋体"/>
                <w:sz w:val="16"/>
              </w:rPr>
              <w:t>2024年8月30日前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C20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1BE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4FC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4C56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43C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56FD4">
            <w:pPr>
              <w:jc w:val="center"/>
            </w:pPr>
            <w:r>
              <w:rPr>
                <w:rFonts w:ascii="宋体" w:hAnsi="宋体" w:eastAsia="宋体"/>
                <w:sz w:val="16"/>
              </w:rPr>
              <w:t>2024年1月12日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467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CFF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86FB5">
            <w:pPr>
              <w:jc w:val="center"/>
            </w:pPr>
          </w:p>
        </w:tc>
      </w:tr>
      <w:tr w14:paraId="4FDE53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55D45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EB46A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15982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483F9">
            <w:pPr>
              <w:jc w:val="center"/>
            </w:pPr>
            <w:r>
              <w:rPr>
                <w:rFonts w:ascii="宋体" w:hAnsi="宋体" w:eastAsia="宋体"/>
                <w:sz w:val="16"/>
              </w:rPr>
              <w:t>建设用地组件服务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89B9A">
            <w:pPr>
              <w:jc w:val="center"/>
            </w:pPr>
            <w:r>
              <w:rPr>
                <w:rFonts w:ascii="宋体" w:hAnsi="宋体" w:eastAsia="宋体"/>
                <w:sz w:val="16"/>
              </w:rPr>
              <w:t>&lt;=25万元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AF7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256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759A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122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58AF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E4F3C">
            <w:pPr>
              <w:jc w:val="center"/>
            </w:pPr>
            <w:r>
              <w:rPr>
                <w:rFonts w:ascii="宋体" w:hAnsi="宋体" w:eastAsia="宋体"/>
                <w:sz w:val="16"/>
              </w:rPr>
              <w: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CFF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3FFB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56988">
            <w:pPr>
              <w:jc w:val="center"/>
            </w:pPr>
          </w:p>
        </w:tc>
      </w:tr>
      <w:tr w14:paraId="376645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D4CB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7163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D713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99C9A">
            <w:pPr>
              <w:jc w:val="center"/>
            </w:pPr>
            <w:r>
              <w:rPr>
                <w:rFonts w:ascii="宋体" w:hAnsi="宋体" w:eastAsia="宋体"/>
                <w:sz w:val="16"/>
              </w:rPr>
              <w:t>编制专项报告费用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87EE8">
            <w:pPr>
              <w:jc w:val="center"/>
            </w:pPr>
            <w:r>
              <w:rPr>
                <w:rFonts w:ascii="宋体" w:hAnsi="宋体" w:eastAsia="宋体"/>
                <w:sz w:val="16"/>
              </w:rPr>
              <w:t>&lt;=306万元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8D1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D70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E73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E2B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9D7E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71C36">
            <w:pPr>
              <w:jc w:val="center"/>
            </w:pPr>
            <w:r>
              <w:rPr>
                <w:rFonts w:ascii="宋体" w:hAnsi="宋体" w:eastAsia="宋体"/>
                <w:sz w:val="16"/>
              </w:rPr>
              <w:t>=304万元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0D505">
            <w:pPr>
              <w:jc w:val="center"/>
            </w:pPr>
            <w:r>
              <w:rPr>
                <w:rFonts w:ascii="宋体" w:hAnsi="宋体" w:eastAsia="宋体"/>
                <w:sz w:val="16"/>
              </w:rPr>
              <w:t>99.35%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B0175">
            <w:pPr>
              <w:jc w:val="center"/>
            </w:pPr>
            <w:r>
              <w:rPr>
                <w:rFonts w:ascii="宋体" w:hAnsi="宋体" w:eastAsia="宋体"/>
                <w:sz w:val="16"/>
              </w:rPr>
              <w:t>9.94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95407">
            <w:pPr>
              <w:jc w:val="center"/>
            </w:pPr>
            <w:r>
              <w:rPr>
                <w:rFonts w:ascii="宋体" w:hAnsi="宋体" w:eastAsia="宋体"/>
                <w:sz w:val="16"/>
              </w:rPr>
              <w:t>偏差原因：根据政府采购招投标程序签订合同，实际付款304万元；改进措施：从严从高设置绩效指标。</w:t>
            </w:r>
          </w:p>
        </w:tc>
      </w:tr>
      <w:tr w14:paraId="6F74C0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CDE6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B83C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B659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206B6">
            <w:pPr>
              <w:jc w:val="center"/>
            </w:pPr>
            <w:r>
              <w:rPr>
                <w:rFonts w:ascii="宋体" w:hAnsi="宋体" w:eastAsia="宋体"/>
                <w:sz w:val="16"/>
              </w:rPr>
              <w:t>专项测算评估表费用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200B3">
            <w:pPr>
              <w:jc w:val="center"/>
            </w:pPr>
            <w:r>
              <w:rPr>
                <w:rFonts w:ascii="宋体" w:hAnsi="宋体" w:eastAsia="宋体"/>
                <w:sz w:val="16"/>
              </w:rPr>
              <w:t>&lt;=35.50万元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816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770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FF73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CCB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B0DD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704D7">
            <w:pPr>
              <w:jc w:val="center"/>
            </w:pPr>
            <w:r>
              <w:rPr>
                <w:rFonts w:ascii="宋体" w:hAnsi="宋体" w:eastAsia="宋体"/>
                <w:sz w:val="16"/>
              </w:rPr>
              <w:t>=35.5万元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7BF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350F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57505">
            <w:pPr>
              <w:jc w:val="center"/>
            </w:pPr>
          </w:p>
        </w:tc>
      </w:tr>
      <w:tr w14:paraId="6C6A3B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A42E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58E9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3C9D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EC811">
            <w:pPr>
              <w:jc w:val="center"/>
            </w:pPr>
            <w:r>
              <w:rPr>
                <w:rFonts w:ascii="宋体" w:hAnsi="宋体" w:eastAsia="宋体"/>
                <w:sz w:val="16"/>
              </w:rPr>
              <w:t>保障项目建设用地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E330C">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BEF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414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AB984">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5200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06C8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2F579">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0F5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6457C">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9F994">
            <w:pPr>
              <w:jc w:val="center"/>
            </w:pPr>
          </w:p>
        </w:tc>
      </w:tr>
      <w:tr w14:paraId="206760F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6EE6D9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A2D60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C202A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5289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BAF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4CCD9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D0FDF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542F4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1917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112F3">
            <w:pPr>
              <w:jc w:val="center"/>
            </w:pPr>
            <w:r>
              <w:rPr>
                <w:rFonts w:ascii="宋体" w:hAnsi="宋体" w:eastAsia="宋体"/>
                <w:sz w:val="16"/>
              </w:rPr>
              <w:t>99.80分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B213C1"/>
        </w:tc>
      </w:tr>
    </w:tbl>
    <w:p w14:paraId="57B1F91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278421F2">
        <w:tblPrEx>
          <w:tblCellMar>
            <w:top w:w="0" w:type="dxa"/>
            <w:left w:w="108" w:type="dxa"/>
            <w:bottom w:w="0" w:type="dxa"/>
            <w:right w:w="108" w:type="dxa"/>
          </w:tblCellMar>
        </w:tblPrEx>
        <w:tc>
          <w:tcPr>
            <w:tcW w:w="8848" w:type="dxa"/>
            <w:gridSpan w:val="14"/>
            <w:vAlign w:val="center"/>
          </w:tcPr>
          <w:p w14:paraId="1E99A04D">
            <w:pPr>
              <w:jc w:val="center"/>
            </w:pPr>
            <w:r>
              <w:rPr>
                <w:rFonts w:ascii="宋体" w:hAnsi="宋体" w:eastAsia="宋体"/>
                <w:sz w:val="24"/>
              </w:rPr>
              <w:t>项目支出绩效自评表</w:t>
            </w:r>
          </w:p>
        </w:tc>
      </w:tr>
      <w:tr w14:paraId="303FB57D">
        <w:tblPrEx>
          <w:tblCellMar>
            <w:top w:w="0" w:type="dxa"/>
            <w:left w:w="108" w:type="dxa"/>
            <w:bottom w:w="0" w:type="dxa"/>
            <w:right w:w="108" w:type="dxa"/>
          </w:tblCellMar>
        </w:tblPrEx>
        <w:tc>
          <w:tcPr>
            <w:tcW w:w="8848" w:type="dxa"/>
            <w:gridSpan w:val="14"/>
            <w:vAlign w:val="center"/>
          </w:tcPr>
          <w:p w14:paraId="4DFD423B">
            <w:pPr>
              <w:jc w:val="center"/>
            </w:pPr>
            <w:r>
              <w:rPr>
                <w:rFonts w:ascii="宋体" w:hAnsi="宋体" w:eastAsia="宋体"/>
                <w:sz w:val="24"/>
              </w:rPr>
              <w:t>(2024年度)</w:t>
            </w:r>
          </w:p>
        </w:tc>
      </w:tr>
      <w:tr w14:paraId="0B90F1E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FDAE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9E70AEA">
            <w:pPr>
              <w:jc w:val="center"/>
            </w:pPr>
            <w:r>
              <w:rPr>
                <w:rFonts w:ascii="宋体" w:hAnsi="宋体" w:eastAsia="宋体"/>
                <w:sz w:val="16"/>
              </w:rPr>
              <w:t>自治州“十五五”加快矿业绿色转型高质量发展问题研究</w:t>
            </w:r>
          </w:p>
        </w:tc>
      </w:tr>
      <w:tr w14:paraId="31D82DB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37B7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2F1A8A">
            <w:pPr>
              <w:jc w:val="center"/>
            </w:pPr>
            <w:r>
              <w:rPr>
                <w:rFonts w:ascii="宋体" w:hAnsi="宋体" w:eastAsia="宋体"/>
                <w:sz w:val="16"/>
              </w:rPr>
              <w:t>巴音郭楞蒙古自治州自然资源局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2DF2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335ABD9">
            <w:pPr>
              <w:jc w:val="center"/>
            </w:pPr>
            <w:r>
              <w:rPr>
                <w:rFonts w:ascii="宋体" w:hAnsi="宋体" w:eastAsia="宋体"/>
                <w:sz w:val="16"/>
              </w:rPr>
              <w:t>巴音郭楞蒙古自治州自然资源局</w:t>
            </w:r>
          </w:p>
        </w:tc>
      </w:tr>
      <w:tr w14:paraId="4C0A4D3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A3AB0B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36CE1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7116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24A4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1F71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71C0F4">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21B3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9CE51">
            <w:pPr>
              <w:jc w:val="center"/>
            </w:pPr>
            <w:r>
              <w:rPr>
                <w:rFonts w:ascii="宋体" w:hAnsi="宋体" w:eastAsia="宋体"/>
                <w:sz w:val="16"/>
              </w:rPr>
              <w:t>得分</w:t>
            </w:r>
          </w:p>
        </w:tc>
      </w:tr>
      <w:tr w14:paraId="6D8D77F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49AF4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95D5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03EEB6">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29812">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6DD3A">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02F75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A68A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80DDB">
            <w:pPr>
              <w:jc w:val="center"/>
            </w:pPr>
            <w:r>
              <w:rPr>
                <w:rFonts w:ascii="宋体" w:hAnsi="宋体" w:eastAsia="宋体"/>
                <w:sz w:val="16"/>
              </w:rPr>
              <w:t>10.00</w:t>
            </w:r>
          </w:p>
        </w:tc>
      </w:tr>
      <w:tr w14:paraId="3EEA64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2BB69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0D5D0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6A786">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F9026">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162C57">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E3F92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08B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AD444">
            <w:pPr>
              <w:jc w:val="center"/>
            </w:pPr>
            <w:r>
              <w:rPr>
                <w:rFonts w:ascii="宋体" w:hAnsi="宋体" w:eastAsia="宋体"/>
                <w:sz w:val="16"/>
              </w:rPr>
              <w:t>-</w:t>
            </w:r>
          </w:p>
        </w:tc>
      </w:tr>
      <w:tr w14:paraId="36C591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378EE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95A464">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9B70E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15B4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E3E2A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7459E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FF42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400AD">
            <w:pPr>
              <w:jc w:val="center"/>
            </w:pPr>
            <w:r>
              <w:rPr>
                <w:rFonts w:ascii="宋体" w:hAnsi="宋体" w:eastAsia="宋体"/>
                <w:sz w:val="16"/>
              </w:rPr>
              <w:t>-</w:t>
            </w:r>
          </w:p>
        </w:tc>
      </w:tr>
      <w:tr w14:paraId="2F95F5D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86350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A54703">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B533B1C">
            <w:pPr>
              <w:jc w:val="center"/>
            </w:pPr>
            <w:r>
              <w:rPr>
                <w:rFonts w:ascii="宋体" w:hAnsi="宋体" w:eastAsia="宋体"/>
                <w:sz w:val="16"/>
              </w:rPr>
              <w:t>总体目标完成情况</w:t>
            </w:r>
          </w:p>
        </w:tc>
      </w:tr>
      <w:tr w14:paraId="759C93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CF257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C46400">
            <w:pPr>
              <w:jc w:val="both"/>
            </w:pPr>
            <w:r>
              <w:rPr>
                <w:rFonts w:ascii="宋体" w:hAnsi="宋体" w:eastAsia="宋体"/>
                <w:sz w:val="16"/>
              </w:rPr>
              <w:t>通过收集、整理、分析数据资料，实地调研，研究重大问题，形成自治州“十五五”加快矿业绿色转型高质量发展问题研究成果，为提高全要素生产率，更好打造能源资源战略保障基地。</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ADE23E">
            <w:pPr>
              <w:jc w:val="both"/>
            </w:pPr>
            <w:r>
              <w:rPr>
                <w:rFonts w:ascii="宋体" w:hAnsi="宋体" w:eastAsia="宋体"/>
                <w:sz w:val="16"/>
              </w:rPr>
              <w:t>通过收集、整理、分析数据资料，实地调研矿山3个，完成自治州“十五五”加快矿业绿色转型高质量发展问题研究成果1份，研究成果通过率达到100%，为提高全要素生产率，</w:t>
            </w:r>
            <w:r>
              <w:rPr>
                <w:rFonts w:hint="eastAsia" w:ascii="宋体" w:hAnsi="宋体"/>
                <w:sz w:val="16"/>
                <w:lang w:eastAsia="zh-CN"/>
              </w:rPr>
              <w:t>更好地</w:t>
            </w:r>
            <w:r>
              <w:rPr>
                <w:rFonts w:ascii="宋体" w:hAnsi="宋体" w:eastAsia="宋体"/>
                <w:sz w:val="16"/>
              </w:rPr>
              <w:t>打造能源资源战略保障基地。</w:t>
            </w:r>
          </w:p>
        </w:tc>
      </w:tr>
      <w:tr w14:paraId="11E6AC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84963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5A3F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6F1F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A075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A8FC4">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DD24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41047">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8C583">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4D9E2">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EF6E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DE14A">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BE7B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F868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07499">
            <w:pPr>
              <w:jc w:val="center"/>
            </w:pPr>
            <w:r>
              <w:rPr>
                <w:rFonts w:ascii="宋体" w:hAnsi="宋体" w:eastAsia="宋体"/>
                <w:sz w:val="16"/>
              </w:rPr>
              <w:t>偏差原因分析及改进措施</w:t>
            </w:r>
          </w:p>
        </w:tc>
      </w:tr>
      <w:tr w14:paraId="5B8E0A3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C864E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3311E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97FAE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B348F">
            <w:pPr>
              <w:jc w:val="center"/>
            </w:pPr>
            <w:r>
              <w:rPr>
                <w:rFonts w:ascii="宋体" w:hAnsi="宋体" w:eastAsia="宋体"/>
                <w:sz w:val="16"/>
              </w:rPr>
              <w:t>实地调研矿山数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8A4C8">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3BB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290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C096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930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522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EB52E">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3C6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D019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197B5">
            <w:pPr>
              <w:jc w:val="center"/>
            </w:pPr>
          </w:p>
        </w:tc>
      </w:tr>
      <w:tr w14:paraId="6DA613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697D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60C7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B525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00ED0">
            <w:pPr>
              <w:jc w:val="center"/>
            </w:pPr>
            <w:r>
              <w:rPr>
                <w:rFonts w:ascii="宋体" w:hAnsi="宋体" w:eastAsia="宋体"/>
                <w:sz w:val="16"/>
              </w:rPr>
              <w:t>研究成果份数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8F301">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7F0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D68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4639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9CE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2BC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4D073">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DC3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CDBC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BDA87">
            <w:pPr>
              <w:jc w:val="center"/>
            </w:pPr>
          </w:p>
        </w:tc>
      </w:tr>
      <w:tr w14:paraId="76D9B6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C9B8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5FE7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C0A5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1B41A">
            <w:pPr>
              <w:jc w:val="center"/>
            </w:pPr>
            <w:r>
              <w:rPr>
                <w:rFonts w:ascii="宋体" w:hAnsi="宋体" w:eastAsia="宋体"/>
                <w:sz w:val="16"/>
              </w:rPr>
              <w:t>研究成果通过率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F88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1EE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89B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83B3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364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7A0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0AE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8E1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5F43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02B6A">
            <w:pPr>
              <w:jc w:val="center"/>
            </w:pPr>
          </w:p>
        </w:tc>
      </w:tr>
      <w:tr w14:paraId="519B43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6109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FEA1D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3EE07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CD659">
            <w:pPr>
              <w:jc w:val="center"/>
            </w:pPr>
            <w:r>
              <w:rPr>
                <w:rFonts w:ascii="宋体" w:hAnsi="宋体" w:eastAsia="宋体"/>
                <w:sz w:val="16"/>
              </w:rPr>
              <w:t>实地调研矿山完成时间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302A1">
            <w:pPr>
              <w:jc w:val="center"/>
            </w:pPr>
            <w:r>
              <w:rPr>
                <w:rFonts w:ascii="宋体" w:hAnsi="宋体" w:eastAsia="宋体"/>
                <w:sz w:val="16"/>
              </w:rPr>
              <w:t>2024年10月1日前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3D3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803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D621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C162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236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B16BC">
            <w:pPr>
              <w:jc w:val="center"/>
            </w:pPr>
            <w:r>
              <w:rPr>
                <w:rFonts w:ascii="宋体" w:hAnsi="宋体" w:eastAsia="宋体"/>
                <w:sz w:val="16"/>
              </w:rPr>
              <w:t>2024年9月19日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9C9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7B51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60C7F">
            <w:pPr>
              <w:jc w:val="center"/>
            </w:pPr>
          </w:p>
        </w:tc>
      </w:tr>
      <w:tr w14:paraId="491157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CF7F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D7B6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8C0F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761C1">
            <w:pPr>
              <w:jc w:val="center"/>
            </w:pPr>
            <w:r>
              <w:rPr>
                <w:rFonts w:ascii="宋体" w:hAnsi="宋体" w:eastAsia="宋体"/>
                <w:sz w:val="16"/>
              </w:rPr>
              <w:t>研究成果完成时间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CA471">
            <w:pPr>
              <w:jc w:val="center"/>
            </w:pPr>
            <w:r>
              <w:rPr>
                <w:rFonts w:ascii="宋体" w:hAnsi="宋体" w:eastAsia="宋体"/>
                <w:sz w:val="16"/>
              </w:rPr>
              <w:t>2024年10月20日前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393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707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E2F9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2A52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6A3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06D7A">
            <w:pPr>
              <w:jc w:val="center"/>
            </w:pPr>
            <w:r>
              <w:rPr>
                <w:rFonts w:ascii="宋体" w:hAnsi="宋体" w:eastAsia="宋体"/>
                <w:sz w:val="16"/>
              </w:rPr>
              <w:t>2024年10月9日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928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9FC3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B58A0">
            <w:pPr>
              <w:jc w:val="center"/>
            </w:pPr>
          </w:p>
        </w:tc>
      </w:tr>
      <w:tr w14:paraId="015069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53C9A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13174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95E5D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F4F95">
            <w:pPr>
              <w:jc w:val="center"/>
            </w:pPr>
            <w:r>
              <w:rPr>
                <w:rFonts w:ascii="宋体" w:hAnsi="宋体" w:eastAsia="宋体"/>
                <w:sz w:val="16"/>
              </w:rPr>
              <w:t>实地调研成本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8B9CE">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8A9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77D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24A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70A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7CB7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082A9">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ECD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39E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36F71">
            <w:pPr>
              <w:jc w:val="center"/>
            </w:pPr>
          </w:p>
        </w:tc>
      </w:tr>
      <w:tr w14:paraId="6FBA06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1C16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24D2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003F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0C804">
            <w:pPr>
              <w:jc w:val="center"/>
            </w:pPr>
            <w:r>
              <w:rPr>
                <w:rFonts w:ascii="宋体" w:hAnsi="宋体" w:eastAsia="宋体"/>
                <w:sz w:val="16"/>
              </w:rPr>
              <w:t>研究成果编制成本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D7CE5">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115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FC6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480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421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8E5F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67CC7">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56B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4EC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734AC">
            <w:pPr>
              <w:jc w:val="center"/>
            </w:pPr>
          </w:p>
        </w:tc>
      </w:tr>
      <w:tr w14:paraId="75F6B5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CD5A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D500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8F1E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CDF08">
            <w:pPr>
              <w:jc w:val="center"/>
            </w:pPr>
            <w:r>
              <w:rPr>
                <w:rFonts w:ascii="宋体" w:hAnsi="宋体" w:eastAsia="宋体"/>
                <w:sz w:val="16"/>
              </w:rPr>
              <w:t>研究成果采纳率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8B03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9B7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A8A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C78B8">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C8F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CD0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8A0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51E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83B90">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AE79B">
            <w:pPr>
              <w:jc w:val="center"/>
            </w:pPr>
          </w:p>
        </w:tc>
      </w:tr>
      <w:tr w14:paraId="2AF9C3E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354756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627A4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36E7F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D409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A5A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30605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C713A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5B2CE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ABF0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5A518">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71A4DB"/>
        </w:tc>
      </w:tr>
    </w:tbl>
    <w:p w14:paraId="6C84E3DF">
      <w:r>
        <w:br w:type="page"/>
      </w:r>
    </w:p>
    <w:tbl>
      <w:tblPr>
        <w:tblStyle w:val="9"/>
        <w:tblW w:w="0" w:type="auto"/>
        <w:tblInd w:w="0" w:type="dxa"/>
        <w:tblLayout w:type="autofit"/>
        <w:tblCellMar>
          <w:top w:w="0" w:type="dxa"/>
          <w:left w:w="108" w:type="dxa"/>
          <w:bottom w:w="0" w:type="dxa"/>
          <w:right w:w="108" w:type="dxa"/>
        </w:tblCellMar>
      </w:tblPr>
      <w:tblGrid>
        <w:gridCol w:w="622"/>
        <w:gridCol w:w="607"/>
        <w:gridCol w:w="607"/>
        <w:gridCol w:w="607"/>
        <w:gridCol w:w="776"/>
        <w:gridCol w:w="607"/>
        <w:gridCol w:w="607"/>
        <w:gridCol w:w="615"/>
        <w:gridCol w:w="607"/>
        <w:gridCol w:w="607"/>
        <w:gridCol w:w="696"/>
        <w:gridCol w:w="776"/>
        <w:gridCol w:w="630"/>
        <w:gridCol w:w="696"/>
      </w:tblGrid>
      <w:tr w14:paraId="501FD898">
        <w:tblPrEx>
          <w:tblCellMar>
            <w:top w:w="0" w:type="dxa"/>
            <w:left w:w="108" w:type="dxa"/>
            <w:bottom w:w="0" w:type="dxa"/>
            <w:right w:w="108" w:type="dxa"/>
          </w:tblCellMar>
        </w:tblPrEx>
        <w:tc>
          <w:tcPr>
            <w:tcW w:w="8848" w:type="dxa"/>
            <w:gridSpan w:val="14"/>
            <w:vAlign w:val="center"/>
          </w:tcPr>
          <w:p w14:paraId="7AD2D0E6">
            <w:pPr>
              <w:jc w:val="center"/>
            </w:pPr>
            <w:r>
              <w:rPr>
                <w:rFonts w:ascii="宋体" w:hAnsi="宋体" w:eastAsia="宋体"/>
                <w:sz w:val="24"/>
              </w:rPr>
              <w:t>项目支出绩效自评表</w:t>
            </w:r>
          </w:p>
        </w:tc>
      </w:tr>
      <w:tr w14:paraId="4A85084D">
        <w:tblPrEx>
          <w:tblCellMar>
            <w:top w:w="0" w:type="dxa"/>
            <w:left w:w="108" w:type="dxa"/>
            <w:bottom w:w="0" w:type="dxa"/>
            <w:right w:w="108" w:type="dxa"/>
          </w:tblCellMar>
        </w:tblPrEx>
        <w:tc>
          <w:tcPr>
            <w:tcW w:w="8848" w:type="dxa"/>
            <w:gridSpan w:val="14"/>
            <w:vAlign w:val="center"/>
          </w:tcPr>
          <w:p w14:paraId="13A3B7B1">
            <w:pPr>
              <w:jc w:val="center"/>
            </w:pPr>
            <w:r>
              <w:rPr>
                <w:rFonts w:ascii="宋体" w:hAnsi="宋体" w:eastAsia="宋体"/>
                <w:sz w:val="24"/>
              </w:rPr>
              <w:t>(2024年度)</w:t>
            </w:r>
          </w:p>
        </w:tc>
      </w:tr>
      <w:tr w14:paraId="616156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4459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141B7DD">
            <w:pPr>
              <w:jc w:val="center"/>
            </w:pPr>
            <w:r>
              <w:rPr>
                <w:rFonts w:ascii="宋体" w:hAnsi="宋体" w:eastAsia="宋体"/>
                <w:sz w:val="16"/>
              </w:rPr>
              <w:t>自然资源综合事务管理</w:t>
            </w:r>
          </w:p>
        </w:tc>
      </w:tr>
      <w:tr w14:paraId="482E2BD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E711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A3B7E7">
            <w:pPr>
              <w:jc w:val="center"/>
            </w:pPr>
            <w:r>
              <w:rPr>
                <w:rFonts w:ascii="宋体" w:hAnsi="宋体" w:eastAsia="宋体"/>
                <w:sz w:val="16"/>
              </w:rPr>
              <w:t>巴音郭楞蒙古自治州自然资源局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0D6E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276DF1">
            <w:pPr>
              <w:jc w:val="center"/>
            </w:pPr>
            <w:r>
              <w:rPr>
                <w:rFonts w:ascii="宋体" w:hAnsi="宋体" w:eastAsia="宋体"/>
                <w:sz w:val="16"/>
              </w:rPr>
              <w:t>巴音郭楞蒙古自治州自然资源局</w:t>
            </w:r>
          </w:p>
        </w:tc>
      </w:tr>
      <w:tr w14:paraId="4669CFB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8A2C78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A976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1D772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6A67B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E90E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CAE2B8">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6372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FE693">
            <w:pPr>
              <w:jc w:val="center"/>
            </w:pPr>
            <w:r>
              <w:rPr>
                <w:rFonts w:ascii="宋体" w:hAnsi="宋体" w:eastAsia="宋体"/>
                <w:sz w:val="16"/>
              </w:rPr>
              <w:t>得分</w:t>
            </w:r>
          </w:p>
        </w:tc>
      </w:tr>
      <w:tr w14:paraId="3C72A0B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1E126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BBB4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93A756">
            <w:pPr>
              <w:jc w:val="center"/>
            </w:pPr>
            <w:r>
              <w:rPr>
                <w:rFonts w:ascii="宋体" w:hAnsi="宋体" w:eastAsia="宋体"/>
                <w:sz w:val="16"/>
              </w:rPr>
              <w:t>107.00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8EBDA">
            <w:pPr>
              <w:jc w:val="center"/>
            </w:pPr>
            <w:r>
              <w:rPr>
                <w:rFonts w:ascii="宋体" w:hAnsi="宋体" w:eastAsia="宋体"/>
                <w:sz w:val="16"/>
              </w:rPr>
              <w:t>107.00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4AED28">
            <w:pPr>
              <w:jc w:val="center"/>
            </w:pPr>
            <w:r>
              <w:rPr>
                <w:rFonts w:ascii="宋体" w:hAnsi="宋体" w:eastAsia="宋体"/>
                <w:sz w:val="16"/>
              </w:rPr>
              <w:t>107.00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0079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C27B5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EA57C">
            <w:pPr>
              <w:jc w:val="center"/>
            </w:pPr>
            <w:r>
              <w:rPr>
                <w:rFonts w:ascii="宋体" w:hAnsi="宋体" w:eastAsia="宋体"/>
                <w:sz w:val="16"/>
              </w:rPr>
              <w:t>10.00</w:t>
            </w:r>
          </w:p>
        </w:tc>
      </w:tr>
      <w:tr w14:paraId="10D4CC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5B996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111D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21B38">
            <w:pPr>
              <w:jc w:val="center"/>
            </w:pPr>
            <w:r>
              <w:rPr>
                <w:rFonts w:ascii="宋体" w:hAnsi="宋体" w:eastAsia="宋体"/>
                <w:sz w:val="16"/>
              </w:rPr>
              <w:t>107.00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EE445">
            <w:pPr>
              <w:jc w:val="center"/>
            </w:pPr>
            <w:r>
              <w:rPr>
                <w:rFonts w:ascii="宋体" w:hAnsi="宋体" w:eastAsia="宋体"/>
                <w:sz w:val="16"/>
              </w:rPr>
              <w:t>107.00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359AF">
            <w:pPr>
              <w:jc w:val="center"/>
            </w:pPr>
            <w:r>
              <w:rPr>
                <w:rFonts w:ascii="宋体" w:hAnsi="宋体" w:eastAsia="宋体"/>
                <w:sz w:val="16"/>
              </w:rPr>
              <w:t>107.00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258F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655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15F27">
            <w:pPr>
              <w:jc w:val="center"/>
            </w:pPr>
            <w:r>
              <w:rPr>
                <w:rFonts w:ascii="宋体" w:hAnsi="宋体" w:eastAsia="宋体"/>
                <w:sz w:val="16"/>
              </w:rPr>
              <w:t>-</w:t>
            </w:r>
          </w:p>
        </w:tc>
      </w:tr>
      <w:tr w14:paraId="20F944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B204B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D60BA">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CBD1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6639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1FF2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4E1E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4FF8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3EABA">
            <w:pPr>
              <w:jc w:val="center"/>
            </w:pPr>
            <w:r>
              <w:rPr>
                <w:rFonts w:ascii="宋体" w:hAnsi="宋体" w:eastAsia="宋体"/>
                <w:sz w:val="16"/>
              </w:rPr>
              <w:t>-</w:t>
            </w:r>
          </w:p>
        </w:tc>
      </w:tr>
      <w:tr w14:paraId="257F171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9E531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81C234">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E533763">
            <w:pPr>
              <w:jc w:val="center"/>
            </w:pPr>
            <w:r>
              <w:rPr>
                <w:rFonts w:ascii="宋体" w:hAnsi="宋体" w:eastAsia="宋体"/>
                <w:sz w:val="16"/>
              </w:rPr>
              <w:t>总体目标完成情况</w:t>
            </w:r>
          </w:p>
        </w:tc>
      </w:tr>
      <w:tr w14:paraId="3107F1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8E19A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D54D1F">
            <w:pPr>
              <w:jc w:val="both"/>
            </w:pPr>
            <w:r>
              <w:rPr>
                <w:rFonts w:ascii="宋体" w:hAnsi="宋体" w:eastAsia="宋体"/>
                <w:sz w:val="16"/>
              </w:rPr>
              <w:t>在各县市开展自然资源重点工作落实情况的监督检查包括：做好耕地和永久基本农田保护，开展存量建设用地清理工作，推进节约集约用地，重点项目用地应保尽保；健全国土空间规划体系，推进生态修复治理与保护；强化地理信息技术支撑，提高自然资源调查监测成果运用水平；加强矿产资源勘查开发管理，加大矿产调查评价和勘探开发力度，推进矿产资源市场化法治化配置；完成地质灾害调查评估、防治、历史遗留废弃工矿整治以及前勘项目实施工作；优化不动产登记服务效能，提高自然资源执法水平，加大执法监察力度等重点工作。履职效能，自然资源综合事务管理工作包括：加强自然资源综合事务管理及法治建设、全面落实安全生产责任制，加大矿山安全生产隐患排查，开展自然资源保护宣传等工作。保障自治区自然资源系统视频会议、报件审批系统和自治州综治视联网等专线、办公设备、专用设备等正常运行。加强干部异地交流；为信访案件和卫片执法以及合同审验法律提供咨询服务,保障地下水资源合理开发利用。开展全州国土变更调查与卫片执法“两项工作”的外业调查成果和内业填报成果的审核工作，实时摸清和掌握全州土地利用现状和变化情况。</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ABBF739">
            <w:pPr>
              <w:jc w:val="both"/>
            </w:pPr>
            <w:r>
              <w:rPr>
                <w:rFonts w:ascii="宋体" w:hAnsi="宋体" w:eastAsia="宋体"/>
                <w:sz w:val="16"/>
              </w:rPr>
              <w:t>完成8县1市自然资源重点工作落实监督检查情况，加强自然资源综合事务管理及法治建设、全面落实安全生产责任制，保障综合办公人数31人，保障办公设备、专用设备等正常运行。开展全州国土变更调查与卫片执法“两项工作”的外业调查成果和内业填报成果的审核工作，形成国土变更调查</w:t>
            </w:r>
            <w:r>
              <w:rPr>
                <w:rFonts w:hint="eastAsia" w:ascii="宋体" w:hAnsi="宋体"/>
                <w:sz w:val="16"/>
                <w:lang w:eastAsia="zh-CN"/>
              </w:rPr>
              <w:t>地质数据库</w:t>
            </w:r>
            <w:r>
              <w:rPr>
                <w:rFonts w:ascii="宋体" w:hAnsi="宋体" w:eastAsia="宋体"/>
                <w:sz w:val="16"/>
              </w:rPr>
              <w:t>成果1套，数据库成果正确率达到90%，两项工作图斑地州审核县市9个，实时摸清和掌握全州土地利用现状和变化情况，为自然资源管理相关工作提供了有力支撑。</w:t>
            </w:r>
          </w:p>
        </w:tc>
      </w:tr>
      <w:tr w14:paraId="4EA6ECF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9C612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92F8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B16E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0521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C3533">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E245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CB114">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7B8DA">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37D95">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3E71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46FD0">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AE65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A5AD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1ECEA">
            <w:pPr>
              <w:jc w:val="center"/>
            </w:pPr>
            <w:r>
              <w:rPr>
                <w:rFonts w:ascii="宋体" w:hAnsi="宋体" w:eastAsia="宋体"/>
                <w:sz w:val="16"/>
              </w:rPr>
              <w:t>偏差原因分析及改进措施</w:t>
            </w:r>
          </w:p>
        </w:tc>
      </w:tr>
      <w:tr w14:paraId="7E8D2F8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6358A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092BC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C24AC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51A51">
            <w:pPr>
              <w:jc w:val="center"/>
            </w:pPr>
            <w:r>
              <w:rPr>
                <w:rFonts w:ascii="宋体" w:hAnsi="宋体" w:eastAsia="宋体"/>
                <w:sz w:val="16"/>
              </w:rPr>
              <w:t>自然资源重点工作督导县市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EDEE6">
            <w:pPr>
              <w:jc w:val="center"/>
            </w:pPr>
            <w:r>
              <w:rPr>
                <w:rFonts w:ascii="宋体" w:hAnsi="宋体" w:eastAsia="宋体"/>
                <w:sz w:val="16"/>
              </w:rPr>
              <w: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F0A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A30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CF1E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6D4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736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E5F6D">
            <w:pPr>
              <w:jc w:val="center"/>
            </w:pPr>
            <w:r>
              <w:rPr>
                <w:rFonts w:ascii="宋体" w:hAnsi="宋体" w:eastAsia="宋体"/>
                <w:sz w:val="16"/>
              </w:rPr>
              <w: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2C6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6F43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17DF7">
            <w:pPr>
              <w:jc w:val="center"/>
            </w:pPr>
            <w:r>
              <w:rPr>
                <w:rFonts w:ascii="宋体" w:hAnsi="宋体" w:eastAsia="宋体"/>
                <w:sz w:val="16"/>
              </w:rPr>
              <w:t>偏差原因：1、重点工作涉及领域繁多,工作人员有限，2、工作做了，但未形成工作记录或者书面报告。措施：1、仍需加强预算绩效管理目标的执行力度，提高预算资金使用效益和使用效率。2、定期对工作</w:t>
            </w:r>
            <w:r>
              <w:rPr>
                <w:rFonts w:hint="eastAsia" w:ascii="宋体" w:hAnsi="宋体"/>
                <w:sz w:val="16"/>
                <w:lang w:eastAsia="zh-CN"/>
              </w:rPr>
              <w:t>进行</w:t>
            </w:r>
            <w:r>
              <w:rPr>
                <w:rFonts w:ascii="宋体" w:hAnsi="宋体" w:eastAsia="宋体"/>
                <w:sz w:val="16"/>
              </w:rPr>
              <w:t>梳理留档，备查总结。</w:t>
            </w:r>
          </w:p>
        </w:tc>
      </w:tr>
      <w:tr w14:paraId="275B2C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6D0C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9343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14FF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6B4B7">
            <w:pPr>
              <w:jc w:val="center"/>
            </w:pPr>
            <w:r>
              <w:rPr>
                <w:rFonts w:ascii="宋体" w:hAnsi="宋体" w:eastAsia="宋体"/>
                <w:sz w:val="16"/>
              </w:rPr>
              <w:t>综合事务保障办公人数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A8255">
            <w:pPr>
              <w:jc w:val="center"/>
            </w:pPr>
            <w:r>
              <w:rPr>
                <w:rFonts w:ascii="宋体" w:hAnsi="宋体" w:eastAsia="宋体"/>
                <w:sz w:val="16"/>
              </w:rPr>
              <w:t>=31人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B76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362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75D9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98D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15B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DB856">
            <w:pPr>
              <w:jc w:val="center"/>
            </w:pPr>
            <w:r>
              <w:rPr>
                <w:rFonts w:ascii="宋体" w:hAnsi="宋体" w:eastAsia="宋体"/>
                <w:sz w:val="16"/>
              </w:rPr>
              <w:t>=31人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188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3CF3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DD2A2">
            <w:pPr>
              <w:jc w:val="center"/>
            </w:pPr>
          </w:p>
        </w:tc>
      </w:tr>
      <w:tr w14:paraId="43D4BE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45E3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E35D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7C98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896C6">
            <w:pPr>
              <w:jc w:val="center"/>
            </w:pPr>
            <w:r>
              <w:rPr>
                <w:rFonts w:ascii="宋体" w:hAnsi="宋体" w:eastAsia="宋体"/>
                <w:sz w:val="16"/>
              </w:rPr>
              <w:t>国土变更调查地州数据库成果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F33A6">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C6E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358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E34A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29C4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1DCD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F23C0">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038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85F4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EF825">
            <w:pPr>
              <w:jc w:val="center"/>
            </w:pPr>
          </w:p>
        </w:tc>
      </w:tr>
      <w:tr w14:paraId="3A9AB1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0028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E444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7737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722DD">
            <w:pPr>
              <w:jc w:val="center"/>
            </w:pPr>
            <w:r>
              <w:rPr>
                <w:rFonts w:ascii="宋体" w:hAnsi="宋体" w:eastAsia="宋体"/>
                <w:sz w:val="16"/>
              </w:rPr>
              <w:t>两项工作图斑地州审核县市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2F265">
            <w:pPr>
              <w:jc w:val="center"/>
            </w:pPr>
            <w:r>
              <w:rPr>
                <w:rFonts w:ascii="宋体" w:hAnsi="宋体" w:eastAsia="宋体"/>
                <w:sz w:val="16"/>
              </w:rPr>
              <w: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EC6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1AE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7DE7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260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0ABC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15447">
            <w:pPr>
              <w:jc w:val="center"/>
            </w:pPr>
            <w:r>
              <w:rPr>
                <w:rFonts w:ascii="宋体" w:hAnsi="宋体" w:eastAsia="宋体"/>
                <w:sz w:val="16"/>
              </w:rPr>
              <w: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4E0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5CD7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1016F">
            <w:pPr>
              <w:jc w:val="center"/>
            </w:pPr>
          </w:p>
        </w:tc>
      </w:tr>
      <w:tr w14:paraId="4CF58F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C489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F3F46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714DC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1D98E">
            <w:pPr>
              <w:jc w:val="center"/>
            </w:pPr>
            <w:r>
              <w:rPr>
                <w:rFonts w:ascii="宋体" w:hAnsi="宋体" w:eastAsia="宋体"/>
                <w:sz w:val="16"/>
              </w:rPr>
              <w:t>自然资源重点工作督导覆盖率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F2AC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833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A2F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D7A9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878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4BA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14E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79A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5D6C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A8BA1">
            <w:pPr>
              <w:jc w:val="center"/>
            </w:pPr>
            <w:r>
              <w:rPr>
                <w:rFonts w:ascii="宋体" w:hAnsi="宋体" w:eastAsia="宋体"/>
                <w:sz w:val="16"/>
              </w:rPr>
              <w:t>偏差原因：1、重点工作涉及领域繁多,工作人员有限，2、工作做了，但未形成工作记录或者书面报告。措施：1、仍需加强预算绩效管理目标的执行力度，提高预算资金使用效益和使用效率。2、定期对工作</w:t>
            </w:r>
            <w:r>
              <w:rPr>
                <w:rFonts w:hint="eastAsia" w:ascii="宋体" w:hAnsi="宋体"/>
                <w:sz w:val="16"/>
                <w:lang w:eastAsia="zh-CN"/>
              </w:rPr>
              <w:t>进行</w:t>
            </w:r>
            <w:r>
              <w:rPr>
                <w:rFonts w:ascii="宋体" w:hAnsi="宋体" w:eastAsia="宋体"/>
                <w:sz w:val="16"/>
              </w:rPr>
              <w:t>梳理留档，备查总结。</w:t>
            </w:r>
          </w:p>
        </w:tc>
      </w:tr>
      <w:tr w14:paraId="589F93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FE9E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370B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B0F3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97F99">
            <w:pPr>
              <w:jc w:val="center"/>
            </w:pPr>
            <w:r>
              <w:rPr>
                <w:rFonts w:ascii="宋体" w:hAnsi="宋体" w:eastAsia="宋体"/>
                <w:sz w:val="16"/>
              </w:rPr>
              <w:t>国土变更调查</w:t>
            </w:r>
            <w:r>
              <w:rPr>
                <w:rFonts w:hint="eastAsia" w:ascii="宋体" w:hAnsi="宋体"/>
                <w:sz w:val="16"/>
                <w:lang w:eastAsia="zh-CN"/>
              </w:rPr>
              <w:t>地质数据库</w:t>
            </w:r>
            <w:r>
              <w:rPr>
                <w:rFonts w:ascii="宋体" w:hAnsi="宋体" w:eastAsia="宋体"/>
                <w:sz w:val="16"/>
              </w:rPr>
              <w:t>成果正确率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087C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83C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DC6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33F6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F9B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B318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EEB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19C2E">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C3E85">
            <w:pPr>
              <w:jc w:val="center"/>
            </w:pPr>
            <w:r>
              <w:rPr>
                <w:rFonts w:ascii="宋体" w:hAnsi="宋体" w:eastAsia="宋体"/>
                <w:sz w:val="16"/>
              </w:rPr>
              <w:t>3.56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D3CC7">
            <w:pPr>
              <w:jc w:val="center"/>
            </w:pPr>
            <w:r>
              <w:rPr>
                <w:rFonts w:ascii="宋体" w:hAnsi="宋体" w:eastAsia="宋体"/>
                <w:sz w:val="16"/>
              </w:rPr>
              <w:t>按照国家和自治区工作要求，数据成果正确率必须为100%，改进措施:进一步提升绩效指标设置的精准性</w:t>
            </w:r>
          </w:p>
        </w:tc>
      </w:tr>
      <w:tr w14:paraId="1968CD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994D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003F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E03F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2D422">
            <w:pPr>
              <w:jc w:val="center"/>
            </w:pPr>
            <w:r>
              <w:rPr>
                <w:rFonts w:ascii="宋体" w:hAnsi="宋体" w:eastAsia="宋体"/>
                <w:sz w:val="16"/>
              </w:rPr>
              <w:t>两项工作图斑审核地州覆盖率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A0F2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5B0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034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B831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0E7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870B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EB4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2B7C4">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B71F3">
            <w:pPr>
              <w:jc w:val="center"/>
            </w:pPr>
            <w:r>
              <w:rPr>
                <w:rFonts w:ascii="宋体" w:hAnsi="宋体" w:eastAsia="宋体"/>
                <w:sz w:val="16"/>
              </w:rPr>
              <w:t>3.56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AB87D">
            <w:pPr>
              <w:jc w:val="center"/>
            </w:pPr>
            <w:r>
              <w:rPr>
                <w:rFonts w:ascii="宋体" w:hAnsi="宋体" w:eastAsia="宋体"/>
                <w:sz w:val="16"/>
              </w:rPr>
              <w:t>按照国家和自治区工作要求，地州审核覆盖率必须为100%，改进措施:进一步提升绩效指标设置的精准性</w:t>
            </w:r>
          </w:p>
        </w:tc>
      </w:tr>
      <w:tr w14:paraId="3CED48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8A2B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AF663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8E233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DC76C">
            <w:pPr>
              <w:jc w:val="center"/>
            </w:pPr>
            <w:r>
              <w:rPr>
                <w:rFonts w:ascii="宋体" w:hAnsi="宋体" w:eastAsia="宋体"/>
                <w:sz w:val="16"/>
              </w:rPr>
              <w:t>年度重点工作督导按时完成率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8273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E63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50B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C6A8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0C1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97B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4C3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91A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8A9A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E0D0C">
            <w:pPr>
              <w:jc w:val="center"/>
            </w:pPr>
            <w:r>
              <w:rPr>
                <w:rFonts w:ascii="宋体" w:hAnsi="宋体" w:eastAsia="宋体"/>
                <w:sz w:val="16"/>
              </w:rPr>
              <w:t>偏差原因：1、重点工作涉及领域繁多,工作人员有限，2、工作做了，但未形成工作记录或者书面报告。措施：1、仍需加强预算绩效管理目标的执行力度，提高预算资金使用效益和使用效率。2、定期对工作</w:t>
            </w:r>
            <w:r>
              <w:rPr>
                <w:rFonts w:hint="eastAsia" w:ascii="宋体" w:hAnsi="宋体"/>
                <w:sz w:val="16"/>
                <w:lang w:eastAsia="zh-CN"/>
              </w:rPr>
              <w:t>进行</w:t>
            </w:r>
            <w:r>
              <w:rPr>
                <w:rFonts w:ascii="宋体" w:hAnsi="宋体" w:eastAsia="宋体"/>
                <w:sz w:val="16"/>
              </w:rPr>
              <w:t>梳理留档，备查总结。</w:t>
            </w:r>
          </w:p>
        </w:tc>
      </w:tr>
      <w:tr w14:paraId="225A3D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7F42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0D29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EEA7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45093">
            <w:pPr>
              <w:jc w:val="center"/>
            </w:pPr>
            <w:r>
              <w:rPr>
                <w:rFonts w:ascii="宋体" w:hAnsi="宋体" w:eastAsia="宋体"/>
                <w:sz w:val="16"/>
              </w:rPr>
              <w:t>综合保障经费支付及时率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3CFF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537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748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5FF5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093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44A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AA2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87C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5D8D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D1F66">
            <w:pPr>
              <w:jc w:val="center"/>
            </w:pPr>
          </w:p>
        </w:tc>
      </w:tr>
      <w:tr w14:paraId="76C66B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88C9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B5F1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7000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A6185">
            <w:pPr>
              <w:jc w:val="center"/>
            </w:pPr>
            <w:r>
              <w:rPr>
                <w:rFonts w:ascii="宋体" w:hAnsi="宋体" w:eastAsia="宋体"/>
                <w:sz w:val="16"/>
              </w:rPr>
              <w:t>国土变更调查</w:t>
            </w:r>
            <w:r>
              <w:rPr>
                <w:rFonts w:hint="eastAsia" w:ascii="宋体" w:hAnsi="宋体"/>
                <w:sz w:val="16"/>
                <w:lang w:eastAsia="zh-CN"/>
              </w:rPr>
              <w:t>地质数据库</w:t>
            </w:r>
            <w:r>
              <w:rPr>
                <w:rFonts w:ascii="宋体" w:hAnsi="宋体" w:eastAsia="宋体"/>
                <w:sz w:val="16"/>
              </w:rPr>
              <w:t>成果汇总时限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49426">
            <w:pPr>
              <w:jc w:val="center"/>
            </w:pPr>
            <w:r>
              <w:rPr>
                <w:rFonts w:ascii="宋体" w:hAnsi="宋体" w:eastAsia="宋体"/>
                <w:sz w:val="16"/>
              </w:rPr>
              <w:t>2024年8月31日前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73E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622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D72B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46B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96CC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8F5F2">
            <w:pPr>
              <w:jc w:val="center"/>
            </w:pPr>
            <w:r>
              <w:rPr>
                <w:rFonts w:ascii="宋体" w:hAnsi="宋体" w:eastAsia="宋体"/>
                <w:sz w:val="16"/>
              </w:rPr>
              <w:t>2024年8月31日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834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F010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5E598">
            <w:pPr>
              <w:jc w:val="center"/>
            </w:pPr>
          </w:p>
        </w:tc>
      </w:tr>
      <w:tr w14:paraId="644EC9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85ED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3F31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5B44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5042D">
            <w:pPr>
              <w:jc w:val="center"/>
            </w:pPr>
            <w:r>
              <w:rPr>
                <w:rFonts w:ascii="宋体" w:hAnsi="宋体" w:eastAsia="宋体"/>
                <w:sz w:val="16"/>
              </w:rPr>
              <w:t>两项工作图斑审核上报时限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2FF55">
            <w:pPr>
              <w:jc w:val="center"/>
            </w:pPr>
            <w:r>
              <w:rPr>
                <w:rFonts w:ascii="宋体" w:hAnsi="宋体" w:eastAsia="宋体"/>
                <w:sz w:val="16"/>
              </w:rPr>
              <w:t>2024年12月20日前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1AA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7E1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A666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D80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2DF5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F7490">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877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16B2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12B0C">
            <w:pPr>
              <w:jc w:val="center"/>
            </w:pPr>
          </w:p>
        </w:tc>
      </w:tr>
      <w:tr w14:paraId="5C8F0F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78E84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843BE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5BDB7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5D887">
            <w:pPr>
              <w:jc w:val="center"/>
            </w:pPr>
            <w:r>
              <w:rPr>
                <w:rFonts w:ascii="宋体" w:hAnsi="宋体" w:eastAsia="宋体"/>
                <w:sz w:val="16"/>
              </w:rPr>
              <w:t>自然资源重点工作督导费用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C72B4">
            <w:pPr>
              <w:jc w:val="center"/>
            </w:pPr>
            <w:r>
              <w:rPr>
                <w:rFonts w:ascii="宋体" w:hAnsi="宋体" w:eastAsia="宋体"/>
                <w:sz w:val="16"/>
              </w:rPr>
              <w:t>&lt;=36.75万元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2A9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2CA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6B86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B57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49DE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B36EA">
            <w:pPr>
              <w:jc w:val="center"/>
            </w:pPr>
            <w:r>
              <w:rPr>
                <w:rFonts w:ascii="宋体" w:hAnsi="宋体" w:eastAsia="宋体"/>
                <w:sz w:val="16"/>
              </w:rPr>
              <w:t>=36.75万元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6FE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E76A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D536A">
            <w:pPr>
              <w:jc w:val="center"/>
            </w:pPr>
          </w:p>
        </w:tc>
      </w:tr>
      <w:tr w14:paraId="01D245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8A5E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3003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7BC2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2144E">
            <w:pPr>
              <w:jc w:val="center"/>
            </w:pPr>
            <w:r>
              <w:rPr>
                <w:rFonts w:ascii="宋体" w:hAnsi="宋体" w:eastAsia="宋体"/>
                <w:sz w:val="16"/>
              </w:rPr>
              <w:t>自然资源综合运转经费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1C2EB">
            <w:pPr>
              <w:jc w:val="center"/>
            </w:pPr>
            <w:r>
              <w:rPr>
                <w:rFonts w:ascii="宋体" w:hAnsi="宋体" w:eastAsia="宋体"/>
                <w:sz w:val="16"/>
              </w:rPr>
              <w:t>&lt;=52.25万元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EA4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4EE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5E5B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24D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8E75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A2719">
            <w:pPr>
              <w:jc w:val="center"/>
            </w:pPr>
            <w:r>
              <w:rPr>
                <w:rFonts w:ascii="宋体" w:hAnsi="宋体" w:eastAsia="宋体"/>
                <w:sz w:val="16"/>
              </w:rPr>
              <w:t>=52.25万元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6BF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5AAE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74F11">
            <w:pPr>
              <w:jc w:val="center"/>
            </w:pPr>
          </w:p>
        </w:tc>
      </w:tr>
      <w:tr w14:paraId="2DF756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A8D3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AC15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67D9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F28AE">
            <w:pPr>
              <w:jc w:val="center"/>
            </w:pPr>
            <w:r>
              <w:rPr>
                <w:rFonts w:ascii="宋体" w:hAnsi="宋体" w:eastAsia="宋体"/>
                <w:sz w:val="16"/>
              </w:rPr>
              <w:t>国土变更调查</w:t>
            </w:r>
            <w:r>
              <w:rPr>
                <w:rFonts w:hint="eastAsia" w:ascii="宋体" w:hAnsi="宋体"/>
                <w:sz w:val="16"/>
                <w:lang w:eastAsia="zh-CN"/>
              </w:rPr>
              <w:t>地质数据库</w:t>
            </w:r>
            <w:r>
              <w:rPr>
                <w:rFonts w:ascii="宋体" w:hAnsi="宋体" w:eastAsia="宋体"/>
                <w:sz w:val="16"/>
              </w:rPr>
              <w:t>成果汇总费用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7842B">
            <w:pPr>
              <w:jc w:val="center"/>
            </w:pPr>
            <w:r>
              <w:rPr>
                <w:rFonts w:ascii="宋体" w:hAnsi="宋体" w:eastAsia="宋体"/>
                <w:sz w:val="16"/>
              </w:rPr>
              <w:t>&lt;=9万元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6D0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615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7174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505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3FDA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324EC">
            <w:pPr>
              <w:jc w:val="center"/>
            </w:pPr>
            <w:r>
              <w:rPr>
                <w:rFonts w:ascii="宋体" w:hAnsi="宋体" w:eastAsia="宋体"/>
                <w:sz w:val="16"/>
              </w:rPr>
              <w:t>=9万元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983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9C61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8CDB2">
            <w:pPr>
              <w:jc w:val="center"/>
            </w:pPr>
          </w:p>
        </w:tc>
      </w:tr>
      <w:tr w14:paraId="0926E5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57C4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CB6F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F51D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1456B">
            <w:pPr>
              <w:jc w:val="center"/>
            </w:pPr>
            <w:r>
              <w:rPr>
                <w:rFonts w:ascii="宋体" w:hAnsi="宋体" w:eastAsia="宋体"/>
                <w:sz w:val="16"/>
              </w:rPr>
              <w:t>两项工作会审图斑费用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168F1">
            <w:pPr>
              <w:jc w:val="center"/>
            </w:pPr>
            <w:r>
              <w:rPr>
                <w:rFonts w:ascii="宋体" w:hAnsi="宋体" w:eastAsia="宋体"/>
                <w:sz w:val="16"/>
              </w:rPr>
              <w:t>&lt;=9万元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6EB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F15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AD2D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D79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AA6C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BB4F4">
            <w:pPr>
              <w:jc w:val="center"/>
            </w:pPr>
            <w:r>
              <w:rPr>
                <w:rFonts w:ascii="宋体" w:hAnsi="宋体" w:eastAsia="宋体"/>
                <w:sz w:val="16"/>
              </w:rPr>
              <w:t>=9万元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42B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60AC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61537">
            <w:pPr>
              <w:jc w:val="center"/>
            </w:pPr>
          </w:p>
        </w:tc>
      </w:tr>
      <w:tr w14:paraId="6CECBD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2DC7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9718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F92E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EEA52">
            <w:pPr>
              <w:jc w:val="center"/>
            </w:pPr>
            <w:r>
              <w:rPr>
                <w:rFonts w:ascii="宋体" w:hAnsi="宋体" w:eastAsia="宋体"/>
                <w:sz w:val="16"/>
              </w:rPr>
              <w:t>为自然资源管理相关工作提供基础数据和技术支持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A34C9">
            <w:pPr>
              <w:jc w:val="center"/>
            </w:pPr>
            <w:r>
              <w:rPr>
                <w:rFonts w:ascii="宋体" w:hAnsi="宋体" w:eastAsia="宋体"/>
                <w:sz w:val="16"/>
              </w:rPr>
              <w:t>有力支撑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F24AF">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76D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A4DC5">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4999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3F0A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B98FE">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9E1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AFE53">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0EDB4">
            <w:pPr>
              <w:jc w:val="center"/>
            </w:pPr>
          </w:p>
        </w:tc>
      </w:tr>
      <w:tr w14:paraId="44EEDC8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7BEB2A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2CDF5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6937D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BF94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2C4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A249D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511BD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9E54C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AFB4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0EC93">
            <w:pPr>
              <w:jc w:val="center"/>
            </w:pPr>
            <w:r>
              <w:rPr>
                <w:rFonts w:ascii="宋体" w:hAnsi="宋体" w:eastAsia="宋体"/>
                <w:sz w:val="16"/>
              </w:rPr>
              <w:t>99.12分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A966E3"/>
        </w:tc>
      </w:tr>
    </w:tbl>
    <w:p w14:paraId="68D5B9D3">
      <w:r>
        <w:br w:type="page"/>
      </w:r>
    </w:p>
    <w:p w14:paraId="37888449">
      <w:pPr>
        <w:spacing w:line="640" w:lineRule="exact"/>
        <w:ind w:firstLine="640"/>
        <w:jc w:val="both"/>
        <w:outlineLvl w:val="2"/>
      </w:pPr>
      <w:r>
        <w:rPr>
          <w:rFonts w:ascii="黑体" w:hAnsi="黑体" w:eastAsia="黑体"/>
          <w:sz w:val="32"/>
        </w:rPr>
        <w:t>十二、其他需说明的事项</w:t>
      </w:r>
    </w:p>
    <w:p w14:paraId="10B7545D">
      <w:pPr>
        <w:spacing w:line="580" w:lineRule="exact"/>
        <w:ind w:firstLine="640"/>
        <w:jc w:val="both"/>
      </w:pPr>
      <w:r>
        <w:rPr>
          <w:rFonts w:ascii="仿宋_GB2312" w:hAnsi="仿宋_GB2312" w:eastAsia="仿宋_GB2312"/>
          <w:b w:val="0"/>
          <w:sz w:val="32"/>
        </w:rPr>
        <w:t>本年度本单位整体绩效自评表由主管部门编报并公开。</w:t>
      </w:r>
    </w:p>
    <w:p w14:paraId="10C9BE2D">
      <w:r>
        <w:br w:type="page"/>
      </w:r>
    </w:p>
    <w:p w14:paraId="1E86E6F4">
      <w:pPr>
        <w:spacing w:line="240" w:lineRule="auto"/>
        <w:jc w:val="center"/>
        <w:outlineLvl w:val="1"/>
      </w:pPr>
      <w:r>
        <w:rPr>
          <w:rFonts w:ascii="黑体" w:hAnsi="黑体" w:eastAsia="黑体"/>
          <w:sz w:val="32"/>
        </w:rPr>
        <w:t>第三部分 专业名词解释</w:t>
      </w:r>
    </w:p>
    <w:p w14:paraId="3BBE2E6A">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F10AAAD">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E5E59FD">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50A2794">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220CA47">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A77499A">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1DAA0FD">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E3BE1F0">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E5B30E4">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CA0FD1B">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9B116A1">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38D4B41">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4A04D42">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5192F69">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7DB4DA6">
      <w:r>
        <w:br w:type="page"/>
      </w:r>
    </w:p>
    <w:p w14:paraId="138EFEA6">
      <w:pPr>
        <w:spacing w:line="240" w:lineRule="auto"/>
        <w:jc w:val="center"/>
        <w:outlineLvl w:val="1"/>
      </w:pPr>
      <w:r>
        <w:rPr>
          <w:rFonts w:ascii="黑体" w:hAnsi="黑体" w:eastAsia="黑体"/>
          <w:sz w:val="32"/>
        </w:rPr>
        <w:t>第四部分 部门决算报表（见附表）</w:t>
      </w:r>
    </w:p>
    <w:p w14:paraId="15FFFC22">
      <w:pPr>
        <w:spacing w:line="240" w:lineRule="auto"/>
        <w:ind w:firstLine="640"/>
        <w:jc w:val="both"/>
      </w:pPr>
      <w:r>
        <w:rPr>
          <w:rFonts w:ascii="仿宋_GB2312" w:hAnsi="仿宋_GB2312" w:eastAsia="仿宋_GB2312"/>
          <w:b w:val="0"/>
          <w:sz w:val="32"/>
        </w:rPr>
        <w:t>一、《收入支出决算总表》</w:t>
      </w:r>
    </w:p>
    <w:p w14:paraId="6B221B97">
      <w:pPr>
        <w:spacing w:line="240" w:lineRule="auto"/>
        <w:ind w:firstLine="640"/>
        <w:jc w:val="both"/>
      </w:pPr>
      <w:r>
        <w:rPr>
          <w:rFonts w:ascii="仿宋_GB2312" w:hAnsi="仿宋_GB2312" w:eastAsia="仿宋_GB2312"/>
          <w:b w:val="0"/>
          <w:sz w:val="32"/>
        </w:rPr>
        <w:t>二、《收入决算表》</w:t>
      </w:r>
    </w:p>
    <w:p w14:paraId="4AA98693">
      <w:pPr>
        <w:spacing w:line="240" w:lineRule="auto"/>
        <w:ind w:firstLine="640"/>
        <w:jc w:val="both"/>
      </w:pPr>
      <w:r>
        <w:rPr>
          <w:rFonts w:ascii="仿宋_GB2312" w:hAnsi="仿宋_GB2312" w:eastAsia="仿宋_GB2312"/>
          <w:b w:val="0"/>
          <w:sz w:val="32"/>
        </w:rPr>
        <w:t>三、《支出决算表》</w:t>
      </w:r>
    </w:p>
    <w:p w14:paraId="0DBAF8E1">
      <w:pPr>
        <w:spacing w:line="240" w:lineRule="auto"/>
        <w:ind w:firstLine="640"/>
        <w:jc w:val="both"/>
      </w:pPr>
      <w:r>
        <w:rPr>
          <w:rFonts w:ascii="仿宋_GB2312" w:hAnsi="仿宋_GB2312" w:eastAsia="仿宋_GB2312"/>
          <w:b w:val="0"/>
          <w:sz w:val="32"/>
        </w:rPr>
        <w:t>四、《财政拨款收入支出决算总表》</w:t>
      </w:r>
    </w:p>
    <w:p w14:paraId="415C75CA">
      <w:pPr>
        <w:spacing w:line="240" w:lineRule="auto"/>
        <w:ind w:firstLine="640"/>
        <w:jc w:val="both"/>
      </w:pPr>
      <w:r>
        <w:rPr>
          <w:rFonts w:ascii="仿宋_GB2312" w:hAnsi="仿宋_GB2312" w:eastAsia="仿宋_GB2312"/>
          <w:b w:val="0"/>
          <w:sz w:val="32"/>
        </w:rPr>
        <w:t>五、《一般公共预算财政拨款支出决算表》</w:t>
      </w:r>
    </w:p>
    <w:p w14:paraId="59E11E85">
      <w:pPr>
        <w:spacing w:line="240" w:lineRule="auto"/>
        <w:ind w:firstLine="640"/>
        <w:jc w:val="both"/>
      </w:pPr>
      <w:r>
        <w:rPr>
          <w:rFonts w:ascii="仿宋_GB2312" w:hAnsi="仿宋_GB2312" w:eastAsia="仿宋_GB2312"/>
          <w:b w:val="0"/>
          <w:sz w:val="32"/>
        </w:rPr>
        <w:t>六、《一般公共预算财政拨款基本支出决算表》</w:t>
      </w:r>
    </w:p>
    <w:p w14:paraId="302E9031">
      <w:pPr>
        <w:spacing w:line="240" w:lineRule="auto"/>
        <w:ind w:firstLine="640"/>
        <w:jc w:val="both"/>
      </w:pPr>
      <w:r>
        <w:rPr>
          <w:rFonts w:ascii="仿宋_GB2312" w:hAnsi="仿宋_GB2312" w:eastAsia="仿宋_GB2312"/>
          <w:b w:val="0"/>
          <w:sz w:val="32"/>
        </w:rPr>
        <w:t>七、《政府性基金预算财政拨款收入支出决算表》</w:t>
      </w:r>
    </w:p>
    <w:p w14:paraId="3785A420">
      <w:pPr>
        <w:spacing w:line="240" w:lineRule="auto"/>
        <w:ind w:firstLine="640"/>
        <w:jc w:val="both"/>
      </w:pPr>
      <w:r>
        <w:rPr>
          <w:rFonts w:ascii="仿宋_GB2312" w:hAnsi="仿宋_GB2312" w:eastAsia="仿宋_GB2312"/>
          <w:b w:val="0"/>
          <w:sz w:val="32"/>
        </w:rPr>
        <w:t>八、《国有资本经营预算财政拨款收入支出决算表》</w:t>
      </w:r>
    </w:p>
    <w:p w14:paraId="222CAEEA">
      <w:pPr>
        <w:spacing w:line="240" w:lineRule="auto"/>
        <w:ind w:firstLine="640"/>
        <w:jc w:val="both"/>
      </w:pPr>
      <w:r>
        <w:rPr>
          <w:rFonts w:ascii="仿宋_GB2312" w:hAnsi="仿宋_GB2312" w:eastAsia="仿宋_GB2312"/>
          <w:b w:val="0"/>
          <w:sz w:val="32"/>
        </w:rPr>
        <w:t>九、《财政拨款“三公”经费支出决算表》</w:t>
      </w:r>
    </w:p>
    <w:p w14:paraId="6545616E">
      <w:pPr>
        <w:spacing w:line="240" w:lineRule="auto"/>
        <w:ind w:firstLine="640"/>
        <w:jc w:val="both"/>
      </w:pPr>
    </w:p>
    <w:p w14:paraId="1CD4D0D6">
      <w:pPr>
        <w:spacing w:line="240" w:lineRule="auto"/>
        <w:ind w:firstLine="640"/>
        <w:jc w:val="both"/>
      </w:pPr>
    </w:p>
    <w:p w14:paraId="60428624">
      <w:pPr>
        <w:spacing w:line="240" w:lineRule="auto"/>
        <w:ind w:firstLine="640"/>
        <w:jc w:val="both"/>
      </w:pPr>
    </w:p>
    <w:p w14:paraId="6A5409A7">
      <w:pPr>
        <w:spacing w:line="240" w:lineRule="auto"/>
        <w:ind w:firstLine="640"/>
        <w:jc w:val="both"/>
      </w:pPr>
    </w:p>
    <w:p w14:paraId="1261D031">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0050088"/>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1F25D2B"/>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43</Pages>
  <Words>6287</Words>
  <Characters>7189</Characters>
  <Lines>0</Lines>
  <Paragraphs>0</Paragraphs>
  <TotalTime>17</TotalTime>
  <ScaleCrop>false</ScaleCrop>
  <LinksUpToDate>false</LinksUpToDate>
  <CharactersWithSpaces>7198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2025-09-12T02:41:31Z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eyJoZGlkIjoiZjE5ZjY4MTZmMjdlZTdiNDk2YjE2YjM5MDdjZDkwNjQiLCJ1c2VySWQiOiI0OTMxMTE3MjUifQ==</vt:lpwstr>
  </property>
</Properties>
</file>