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bookmarkStart w:id="0" w:name="_GoBack"/>
      <w:r>
        <w:rPr>
          <w:rFonts w:hint="eastAsia" w:ascii="方正小标宋_GBK" w:hAnsi="宋体" w:eastAsia="方正小标宋_GBK"/>
          <w:sz w:val="44"/>
          <w:szCs w:val="44"/>
          <w:highlight w:val="none"/>
          <w:lang w:val="en-US" w:eastAsia="zh-CN"/>
        </w:rPr>
        <w:t>巴音郭楞</w:t>
      </w:r>
      <w:bookmarkEnd w:id="0"/>
      <w:r>
        <w:rPr>
          <w:rFonts w:hint="eastAsia" w:ascii="方正小标宋_GBK" w:hAnsi="宋体" w:eastAsia="方正小标宋_GBK"/>
          <w:sz w:val="44"/>
          <w:szCs w:val="44"/>
          <w:highlight w:val="none"/>
          <w:lang w:val="en-US" w:eastAsia="zh-CN"/>
        </w:rPr>
        <w:t>蒙古自治州国土资源勘测规划设计院2024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E7AAD22">
      <w:r>
        <w:br w:type="page"/>
      </w:r>
    </w:p>
    <w:p w14:paraId="1527A84F">
      <w:pPr>
        <w:spacing w:line="640" w:lineRule="exact"/>
        <w:jc w:val="center"/>
        <w:outlineLvl w:val="1"/>
      </w:pPr>
      <w:r>
        <w:rPr>
          <w:rFonts w:ascii="黑体" w:hAnsi="黑体" w:eastAsia="黑体"/>
          <w:sz w:val="32"/>
        </w:rPr>
        <w:t>第一部分 单位概况</w:t>
      </w:r>
    </w:p>
    <w:p w14:paraId="75DF1F46">
      <w:pPr>
        <w:spacing w:line="640" w:lineRule="exact"/>
        <w:ind w:firstLine="640"/>
        <w:jc w:val="both"/>
        <w:outlineLvl w:val="2"/>
      </w:pPr>
      <w:r>
        <w:rPr>
          <w:rFonts w:ascii="黑体" w:hAnsi="黑体" w:eastAsia="黑体"/>
          <w:sz w:val="32"/>
        </w:rPr>
        <w:t>一、主要职能</w:t>
      </w:r>
    </w:p>
    <w:p w14:paraId="6D1B72E8">
      <w:pPr>
        <w:spacing w:line="580" w:lineRule="exact"/>
        <w:ind w:firstLine="640"/>
        <w:jc w:val="both"/>
      </w:pPr>
      <w:r>
        <w:rPr>
          <w:rFonts w:ascii="仿宋_GB2312" w:hAnsi="仿宋_GB2312" w:eastAsia="仿宋_GB2312"/>
          <w:sz w:val="32"/>
        </w:rPr>
        <w:t>巴州智慧国土、无人机系统建设、土地变更调查及遥感</w:t>
      </w:r>
      <w:r>
        <w:rPr>
          <w:rFonts w:hint="eastAsia" w:ascii="仿宋_GB2312" w:hAnsi="仿宋_GB2312" w:eastAsia="仿宋_GB2312"/>
          <w:sz w:val="32"/>
          <w:lang w:eastAsia="zh-CN"/>
        </w:rPr>
        <w:t>监管</w:t>
      </w:r>
      <w:r>
        <w:rPr>
          <w:rFonts w:ascii="仿宋_GB2312" w:hAnsi="仿宋_GB2312" w:eastAsia="仿宋_GB2312"/>
          <w:sz w:val="32"/>
        </w:rPr>
        <w:t>单位主要工测、巴州连续运行基准站</w:t>
      </w:r>
      <w:r>
        <w:rPr>
          <w:rFonts w:hint="eastAsia" w:ascii="仿宋_GB2312" w:hAnsi="仿宋_GB2312" w:eastAsia="仿宋_GB2312"/>
          <w:sz w:val="32"/>
          <w:lang w:eastAsia="zh-CN"/>
        </w:rPr>
        <w:t>网络</w:t>
      </w:r>
      <w:r>
        <w:rPr>
          <w:rFonts w:ascii="仿宋_GB2312" w:hAnsi="仿宋_GB2312" w:eastAsia="仿宋_GB2312"/>
          <w:sz w:val="32"/>
        </w:rPr>
        <w:t>维护、土地利用总体规划、基本农田保护、土地整理项目的规划、土地勘界等工作。</w:t>
      </w:r>
    </w:p>
    <w:p w14:paraId="10AFC334">
      <w:pPr>
        <w:spacing w:line="640" w:lineRule="exact"/>
        <w:ind w:firstLine="640"/>
        <w:jc w:val="both"/>
        <w:outlineLvl w:val="2"/>
      </w:pPr>
      <w:r>
        <w:rPr>
          <w:rFonts w:ascii="黑体" w:hAnsi="黑体" w:eastAsia="黑体"/>
          <w:sz w:val="32"/>
        </w:rPr>
        <w:t>二、机构设置及人员情况</w:t>
      </w:r>
    </w:p>
    <w:p w14:paraId="06B3CF98">
      <w:pPr>
        <w:spacing w:line="580" w:lineRule="exact"/>
        <w:ind w:firstLine="640"/>
        <w:jc w:val="both"/>
      </w:pPr>
      <w:r>
        <w:rPr>
          <w:rFonts w:ascii="仿宋_GB2312" w:hAnsi="仿宋_GB2312" w:eastAsia="仿宋_GB2312"/>
          <w:sz w:val="32"/>
        </w:rPr>
        <w:t>巴音郭楞蒙古自治州国土资源勘测规划设计院2024年度，实有人数43人，其中：在职人员21人，减少1人；离休人员0人，增加0人；退休人员22人,增加1人。</w:t>
      </w:r>
    </w:p>
    <w:p w14:paraId="33813BF7">
      <w:pPr>
        <w:spacing w:line="580" w:lineRule="exact"/>
        <w:ind w:firstLine="640"/>
        <w:jc w:val="both"/>
      </w:pPr>
      <w:r>
        <w:rPr>
          <w:rFonts w:ascii="仿宋_GB2312" w:hAnsi="仿宋_GB2312" w:eastAsia="仿宋_GB2312"/>
          <w:sz w:val="32"/>
        </w:rPr>
        <w:t>巴音郭楞蒙古自治州国土资源勘测规划设计院无下属预算单位，下设6个科室，分别是：办公室、档案科、测绘科、总工办、规划科、地信科。</w:t>
      </w:r>
    </w:p>
    <w:p w14:paraId="33DEC346">
      <w:r>
        <w:br w:type="page"/>
      </w:r>
    </w:p>
    <w:p w14:paraId="23B4E5F7">
      <w:pPr>
        <w:spacing w:line="240" w:lineRule="auto"/>
        <w:jc w:val="center"/>
        <w:outlineLvl w:val="1"/>
      </w:pPr>
      <w:r>
        <w:rPr>
          <w:rFonts w:ascii="黑体" w:hAnsi="黑体" w:eastAsia="黑体"/>
          <w:sz w:val="32"/>
        </w:rPr>
        <w:t>第二部分 部门决算情况说明</w:t>
      </w:r>
    </w:p>
    <w:p w14:paraId="5846BA00">
      <w:pPr>
        <w:spacing w:line="640" w:lineRule="exact"/>
        <w:ind w:firstLine="640"/>
        <w:jc w:val="both"/>
        <w:outlineLvl w:val="2"/>
      </w:pPr>
      <w:r>
        <w:rPr>
          <w:rFonts w:ascii="黑体" w:hAnsi="黑体" w:eastAsia="黑体"/>
          <w:sz w:val="32"/>
        </w:rPr>
        <w:t>一、收入支出决算总体情况说明</w:t>
      </w:r>
    </w:p>
    <w:p w14:paraId="26388B99">
      <w:pPr>
        <w:spacing w:line="580" w:lineRule="exact"/>
        <w:ind w:firstLine="640"/>
        <w:jc w:val="both"/>
      </w:pPr>
      <w:r>
        <w:rPr>
          <w:rFonts w:ascii="仿宋_GB2312" w:hAnsi="仿宋_GB2312" w:eastAsia="仿宋_GB2312"/>
          <w:b/>
          <w:sz w:val="32"/>
        </w:rPr>
        <w:t>2024年度收入总计644.96万元，</w:t>
      </w:r>
      <w:r>
        <w:rPr>
          <w:rFonts w:ascii="仿宋_GB2312" w:hAnsi="仿宋_GB2312" w:eastAsia="仿宋_GB2312"/>
          <w:b w:val="0"/>
          <w:sz w:val="32"/>
        </w:rPr>
        <w:t>其中：本年收入合计644.96万元，使用非财政拨款结余（含专用结余）0.00万元，年初结转和结余0.00万元。</w:t>
      </w:r>
    </w:p>
    <w:p w14:paraId="68C74CF4">
      <w:pPr>
        <w:spacing w:line="580" w:lineRule="exact"/>
        <w:ind w:firstLine="640"/>
        <w:jc w:val="both"/>
      </w:pPr>
      <w:r>
        <w:rPr>
          <w:rFonts w:ascii="仿宋_GB2312" w:hAnsi="仿宋_GB2312" w:eastAsia="仿宋_GB2312"/>
          <w:b/>
          <w:sz w:val="32"/>
        </w:rPr>
        <w:t>2024年度支出总计644.96万元，</w:t>
      </w:r>
      <w:r>
        <w:rPr>
          <w:rFonts w:ascii="仿宋_GB2312" w:hAnsi="仿宋_GB2312" w:eastAsia="仿宋_GB2312"/>
          <w:b w:val="0"/>
          <w:sz w:val="32"/>
        </w:rPr>
        <w:t>其中：本年支出合计644.96万元，结余分配0.00万元，年末结转和结余0.00万元。</w:t>
      </w:r>
    </w:p>
    <w:p w14:paraId="2FE89986">
      <w:pPr>
        <w:spacing w:line="580" w:lineRule="exact"/>
        <w:ind w:firstLine="640"/>
        <w:jc w:val="both"/>
      </w:pPr>
      <w:r>
        <w:rPr>
          <w:rFonts w:ascii="仿宋_GB2312" w:hAnsi="仿宋_GB2312" w:eastAsia="仿宋_GB2312"/>
          <w:b w:val="0"/>
          <w:sz w:val="32"/>
        </w:rPr>
        <w:t>收入支出总体与上年相比，增加131.29万元，增长25.56%，主要原因是：本年在职人员工资调增，社保、公积金基数调增，人员经费增加；本年自然资源信息化建设项目资金较上年增加。</w:t>
      </w:r>
    </w:p>
    <w:p w14:paraId="527D4C53">
      <w:pPr>
        <w:spacing w:line="640" w:lineRule="exact"/>
        <w:ind w:firstLine="640"/>
        <w:jc w:val="both"/>
        <w:outlineLvl w:val="2"/>
      </w:pPr>
      <w:r>
        <w:rPr>
          <w:rFonts w:ascii="黑体" w:hAnsi="黑体" w:eastAsia="黑体"/>
          <w:sz w:val="32"/>
        </w:rPr>
        <w:t>二、收入决算情况说明</w:t>
      </w:r>
    </w:p>
    <w:p w14:paraId="318AD8A7">
      <w:pPr>
        <w:spacing w:line="580" w:lineRule="exact"/>
        <w:ind w:firstLine="640"/>
        <w:jc w:val="both"/>
      </w:pPr>
      <w:r>
        <w:rPr>
          <w:rFonts w:ascii="仿宋_GB2312" w:hAnsi="仿宋_GB2312" w:eastAsia="仿宋_GB2312"/>
          <w:b/>
          <w:sz w:val="32"/>
        </w:rPr>
        <w:t>本年收入644.96万元，</w:t>
      </w:r>
      <w:r>
        <w:rPr>
          <w:rFonts w:ascii="仿宋_GB2312" w:hAnsi="仿宋_GB2312" w:eastAsia="仿宋_GB2312"/>
          <w:b w:val="0"/>
          <w:sz w:val="32"/>
        </w:rPr>
        <w:t>其中：财政拨款收入500.91万元，占77.67%；上级补助收入0.00万元，占0.00%；事业收入144.06万元，占22.34%；经营收入0.00万元，占0.00%；附属单位上缴收入0.00万元，占0.00%；其他收入0.00万元，占0.00%。</w:t>
      </w:r>
    </w:p>
    <w:p w14:paraId="7B08543A">
      <w:pPr>
        <w:spacing w:line="640" w:lineRule="exact"/>
        <w:ind w:firstLine="640"/>
        <w:jc w:val="both"/>
        <w:outlineLvl w:val="2"/>
      </w:pPr>
      <w:r>
        <w:rPr>
          <w:rFonts w:ascii="黑体" w:hAnsi="黑体" w:eastAsia="黑体"/>
          <w:sz w:val="32"/>
        </w:rPr>
        <w:t>三、支出决算情况说明</w:t>
      </w:r>
    </w:p>
    <w:p w14:paraId="53797B83">
      <w:pPr>
        <w:spacing w:line="580" w:lineRule="exact"/>
        <w:ind w:firstLine="640"/>
        <w:jc w:val="both"/>
      </w:pPr>
      <w:r>
        <w:rPr>
          <w:rFonts w:ascii="仿宋_GB2312" w:hAnsi="仿宋_GB2312" w:eastAsia="仿宋_GB2312"/>
          <w:b/>
          <w:sz w:val="32"/>
        </w:rPr>
        <w:t>本年支出644.96万元，</w:t>
      </w:r>
      <w:r>
        <w:rPr>
          <w:rFonts w:ascii="仿宋_GB2312" w:hAnsi="仿宋_GB2312" w:eastAsia="仿宋_GB2312"/>
          <w:b w:val="0"/>
          <w:sz w:val="32"/>
        </w:rPr>
        <w:t>其中：基本支出487.41万元，占75.57%；项目支出157.56万元，占24.43%；上缴上级支出0.00万元，占0.00%；经营支出0.00万元，占0.00%；对附属单位补助支出0.00万元，占0.00%。</w:t>
      </w:r>
    </w:p>
    <w:p w14:paraId="747896B4">
      <w:pPr>
        <w:spacing w:line="640" w:lineRule="exact"/>
        <w:ind w:firstLine="640"/>
        <w:jc w:val="both"/>
        <w:outlineLvl w:val="2"/>
      </w:pPr>
      <w:r>
        <w:rPr>
          <w:rFonts w:ascii="黑体" w:hAnsi="黑体" w:eastAsia="黑体"/>
          <w:sz w:val="32"/>
        </w:rPr>
        <w:t>四、财政拨款收入支出决算总体情况说明</w:t>
      </w:r>
    </w:p>
    <w:p w14:paraId="454931FE">
      <w:pPr>
        <w:spacing w:line="580" w:lineRule="exact"/>
        <w:ind w:firstLine="640"/>
        <w:jc w:val="both"/>
      </w:pPr>
      <w:r>
        <w:rPr>
          <w:rFonts w:ascii="仿宋_GB2312" w:hAnsi="仿宋_GB2312" w:eastAsia="仿宋_GB2312"/>
          <w:b/>
          <w:sz w:val="32"/>
        </w:rPr>
        <w:t>2024年度财政拨款收入总计500.91万元，</w:t>
      </w:r>
      <w:r>
        <w:rPr>
          <w:rFonts w:ascii="仿宋_GB2312" w:hAnsi="仿宋_GB2312" w:eastAsia="仿宋_GB2312"/>
          <w:b w:val="0"/>
          <w:sz w:val="32"/>
        </w:rPr>
        <w:t>其中：年初财政拨款结转和结余0.00万元，本年财政拨款收入500.91万元。</w:t>
      </w:r>
      <w:r>
        <w:rPr>
          <w:rFonts w:ascii="仿宋_GB2312" w:hAnsi="仿宋_GB2312" w:eastAsia="仿宋_GB2312"/>
          <w:b/>
          <w:sz w:val="32"/>
        </w:rPr>
        <w:t>财政拨款支出总计500.91万元，</w:t>
      </w:r>
      <w:r>
        <w:rPr>
          <w:rFonts w:ascii="仿宋_GB2312" w:hAnsi="仿宋_GB2312" w:eastAsia="仿宋_GB2312"/>
          <w:b w:val="0"/>
          <w:sz w:val="32"/>
        </w:rPr>
        <w:t>其中：年末财政拨款结转和结余0.00万元，本年财政拨款支出500.91万元。</w:t>
      </w:r>
    </w:p>
    <w:p w14:paraId="69A9F56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增加70.05万元，增长16.26%，主要原因是：本年在职人员工资调增，社保、公积金基数调增，人员经费增加；本年自然资源信息化建设项目资金较上年增加。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年初预算数475.21万元，决算数500.91万元，预决算差异率5.41%，主要原因是：年中追加人员工资、社保、公积金基数调增部分资金，导致预决算存在差异。</w:t>
      </w:r>
    </w:p>
    <w:p w14:paraId="462707E7">
      <w:pPr>
        <w:spacing w:line="640" w:lineRule="exact"/>
        <w:ind w:firstLine="640"/>
        <w:jc w:val="both"/>
        <w:outlineLvl w:val="2"/>
      </w:pPr>
      <w:r>
        <w:rPr>
          <w:rFonts w:ascii="黑体" w:hAnsi="黑体" w:eastAsia="黑体"/>
          <w:sz w:val="32"/>
        </w:rPr>
        <w:t>五、一般公共预算财政拨款支出决算情况说明</w:t>
      </w:r>
    </w:p>
    <w:p w14:paraId="3AEB4381">
      <w:pPr>
        <w:spacing w:line="640" w:lineRule="exact"/>
        <w:ind w:firstLine="640"/>
        <w:jc w:val="both"/>
        <w:outlineLvl w:val="3"/>
      </w:pPr>
      <w:r>
        <w:rPr>
          <w:rFonts w:ascii="楷体_GB2312" w:hAnsi="楷体_GB2312" w:eastAsia="楷体_GB2312"/>
          <w:b/>
          <w:sz w:val="32"/>
        </w:rPr>
        <w:t>（一）一般公共预算财政拨款支出决算总体情况</w:t>
      </w:r>
    </w:p>
    <w:p w14:paraId="26BD99F3">
      <w:pPr>
        <w:spacing w:line="580" w:lineRule="exact"/>
        <w:ind w:firstLine="640"/>
        <w:jc w:val="both"/>
      </w:pPr>
      <w:r>
        <w:rPr>
          <w:rFonts w:ascii="仿宋_GB2312" w:hAnsi="仿宋_GB2312" w:eastAsia="仿宋_GB2312"/>
          <w:b/>
          <w:sz w:val="32"/>
        </w:rPr>
        <w:t>2024年度一般公共预算财政拨款支出500.91万元，</w:t>
      </w:r>
      <w:r>
        <w:rPr>
          <w:rFonts w:ascii="仿宋_GB2312" w:hAnsi="仿宋_GB2312" w:eastAsia="仿宋_GB2312"/>
          <w:b w:val="0"/>
          <w:sz w:val="32"/>
        </w:rPr>
        <w:t>占本年支出合计的77.67%。</w:t>
      </w:r>
      <w:r>
        <w:rPr>
          <w:rFonts w:ascii="仿宋_GB2312" w:hAnsi="仿宋_GB2312" w:eastAsia="仿宋_GB2312"/>
          <w:b/>
          <w:sz w:val="32"/>
        </w:rPr>
        <w:t>与上年相比，</w:t>
      </w:r>
      <w:r>
        <w:rPr>
          <w:rFonts w:ascii="仿宋_GB2312" w:hAnsi="仿宋_GB2312" w:eastAsia="仿宋_GB2312"/>
          <w:b w:val="0"/>
          <w:sz w:val="32"/>
        </w:rPr>
        <w:t>增加70.05万元，增长16.26%，主要原因是：本年在职人员工资调增，社保、公积金基数调增，人员经费增加；本年自然资源信息化建设项目资金较上年增加。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年初预算数475.21万元，决算数500.91万元，预决算差异率5.41%，主要原因是：年中追加人员工资、社保、公积金基数调增部分资金，导致预决算存在差异。</w:t>
      </w:r>
    </w:p>
    <w:p w14:paraId="42E99712">
      <w:pPr>
        <w:spacing w:line="640" w:lineRule="exact"/>
        <w:ind w:firstLine="640"/>
        <w:jc w:val="both"/>
        <w:outlineLvl w:val="3"/>
      </w:pPr>
      <w:r>
        <w:rPr>
          <w:rFonts w:ascii="楷体_GB2312" w:hAnsi="楷体_GB2312" w:eastAsia="楷体_GB2312"/>
          <w:b/>
          <w:sz w:val="32"/>
        </w:rPr>
        <w:t>（二）一般公共预算财政拨款支出决算结构情况</w:t>
      </w:r>
    </w:p>
    <w:p w14:paraId="575FA7C0">
      <w:pPr>
        <w:spacing w:line="580" w:lineRule="exact"/>
        <w:ind w:firstLine="640"/>
        <w:jc w:val="both"/>
      </w:pPr>
      <w:r>
        <w:rPr>
          <w:rFonts w:ascii="仿宋_GB2312" w:hAnsi="仿宋_GB2312" w:eastAsia="仿宋_GB2312"/>
          <w:b w:val="0"/>
          <w:sz w:val="32"/>
        </w:rPr>
        <w:t>1.教育支出(类)1.77万元,占0.35%。</w:t>
      </w:r>
    </w:p>
    <w:p w14:paraId="50EED58A">
      <w:pPr>
        <w:spacing w:line="580" w:lineRule="exact"/>
        <w:ind w:firstLine="640"/>
        <w:jc w:val="both"/>
      </w:pPr>
      <w:r>
        <w:rPr>
          <w:rFonts w:ascii="仿宋_GB2312" w:hAnsi="仿宋_GB2312" w:eastAsia="仿宋_GB2312"/>
          <w:b w:val="0"/>
          <w:sz w:val="32"/>
        </w:rPr>
        <w:t>2.社会保障和就业支出(类)116.50万元,占23.26%。</w:t>
      </w:r>
    </w:p>
    <w:p w14:paraId="0C2081EF">
      <w:pPr>
        <w:spacing w:line="580" w:lineRule="exact"/>
        <w:ind w:firstLine="640"/>
        <w:jc w:val="both"/>
      </w:pPr>
      <w:r>
        <w:rPr>
          <w:rFonts w:ascii="仿宋_GB2312" w:hAnsi="仿宋_GB2312" w:eastAsia="仿宋_GB2312"/>
          <w:b w:val="0"/>
          <w:sz w:val="32"/>
        </w:rPr>
        <w:t>3.卫生健康支出(类)18.47万元,占3.69%。</w:t>
      </w:r>
    </w:p>
    <w:p w14:paraId="1DFCD75E">
      <w:pPr>
        <w:spacing w:line="580" w:lineRule="exact"/>
        <w:ind w:firstLine="640"/>
        <w:jc w:val="both"/>
      </w:pPr>
      <w:r>
        <w:rPr>
          <w:rFonts w:ascii="仿宋_GB2312" w:hAnsi="仿宋_GB2312" w:eastAsia="仿宋_GB2312"/>
          <w:b w:val="0"/>
          <w:sz w:val="32"/>
        </w:rPr>
        <w:t>4.自然资源海洋气象等支出(类)332.75万元,占66.43%。</w:t>
      </w:r>
    </w:p>
    <w:p w14:paraId="5E3C722B">
      <w:pPr>
        <w:spacing w:line="580" w:lineRule="exact"/>
        <w:ind w:firstLine="640"/>
        <w:jc w:val="both"/>
      </w:pPr>
      <w:r>
        <w:rPr>
          <w:rFonts w:ascii="仿宋_GB2312" w:hAnsi="仿宋_GB2312" w:eastAsia="仿宋_GB2312"/>
          <w:b w:val="0"/>
          <w:sz w:val="32"/>
        </w:rPr>
        <w:t>5.住房保障支出(类)31.40万元,占6.27%。</w:t>
      </w:r>
    </w:p>
    <w:p w14:paraId="2D927A67">
      <w:pPr>
        <w:spacing w:line="640" w:lineRule="exact"/>
        <w:ind w:firstLine="640"/>
        <w:jc w:val="both"/>
        <w:outlineLvl w:val="3"/>
      </w:pPr>
      <w:r>
        <w:rPr>
          <w:rFonts w:ascii="楷体_GB2312" w:hAnsi="楷体_GB2312" w:eastAsia="楷体_GB2312"/>
          <w:b/>
          <w:sz w:val="32"/>
        </w:rPr>
        <w:t>（三）一般公共预算财政拨款支出决算具体情况</w:t>
      </w:r>
    </w:p>
    <w:p w14:paraId="343CA4E8">
      <w:pPr>
        <w:spacing w:line="580" w:lineRule="exact"/>
        <w:ind w:firstLine="640"/>
        <w:jc w:val="both"/>
      </w:pPr>
      <w:r>
        <w:rPr>
          <w:rFonts w:ascii="仿宋_GB2312" w:hAnsi="仿宋_GB2312" w:eastAsia="仿宋_GB2312"/>
          <w:b w:val="0"/>
          <w:sz w:val="32"/>
        </w:rPr>
        <w:t>1.教育支出(类)进修及培训(款)培训支出(项):支出决算数为1.77万元，比上年决算减少0.01万元，下降0.56%,主要原因是：本年厉行节约，控制培训次数，导致培训经费较上年减少。</w:t>
      </w:r>
    </w:p>
    <w:p w14:paraId="66E14157">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21.79万元，比上年决算增加5.31万元，增长32.22%,主要原因是：本年退休人员增加，增加退休人员基础绩效奖，退休费支出增加。</w:t>
      </w:r>
    </w:p>
    <w:p w14:paraId="094F39C9">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40.84万元，比上年决算增加7.08万元，增长20.97%,主要原因是：本年在职人员工资基数调增，养老保险缴费基数上涨，支出增加。</w:t>
      </w:r>
    </w:p>
    <w:p w14:paraId="3EE9D9F6">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4.社会保障和就业支出(类)行政事业单位养老支出(款)机关事业单位职业年金缴费支出(项):支出决算数为22.70万元，比上年决算增加14.61万元，增长180.59%,主要原因是：本年新增退休人员</w:t>
      </w:r>
      <w:r>
        <w:rPr>
          <w:rFonts w:hint="eastAsia" w:ascii="仿宋_GB2312" w:hAnsi="仿宋_GB2312" w:eastAsia="仿宋_GB2312"/>
          <w:b w:val="0"/>
          <w:sz w:val="32"/>
          <w:lang w:eastAsia="zh-CN"/>
        </w:rPr>
        <w:t>较上年增加</w:t>
      </w:r>
      <w:r>
        <w:rPr>
          <w:rFonts w:ascii="仿宋_GB2312" w:hAnsi="仿宋_GB2312" w:eastAsia="仿宋_GB2312"/>
          <w:b w:val="0"/>
          <w:sz w:val="32"/>
        </w:rPr>
        <w:t>，职业年金缴费支出增加。</w:t>
      </w:r>
    </w:p>
    <w:p w14:paraId="2D4040C4">
      <w:pPr>
        <w:spacing w:line="580" w:lineRule="exact"/>
        <w:ind w:firstLine="640"/>
        <w:jc w:val="both"/>
      </w:pPr>
      <w:r>
        <w:rPr>
          <w:rFonts w:ascii="仿宋_GB2312" w:hAnsi="仿宋_GB2312" w:eastAsia="仿宋_GB2312"/>
          <w:b w:val="0"/>
          <w:sz w:val="32"/>
        </w:rPr>
        <w:t>5.社会保障和就业支出(类)抚恤(款)死亡抚恤(项):支出决算数为31.17万元，比上年决算增加31.17万元，增长100.00%,主要原因是：本年新增死亡人员，死亡抚恤支出增加。</w:t>
      </w:r>
    </w:p>
    <w:p w14:paraId="41A0879D">
      <w:pPr>
        <w:spacing w:line="580" w:lineRule="exact"/>
        <w:ind w:firstLine="640"/>
        <w:jc w:val="both"/>
      </w:pPr>
      <w:r>
        <w:rPr>
          <w:rFonts w:ascii="仿宋_GB2312" w:hAnsi="仿宋_GB2312" w:eastAsia="仿宋_GB2312"/>
          <w:b w:val="0"/>
          <w:sz w:val="32"/>
        </w:rPr>
        <w:t>6.卫生健康支出(类)行政事业单位医疗(款)事业单位医疗(项):支出决算数为17.87万元，比上年决算增加3.09万元，增长20.91%,主要原因是：本年在职人员工资基数调增，医疗缴费基数上涨，相应支出增加。</w:t>
      </w:r>
    </w:p>
    <w:p w14:paraId="32732D83">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7.卫生健康支出(类)行政事业单位医疗(款)其他行政事业单位医疗支出(项):支出决算数为0.61万元，比上年决算减少0.42万元，下降40.78%,主要原因是：本年在职人员减少，其他行政事业单位医疗支出较上年减少。</w:t>
      </w:r>
    </w:p>
    <w:p w14:paraId="5EDFD944">
      <w:pPr>
        <w:spacing w:line="580" w:lineRule="exact"/>
        <w:ind w:firstLine="640"/>
        <w:jc w:val="both"/>
      </w:pPr>
      <w:r>
        <w:rPr>
          <w:rFonts w:ascii="仿宋_GB2312" w:hAnsi="仿宋_GB2312" w:eastAsia="仿宋_GB2312"/>
          <w:b w:val="0"/>
          <w:sz w:val="32"/>
        </w:rPr>
        <w:t>8.自然资源海洋气象等支出(类)自然资源事务(款)自然资源利用与保护(项):支出决算数为13.50万元，比上年决算减少0.10万元，下降0.74%,主要原因是：本年巴州国土测绘服务运行项目资金较上年减少。</w:t>
      </w:r>
    </w:p>
    <w:p w14:paraId="631E3FC9">
      <w:pPr>
        <w:spacing w:line="580" w:lineRule="exact"/>
        <w:ind w:firstLine="640"/>
        <w:jc w:val="both"/>
      </w:pPr>
      <w:r>
        <w:rPr>
          <w:rFonts w:ascii="仿宋_GB2312" w:hAnsi="仿宋_GB2312" w:eastAsia="仿宋_GB2312"/>
          <w:b w:val="0"/>
          <w:sz w:val="32"/>
        </w:rPr>
        <w:t>9.自然资源海洋气象等支出(类)自然资源事务(款)事业运行(项):支出决算数为319.25万元，比上年决算增加4.85万元，增长1.54%,主要原因是：本年在职人员工资调增，导致相关人员经费较上年有所增加。</w:t>
      </w:r>
    </w:p>
    <w:p w14:paraId="26C17F1B">
      <w:pPr>
        <w:spacing w:line="580" w:lineRule="exact"/>
        <w:ind w:firstLine="640"/>
        <w:jc w:val="both"/>
      </w:pPr>
      <w:r>
        <w:rPr>
          <w:rFonts w:ascii="仿宋_GB2312" w:hAnsi="仿宋_GB2312" w:eastAsia="仿宋_GB2312"/>
          <w:b w:val="0"/>
          <w:sz w:val="32"/>
        </w:rPr>
        <w:t>10.住房保障支出(类)住房改革支出(款)住房公积金(项):支出决算数为31.40万元，比上年决算增加4.46万元，增长16.56%,主要原因是：本年在职人员工资基数调增，公积金缴费基数上涨，相应支出增加。</w:t>
      </w:r>
    </w:p>
    <w:p w14:paraId="270F12FB">
      <w:pPr>
        <w:spacing w:line="640" w:lineRule="exact"/>
        <w:ind w:firstLine="640"/>
        <w:jc w:val="both"/>
        <w:outlineLvl w:val="2"/>
      </w:pPr>
      <w:r>
        <w:rPr>
          <w:rFonts w:ascii="黑体" w:hAnsi="黑体" w:eastAsia="黑体"/>
          <w:sz w:val="32"/>
        </w:rPr>
        <w:t>六、一般公共预算财政拨款基本支出决算情况说明</w:t>
      </w:r>
    </w:p>
    <w:p w14:paraId="362FED26">
      <w:pPr>
        <w:spacing w:line="580" w:lineRule="exact"/>
        <w:ind w:firstLine="640"/>
        <w:jc w:val="both"/>
      </w:pPr>
      <w:r>
        <w:rPr>
          <w:rFonts w:ascii="仿宋_GB2312" w:hAnsi="仿宋_GB2312" w:eastAsia="仿宋_GB2312"/>
          <w:b w:val="0"/>
          <w:sz w:val="32"/>
        </w:rPr>
        <w:t>2024年度一般公共预算财政拨款基本支出487.41万元，其中：</w:t>
      </w:r>
      <w:r>
        <w:rPr>
          <w:rFonts w:ascii="仿宋_GB2312" w:hAnsi="仿宋_GB2312" w:eastAsia="仿宋_GB2312"/>
          <w:b/>
          <w:sz w:val="32"/>
        </w:rPr>
        <w:t>人员经费462.64万元，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包括：基本工资、津贴补贴、奖金、伙食补助费、机关事业单位基本养老保险缴费、职业年金缴费、职工基本医疗保险缴费、其他社会保障缴费、住房公积金、医疗费、退休费、抚恤金、奖励金。</w:t>
      </w:r>
    </w:p>
    <w:p w14:paraId="2C50FA2C">
      <w:pPr>
        <w:spacing w:line="580" w:lineRule="exact"/>
        <w:ind w:firstLine="640"/>
        <w:jc w:val="both"/>
      </w:pPr>
      <w:r>
        <w:rPr>
          <w:rFonts w:ascii="仿宋_GB2312" w:hAnsi="仿宋_GB2312" w:eastAsia="仿宋_GB2312"/>
          <w:b/>
          <w:sz w:val="32"/>
        </w:rPr>
        <w:t>公用经费24.76万元，</w:t>
      </w:r>
      <w:r>
        <w:rPr>
          <w:rFonts w:ascii="仿宋_GB2312" w:hAnsi="仿宋_GB2312" w:eastAsia="仿宋_GB2312"/>
          <w:b w:val="0"/>
          <w:sz w:val="32"/>
        </w:rPr>
        <w:t>包括：办公费、水费、电费、邮电费、取暖费、物业管理费、差旅费、培训费、公务接待费、工会经费、福利费、公务用车运行维护费、其他商品和服务支出。</w:t>
      </w:r>
    </w:p>
    <w:p w14:paraId="1495199E">
      <w:pPr>
        <w:spacing w:line="640" w:lineRule="exact"/>
        <w:ind w:firstLine="640"/>
        <w:jc w:val="both"/>
        <w:outlineLvl w:val="2"/>
      </w:pPr>
      <w:r>
        <w:rPr>
          <w:rFonts w:ascii="黑体" w:hAnsi="黑体" w:eastAsia="黑体"/>
          <w:sz w:val="32"/>
        </w:rPr>
        <w:t>七、政府性基金预算财政拨款收入支出决算情况说明</w:t>
      </w:r>
    </w:p>
    <w:p w14:paraId="276C1D2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44A6690">
      <w:pPr>
        <w:spacing w:line="640" w:lineRule="exact"/>
        <w:ind w:firstLine="640"/>
        <w:jc w:val="both"/>
        <w:outlineLvl w:val="2"/>
      </w:pPr>
      <w:r>
        <w:rPr>
          <w:rFonts w:ascii="黑体" w:hAnsi="黑体" w:eastAsia="黑体"/>
          <w:sz w:val="32"/>
        </w:rPr>
        <w:t>八、国有资本经营预算财政拨款收入支出决算情况说明</w:t>
      </w:r>
    </w:p>
    <w:p w14:paraId="5A06505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C0BBEB5">
      <w:pPr>
        <w:spacing w:line="640" w:lineRule="exact"/>
        <w:ind w:firstLine="640"/>
        <w:jc w:val="both"/>
        <w:outlineLvl w:val="2"/>
      </w:pPr>
      <w:r>
        <w:rPr>
          <w:rFonts w:ascii="黑体" w:hAnsi="黑体" w:eastAsia="黑体"/>
          <w:sz w:val="32"/>
        </w:rPr>
        <w:t>九、财政拨款“三公”经费支出决算情况说明</w:t>
      </w:r>
    </w:p>
    <w:p w14:paraId="137CDB62">
      <w:pPr>
        <w:spacing w:line="580" w:lineRule="exact"/>
        <w:ind w:firstLine="640"/>
        <w:jc w:val="both"/>
      </w:pPr>
      <w:r>
        <w:rPr>
          <w:rFonts w:ascii="仿宋_GB2312" w:hAnsi="仿宋_GB2312" w:eastAsia="仿宋_GB2312"/>
          <w:b/>
          <w:sz w:val="32"/>
        </w:rPr>
        <w:t>2024年度财政拨款“三公”经费支出5.76万元，</w:t>
      </w:r>
      <w:r>
        <w:rPr>
          <w:rFonts w:ascii="仿宋_GB2312" w:hAnsi="仿宋_GB2312" w:eastAsia="仿宋_GB2312"/>
          <w:b w:val="0"/>
          <w:sz w:val="32"/>
        </w:rPr>
        <w:t>比上年减少0.04万元，下降0.69%，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5.59万元，占97.05%，比上年减少0.01万元，下降0.18%，主要原因是：严格落实中央八项规定精神，厉行节约，减少公务用车运行维护费。公务接待费支出0.17万元，占2.95%，比上年减少0.03万元，下降15.00%，主要原因是：严格落实中央八项规定精神，厉行节约，减少公务接待费。</w:t>
      </w:r>
    </w:p>
    <w:p w14:paraId="34E0EE5E">
      <w:pPr>
        <w:spacing w:line="580" w:lineRule="exact"/>
        <w:ind w:firstLine="640"/>
        <w:jc w:val="both"/>
      </w:pPr>
      <w:r>
        <w:rPr>
          <w:rFonts w:ascii="仿宋_GB2312" w:hAnsi="仿宋_GB2312" w:eastAsia="仿宋_GB2312"/>
          <w:b/>
          <w:sz w:val="32"/>
        </w:rPr>
        <w:t>具体情况如下：</w:t>
      </w:r>
    </w:p>
    <w:p w14:paraId="0382E8F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646B79A">
      <w:pPr>
        <w:spacing w:line="580" w:lineRule="exact"/>
        <w:ind w:firstLine="640"/>
        <w:jc w:val="both"/>
      </w:pPr>
      <w:r>
        <w:rPr>
          <w:rFonts w:ascii="仿宋_GB2312" w:hAnsi="仿宋_GB2312" w:eastAsia="仿宋_GB2312"/>
          <w:b w:val="0"/>
          <w:sz w:val="32"/>
        </w:rPr>
        <w:t>公务用车购置及运行维护费5.59万元，其中：公务用车购置费0.00万元，公务用车运行维护费5.59万元。公务用车运行维护费开支内容包括车辆维修费、保险费、燃油费。公务用车购置数0辆，公务用车保有量2辆。国有资产占用情况中固定资产车辆6辆，与公务用车保有量差异原因是：差异车辆待报废车辆，未使用，预算未安排公务用车运行维护费。</w:t>
      </w:r>
    </w:p>
    <w:p w14:paraId="26B59DA5">
      <w:pPr>
        <w:spacing w:line="580" w:lineRule="exact"/>
        <w:ind w:firstLine="640"/>
        <w:jc w:val="both"/>
      </w:pPr>
      <w:r>
        <w:rPr>
          <w:rFonts w:ascii="仿宋_GB2312" w:hAnsi="仿宋_GB2312" w:eastAsia="仿宋_GB2312"/>
          <w:b w:val="0"/>
          <w:sz w:val="32"/>
        </w:rPr>
        <w:t>公务接待费0.17万元，开支内容包括因考察、调研，接待上级领导检查产生的就餐费。单位全年安排的国内公务接待6批次，34人次。</w:t>
      </w:r>
    </w:p>
    <w:p w14:paraId="77B9AA3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5.80万元，决算数5.76万元，预决算差异率-0.69%，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5.60万元，决算数5.59万元，预决算差异率-0.18%，主要原因是：严格落实中央八项规定精神，厉行节约，减少经费支出。公务接待费全年预算数0.20万元，决算数0.17万元，预决算差异率-15.00%，主要原因是：严格落实中央八项规定精神，厉行节约，减少经费支出。</w:t>
      </w:r>
    </w:p>
    <w:p w14:paraId="5EF3C22F">
      <w:pPr>
        <w:spacing w:line="640" w:lineRule="exact"/>
        <w:ind w:firstLine="640"/>
        <w:jc w:val="both"/>
        <w:outlineLvl w:val="2"/>
      </w:pPr>
      <w:r>
        <w:rPr>
          <w:rFonts w:ascii="黑体" w:hAnsi="黑体" w:eastAsia="黑体"/>
          <w:sz w:val="32"/>
        </w:rPr>
        <w:t>十、其他重要事项的情况说明</w:t>
      </w:r>
    </w:p>
    <w:p w14:paraId="234DCC5E">
      <w:pPr>
        <w:spacing w:line="640" w:lineRule="exact"/>
        <w:ind w:firstLine="640"/>
        <w:jc w:val="both"/>
        <w:outlineLvl w:val="3"/>
      </w:pPr>
      <w:r>
        <w:rPr>
          <w:rFonts w:ascii="楷体_GB2312" w:hAnsi="楷体_GB2312" w:eastAsia="楷体_GB2312"/>
          <w:b/>
          <w:sz w:val="32"/>
        </w:rPr>
        <w:t>（一）机关运行经费及公用经费支出情况</w:t>
      </w:r>
    </w:p>
    <w:p w14:paraId="2E497AD2">
      <w:pPr>
        <w:spacing w:line="580" w:lineRule="exact"/>
        <w:ind w:firstLine="640"/>
        <w:jc w:val="both"/>
      </w:pPr>
      <w:r>
        <w:rPr>
          <w:rFonts w:ascii="仿宋_GB2312" w:hAnsi="仿宋_GB2312" w:eastAsia="仿宋_GB2312"/>
          <w:b w:val="0"/>
          <w:sz w:val="32"/>
        </w:rPr>
        <w:t>2024年度巴音郭楞蒙古自治州国土资源勘测规划设计院（事业单位）公用经费支出24.76万元，比上年减少2.75万元，下降10.00%，主要原因是：严格控制公用经费，合理节约办公用品，减少不必要开支。</w:t>
      </w:r>
    </w:p>
    <w:p w14:paraId="4977BFC4">
      <w:pPr>
        <w:spacing w:line="640" w:lineRule="exact"/>
        <w:ind w:firstLine="640"/>
        <w:jc w:val="both"/>
        <w:outlineLvl w:val="3"/>
      </w:pPr>
      <w:r>
        <w:rPr>
          <w:rFonts w:ascii="楷体_GB2312" w:hAnsi="楷体_GB2312" w:eastAsia="楷体_GB2312"/>
          <w:b/>
          <w:sz w:val="32"/>
        </w:rPr>
        <w:t>（二）政府采购情况</w:t>
      </w:r>
    </w:p>
    <w:p w14:paraId="0BD1FD54">
      <w:pPr>
        <w:spacing w:line="580" w:lineRule="exact"/>
        <w:ind w:firstLine="640"/>
        <w:jc w:val="both"/>
      </w:pPr>
      <w:r>
        <w:rPr>
          <w:rFonts w:ascii="仿宋_GB2312" w:hAnsi="仿宋_GB2312" w:eastAsia="仿宋_GB2312"/>
          <w:b w:val="0"/>
          <w:sz w:val="32"/>
        </w:rPr>
        <w:t>2024年度政府采购支出总额118.90万元，其中：政府采购货物支出29.75万元、政府采购工程支出0.00万元、政府采购服务支出89.15万元。</w:t>
      </w:r>
    </w:p>
    <w:p w14:paraId="2F564060">
      <w:pPr>
        <w:spacing w:line="580" w:lineRule="exact"/>
        <w:ind w:firstLine="640"/>
        <w:jc w:val="both"/>
      </w:pPr>
      <w:r>
        <w:rPr>
          <w:rFonts w:ascii="仿宋_GB2312" w:hAnsi="仿宋_GB2312" w:eastAsia="仿宋_GB2312"/>
          <w:b w:val="0"/>
          <w:sz w:val="32"/>
        </w:rPr>
        <w:t>授予中小企业合同金额109.24万元，占政府采购支出总额的91.88%，其中：授予小微企业合同金额2.69万元，占政府采购支出总额的2.26%。</w:t>
      </w:r>
    </w:p>
    <w:p w14:paraId="7E8D8BCE">
      <w:pPr>
        <w:spacing w:line="640" w:lineRule="exact"/>
        <w:ind w:firstLine="640"/>
        <w:jc w:val="both"/>
        <w:outlineLvl w:val="3"/>
      </w:pPr>
      <w:r>
        <w:rPr>
          <w:rFonts w:ascii="楷体_GB2312" w:hAnsi="楷体_GB2312" w:eastAsia="楷体_GB2312"/>
          <w:b/>
          <w:sz w:val="32"/>
        </w:rPr>
        <w:t>（三）国有资产占用情况说明</w:t>
      </w:r>
    </w:p>
    <w:p w14:paraId="10E35484">
      <w:pPr>
        <w:spacing w:line="580" w:lineRule="exact"/>
        <w:ind w:firstLine="640"/>
        <w:jc w:val="both"/>
      </w:pPr>
      <w:r>
        <w:rPr>
          <w:rFonts w:ascii="仿宋_GB2312" w:hAnsi="仿宋_GB2312" w:eastAsia="仿宋_GB2312"/>
          <w:b w:val="0"/>
          <w:sz w:val="32"/>
        </w:rPr>
        <w:t>截至2024年12月31日，房屋2,545.00平方米，价值194.66万元。车辆6辆，价值76.43万元，其中：副部（省）级及以上领导用车0辆、主要负责人用车0辆、机要通信用车0辆、应急保障用车0辆、执法执勤用车0辆、特种专业技术用车0辆、离退休干部服务用车0辆、其他用车6辆，其他用车主要是：一般公务用车、单位业务用车。单价100万元（含）以上设备（不含车辆）6台（套）。</w:t>
      </w:r>
    </w:p>
    <w:p w14:paraId="2A4EEA49">
      <w:pPr>
        <w:spacing w:line="640" w:lineRule="exact"/>
        <w:ind w:firstLine="640"/>
        <w:jc w:val="both"/>
        <w:outlineLvl w:val="2"/>
      </w:pPr>
      <w:r>
        <w:rPr>
          <w:rFonts w:ascii="黑体" w:hAnsi="黑体" w:eastAsia="黑体"/>
          <w:sz w:val="32"/>
        </w:rPr>
        <w:t>十一、预算绩效的情况说明</w:t>
      </w:r>
    </w:p>
    <w:p w14:paraId="21B09486">
      <w:pPr>
        <w:spacing w:line="580" w:lineRule="exact"/>
        <w:ind w:firstLine="640"/>
        <w:jc w:val="both"/>
      </w:pPr>
      <w:r>
        <w:rPr>
          <w:rFonts w:ascii="仿宋_GB2312" w:hAnsi="仿宋_GB2312" w:eastAsia="仿宋_GB2312"/>
          <w:b w:val="0"/>
          <w:sz w:val="32"/>
        </w:rPr>
        <w:t>根据预算绩效管理要求，本单位预算绩效评价项目2个，全年预算数156.10万元，全年执行数156.06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具体附项目支出绩效自评表。</w:t>
      </w:r>
    </w:p>
    <w:p w14:paraId="29B1DF5D">
      <w:r>
        <w:br w:type="page"/>
      </w:r>
    </w:p>
    <w:tbl>
      <w:tblPr>
        <w:tblStyle w:val="9"/>
        <w:tblW w:w="0" w:type="auto"/>
        <w:tblInd w:w="0" w:type="dxa"/>
        <w:tblLayout w:type="fixed"/>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776"/>
        <w:gridCol w:w="696"/>
        <w:gridCol w:w="517"/>
        <w:gridCol w:w="745"/>
      </w:tblGrid>
      <w:tr w14:paraId="1D2E0EDC">
        <w:tblPrEx>
          <w:tblCellMar>
            <w:top w:w="0" w:type="dxa"/>
            <w:left w:w="108" w:type="dxa"/>
            <w:bottom w:w="0" w:type="dxa"/>
            <w:right w:w="108" w:type="dxa"/>
          </w:tblCellMar>
        </w:tblPrEx>
        <w:tc>
          <w:tcPr>
            <w:tcW w:w="9060" w:type="dxa"/>
            <w:gridSpan w:val="14"/>
            <w:vAlign w:val="center"/>
          </w:tcPr>
          <w:p w14:paraId="3A7C3B8F">
            <w:pPr>
              <w:jc w:val="center"/>
            </w:pPr>
            <w:r>
              <w:rPr>
                <w:rFonts w:ascii="宋体" w:hAnsi="宋体" w:eastAsia="宋体"/>
                <w:sz w:val="24"/>
              </w:rPr>
              <w:t>项目支出绩效自评表</w:t>
            </w:r>
          </w:p>
        </w:tc>
      </w:tr>
      <w:tr w14:paraId="7AA0C5D7">
        <w:tblPrEx>
          <w:tblCellMar>
            <w:top w:w="0" w:type="dxa"/>
            <w:left w:w="108" w:type="dxa"/>
            <w:bottom w:w="0" w:type="dxa"/>
            <w:right w:w="108" w:type="dxa"/>
          </w:tblCellMar>
        </w:tblPrEx>
        <w:tc>
          <w:tcPr>
            <w:tcW w:w="9060" w:type="dxa"/>
            <w:gridSpan w:val="14"/>
            <w:vAlign w:val="center"/>
          </w:tcPr>
          <w:p w14:paraId="31CBCC8B">
            <w:pPr>
              <w:jc w:val="center"/>
            </w:pPr>
            <w:r>
              <w:rPr>
                <w:rFonts w:ascii="宋体" w:hAnsi="宋体" w:eastAsia="宋体"/>
                <w:sz w:val="24"/>
              </w:rPr>
              <w:t>(2024年度)</w:t>
            </w:r>
          </w:p>
        </w:tc>
      </w:tr>
      <w:tr w14:paraId="35AA955D">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693C6D">
            <w:pPr>
              <w:jc w:val="center"/>
            </w:pPr>
            <w:r>
              <w:rPr>
                <w:rFonts w:ascii="宋体" w:hAnsi="宋体" w:eastAsia="宋体"/>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9D3179">
            <w:pPr>
              <w:jc w:val="center"/>
            </w:pPr>
            <w:r>
              <w:rPr>
                <w:rFonts w:ascii="宋体" w:hAnsi="宋体" w:eastAsia="宋体"/>
                <w:sz w:val="16"/>
              </w:rPr>
              <w:t>2024年自然资源信息化建设项目</w:t>
            </w:r>
          </w:p>
        </w:tc>
      </w:tr>
      <w:tr w14:paraId="3C30E490">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FE69F3">
            <w:pPr>
              <w:jc w:val="center"/>
            </w:pPr>
            <w:r>
              <w:rPr>
                <w:rFonts w:ascii="宋体" w:hAnsi="宋体" w:eastAsia="宋体"/>
                <w:sz w:val="16"/>
              </w:rPr>
              <w:t>主管部门</w:t>
            </w:r>
          </w:p>
        </w:tc>
        <w:tc>
          <w:tcPr>
            <w:tcW w:w="447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FDE7A6">
            <w:pPr>
              <w:jc w:val="center"/>
            </w:pPr>
            <w:r>
              <w:rPr>
                <w:rFonts w:ascii="宋体" w:hAnsi="宋体" w:eastAsia="宋体"/>
                <w:sz w:val="16"/>
              </w:rPr>
              <w:t>新疆巴州国土资源勘测规划设计院</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D5E6B7F">
            <w:pPr>
              <w:jc w:val="center"/>
            </w:pPr>
            <w:r>
              <w:rPr>
                <w:rFonts w:ascii="宋体" w:hAnsi="宋体" w:eastAsia="宋体"/>
                <w:sz w:val="16"/>
              </w:rPr>
              <w:t>实施单位</w:t>
            </w:r>
          </w:p>
        </w:tc>
        <w:tc>
          <w:tcPr>
            <w:tcW w:w="334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CCBB91">
            <w:pPr>
              <w:jc w:val="center"/>
            </w:pPr>
            <w:r>
              <w:rPr>
                <w:rFonts w:ascii="宋体" w:hAnsi="宋体" w:eastAsia="宋体"/>
                <w:sz w:val="16"/>
              </w:rPr>
              <w:t>新疆巴州国土资源勘测规划设计院</w:t>
            </w:r>
          </w:p>
        </w:tc>
      </w:tr>
      <w:tr w14:paraId="60912C73">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5568A61C"/>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0935E">
            <w:pPr>
              <w:jc w:val="center"/>
            </w:pP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1A476">
            <w:pPr>
              <w:jc w:val="center"/>
            </w:pPr>
            <w:r>
              <w:rPr>
                <w:rFonts w:ascii="宋体" w:hAnsi="宋体" w:eastAsia="宋体"/>
                <w:sz w:val="16"/>
              </w:rPr>
              <w:t>年初预算数</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F69A8">
            <w:pPr>
              <w:jc w:val="center"/>
            </w:pPr>
            <w:r>
              <w:rPr>
                <w:rFonts w:ascii="宋体" w:hAnsi="宋体" w:eastAsia="宋体"/>
                <w:sz w:val="16"/>
              </w:rPr>
              <w:t>全年预算数</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07B17">
            <w:pPr>
              <w:jc w:val="center"/>
            </w:pPr>
            <w:r>
              <w:rPr>
                <w:rFonts w:ascii="宋体" w:hAnsi="宋体" w:eastAsia="宋体"/>
                <w:sz w:val="16"/>
              </w:rPr>
              <w:t>全年执行数</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C7716">
            <w:pPr>
              <w:jc w:val="center"/>
            </w:pPr>
            <w:r>
              <w:rPr>
                <w:rFonts w:ascii="宋体" w:hAnsi="宋体" w:eastAsia="宋体"/>
                <w:sz w:val="16"/>
              </w:rPr>
              <w:t>分值权重</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4A9DD">
            <w:pPr>
              <w:jc w:val="center"/>
            </w:pPr>
            <w:r>
              <w:rPr>
                <w:rFonts w:ascii="宋体" w:hAnsi="宋体" w:eastAsia="宋体"/>
                <w:sz w:val="16"/>
              </w:rPr>
              <w:t>执行率</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75EC8FFF">
            <w:pPr>
              <w:jc w:val="center"/>
            </w:pPr>
            <w:r>
              <w:rPr>
                <w:rFonts w:ascii="宋体" w:hAnsi="宋体" w:eastAsia="宋体"/>
                <w:sz w:val="16"/>
              </w:rPr>
              <w:t>得分</w:t>
            </w:r>
          </w:p>
        </w:tc>
      </w:tr>
      <w:tr w14:paraId="385976B1">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EF88D">
            <w:pPr>
              <w:jc w:val="center"/>
            </w:pPr>
            <w:r>
              <w:rPr>
                <w:rFonts w:ascii="宋体" w:hAnsi="宋体" w:eastAsia="宋体"/>
                <w:sz w:val="16"/>
              </w:rPr>
              <w:t>项目资金 （万元）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05FEB">
            <w:pPr>
              <w:jc w:val="center"/>
            </w:pPr>
            <w:r>
              <w:rPr>
                <w:rFonts w:ascii="宋体" w:hAnsi="宋体" w:eastAsia="宋体"/>
                <w:sz w:val="16"/>
              </w:rPr>
              <w:t>年度资金总额</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595DD">
            <w:pPr>
              <w:jc w:val="center"/>
            </w:pPr>
            <w:r>
              <w:rPr>
                <w:rFonts w:ascii="宋体" w:hAnsi="宋体" w:eastAsia="宋体"/>
                <w:sz w:val="16"/>
              </w:rPr>
              <w:t>566.90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55EB3">
            <w:pPr>
              <w:jc w:val="center"/>
            </w:pPr>
            <w:r>
              <w:rPr>
                <w:rFonts w:ascii="宋体" w:hAnsi="宋体" w:eastAsia="宋体"/>
                <w:sz w:val="16"/>
              </w:rPr>
              <w:t>142.60</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E3F6A">
            <w:pPr>
              <w:jc w:val="center"/>
            </w:pPr>
            <w:r>
              <w:rPr>
                <w:rFonts w:ascii="宋体" w:hAnsi="宋体" w:eastAsia="宋体"/>
                <w:sz w:val="16"/>
              </w:rPr>
              <w:t>142.56</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8F78D">
            <w:pPr>
              <w:jc w:val="center"/>
            </w:pPr>
            <w:r>
              <w:rPr>
                <w:rFonts w:ascii="宋体" w:hAnsi="宋体" w:eastAsia="宋体"/>
                <w:sz w:val="16"/>
              </w:rPr>
              <w:t>10</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A2BFD">
            <w:pPr>
              <w:jc w:val="center"/>
            </w:pPr>
            <w:r>
              <w:rPr>
                <w:rFonts w:ascii="宋体" w:hAnsi="宋体" w:eastAsia="宋体"/>
                <w:sz w:val="16"/>
              </w:rPr>
              <w:t>99.97%</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1712C841">
            <w:pPr>
              <w:jc w:val="center"/>
            </w:pPr>
            <w:r>
              <w:rPr>
                <w:rFonts w:ascii="宋体" w:hAnsi="宋体" w:eastAsia="宋体"/>
                <w:sz w:val="16"/>
              </w:rPr>
              <w:t>10.00</w:t>
            </w:r>
          </w:p>
        </w:tc>
      </w:tr>
      <w:tr w14:paraId="1AD451FB">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47E081A"/>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38C19">
            <w:pPr>
              <w:jc w:val="center"/>
            </w:pPr>
            <w:r>
              <w:rPr>
                <w:rFonts w:ascii="宋体" w:hAnsi="宋体" w:eastAsia="宋体"/>
                <w:sz w:val="16"/>
              </w:rPr>
              <w:t>其中：当年财政拨款</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BFCAF">
            <w:pPr>
              <w:jc w:val="center"/>
            </w:pPr>
            <w:r>
              <w:rPr>
                <w:rFonts w:ascii="宋体" w:hAnsi="宋体" w:eastAsia="宋体"/>
                <w:sz w:val="16"/>
              </w:rPr>
              <w:t>0.00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D60CD">
            <w:pPr>
              <w:jc w:val="center"/>
            </w:pPr>
            <w:r>
              <w:rPr>
                <w:rFonts w:ascii="宋体" w:hAnsi="宋体" w:eastAsia="宋体"/>
                <w:sz w:val="16"/>
              </w:rPr>
              <w:t>0.00</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B28E2">
            <w:pPr>
              <w:jc w:val="center"/>
            </w:pPr>
            <w:r>
              <w:rPr>
                <w:rFonts w:ascii="宋体" w:hAnsi="宋体" w:eastAsia="宋体"/>
                <w:sz w:val="16"/>
              </w:rPr>
              <w:t>0.00</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C5B4A">
            <w:pPr>
              <w:jc w:val="center"/>
            </w:pPr>
            <w:r>
              <w:rPr>
                <w:rFonts w:ascii="宋体" w:hAnsi="宋体" w:eastAsia="宋体"/>
                <w:sz w:val="16"/>
              </w:rPr>
              <w:t>-</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E051">
            <w:pPr>
              <w:jc w:val="center"/>
            </w:pPr>
            <w:r>
              <w:rPr>
                <w:rFonts w:ascii="宋体" w:hAnsi="宋体" w:eastAsia="宋体"/>
                <w:sz w:val="16"/>
              </w:rPr>
              <w:t>-</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2FBAA3E3">
            <w:pPr>
              <w:jc w:val="center"/>
            </w:pPr>
            <w:r>
              <w:rPr>
                <w:rFonts w:ascii="宋体" w:hAnsi="宋体" w:eastAsia="宋体"/>
                <w:sz w:val="16"/>
              </w:rPr>
              <w:t>-</w:t>
            </w:r>
          </w:p>
        </w:tc>
      </w:tr>
      <w:tr w14:paraId="44FC51FE">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8DD5965"/>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C9F77">
            <w:pPr>
              <w:jc w:val="center"/>
            </w:pPr>
            <w:r>
              <w:rPr>
                <w:rFonts w:ascii="宋体" w:hAnsi="宋体" w:eastAsia="宋体"/>
                <w:sz w:val="16"/>
              </w:rPr>
              <w:t>其他资金</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5FFBE">
            <w:pPr>
              <w:jc w:val="center"/>
            </w:pPr>
            <w:r>
              <w:rPr>
                <w:rFonts w:ascii="宋体" w:hAnsi="宋体" w:eastAsia="宋体"/>
                <w:sz w:val="16"/>
              </w:rPr>
              <w:t>566.90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32AC0">
            <w:pPr>
              <w:jc w:val="center"/>
            </w:pPr>
            <w:r>
              <w:rPr>
                <w:rFonts w:ascii="宋体" w:hAnsi="宋体" w:eastAsia="宋体"/>
                <w:sz w:val="16"/>
              </w:rPr>
              <w:t>142.60</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74948">
            <w:pPr>
              <w:jc w:val="center"/>
            </w:pPr>
            <w:r>
              <w:rPr>
                <w:rFonts w:ascii="宋体" w:hAnsi="宋体" w:eastAsia="宋体"/>
                <w:sz w:val="16"/>
              </w:rPr>
              <w:t>142.56</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72F0D">
            <w:pPr>
              <w:jc w:val="center"/>
            </w:pPr>
            <w:r>
              <w:rPr>
                <w:rFonts w:ascii="宋体" w:hAnsi="宋体" w:eastAsia="宋体"/>
                <w:sz w:val="16"/>
              </w:rPr>
              <w:t>-</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8FBF9">
            <w:pPr>
              <w:jc w:val="center"/>
            </w:pPr>
            <w:r>
              <w:rPr>
                <w:rFonts w:ascii="宋体" w:hAnsi="宋体" w:eastAsia="宋体"/>
                <w:sz w:val="16"/>
              </w:rPr>
              <w:t>-</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2248FD12">
            <w:pPr>
              <w:jc w:val="center"/>
            </w:pPr>
            <w:r>
              <w:rPr>
                <w:rFonts w:ascii="宋体" w:hAnsi="宋体" w:eastAsia="宋体"/>
                <w:sz w:val="16"/>
              </w:rPr>
              <w:t>-</w:t>
            </w:r>
          </w:p>
        </w:tc>
      </w:tr>
      <w:tr w14:paraId="5BA19E40">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0AC05">
            <w:pPr>
              <w:jc w:val="center"/>
            </w:pPr>
            <w:r>
              <w:rPr>
                <w:rFonts w:ascii="宋体" w:hAnsi="宋体" w:eastAsia="宋体"/>
                <w:sz w:val="16"/>
              </w:rPr>
              <w:t>年度总体目标</w:t>
            </w:r>
          </w:p>
        </w:tc>
        <w:tc>
          <w:tcPr>
            <w:tcW w:w="447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BC3389">
            <w:pPr>
              <w:jc w:val="center"/>
            </w:pPr>
            <w:r>
              <w:rPr>
                <w:rFonts w:ascii="宋体" w:hAnsi="宋体" w:eastAsia="宋体"/>
                <w:sz w:val="16"/>
              </w:rPr>
              <w:t>总体目标</w:t>
            </w:r>
          </w:p>
        </w:tc>
        <w:tc>
          <w:tcPr>
            <w:tcW w:w="396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FA9F4E">
            <w:pPr>
              <w:jc w:val="center"/>
            </w:pPr>
            <w:r>
              <w:rPr>
                <w:rFonts w:ascii="宋体" w:hAnsi="宋体" w:eastAsia="宋体"/>
                <w:sz w:val="16"/>
              </w:rPr>
              <w:t>总体目标完成情况</w:t>
            </w:r>
          </w:p>
        </w:tc>
      </w:tr>
      <w:tr w14:paraId="634904E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19F7031"/>
        </w:tc>
        <w:tc>
          <w:tcPr>
            <w:tcW w:w="447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F547D">
            <w:pPr>
              <w:jc w:val="both"/>
            </w:pPr>
            <w:r>
              <w:rPr>
                <w:rFonts w:ascii="宋体" w:hAnsi="宋体" w:eastAsia="宋体"/>
                <w:sz w:val="16"/>
              </w:rPr>
              <w:t>为完成自然资源信息化建设（一期），完成相关机房建设、数据迁移、业务应用系统部署等，建成巴州自然资源国土空间基础信息平台，为将来形成统一规范、多级联动的自然资源政务服务系统打下坚实的基础，保证各类业务数据的安全性和完整性。1、推动自然资源系统信息化发展建设，为巴州地理信息基础数据(含土地、规划、测绘、确权等)提供硬件、软件支撑购置设备12台；2、系统测评2次，保障系统安全性，数据不外泄。</w:t>
            </w:r>
          </w:p>
        </w:tc>
        <w:tc>
          <w:tcPr>
            <w:tcW w:w="396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AF419F">
            <w:pPr>
              <w:jc w:val="both"/>
            </w:pPr>
            <w:r>
              <w:rPr>
                <w:rFonts w:ascii="宋体" w:hAnsi="宋体" w:eastAsia="宋体"/>
                <w:sz w:val="16"/>
              </w:rPr>
              <w:t>完成自然资源信息化建设（一期），完成相关机房建设、数据迁移、业务应用系统部署等，建成巴州自然资源国土空间基础信息平台，为将来形成统一规范、多级联动的自然资源政务服务系统打下坚实的基础，保证各类业务数据的安全性和完整性。1、完成购置设备8台、运维服务、技术服务、脱密软件，支出126.1万元；2、系统测评2次，支出16.5万元，保障系统安全性，数据不外泄。</w:t>
            </w:r>
          </w:p>
        </w:tc>
      </w:tr>
      <w:tr w14:paraId="7222B182">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70BBE50B"/>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8FB3AF6">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D59DD6B">
            <w:pPr>
              <w:jc w:val="center"/>
            </w:pPr>
            <w:r>
              <w:rPr>
                <w:rFonts w:ascii="宋体" w:hAnsi="宋体" w:eastAsia="宋体"/>
                <w:sz w:val="16"/>
              </w:rPr>
              <w:t>二级指标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7A7702D">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02F78C">
            <w:pPr>
              <w:jc w:val="center"/>
            </w:pPr>
            <w:r>
              <w:rPr>
                <w:rFonts w:ascii="宋体" w:hAnsi="宋体" w:eastAsia="宋体"/>
                <w:sz w:val="16"/>
              </w:rPr>
              <w:t>指标值</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10E073F">
            <w:pPr>
              <w:jc w:val="center"/>
            </w:pPr>
            <w:r>
              <w:rPr>
                <w:rFonts w:ascii="宋体" w:hAnsi="宋体" w:eastAsia="宋体"/>
                <w:sz w:val="16"/>
              </w:rPr>
              <w:t>指标值设定依据</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F3099DD">
            <w:pPr>
              <w:jc w:val="center"/>
            </w:pPr>
            <w:r>
              <w:rPr>
                <w:rFonts w:ascii="宋体" w:hAnsi="宋体" w:eastAsia="宋体"/>
                <w:sz w:val="16"/>
              </w:rPr>
              <w:t>上年完成值</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0B217D1C">
            <w:pPr>
              <w:jc w:val="center"/>
            </w:pPr>
            <w:r>
              <w:rPr>
                <w:rFonts w:ascii="宋体" w:hAnsi="宋体" w:eastAsia="宋体"/>
                <w:sz w:val="16"/>
              </w:rPr>
              <w:t>指标分值权重</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7B8DD90">
            <w:pPr>
              <w:jc w:val="center"/>
            </w:pPr>
            <w:r>
              <w:rPr>
                <w:rFonts w:ascii="宋体" w:hAnsi="宋体" w:eastAsia="宋体"/>
                <w:sz w:val="16"/>
              </w:rPr>
              <w:t>指标赋分规则</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3ACE5D5">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5D4A37">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A62CF3">
            <w:pPr>
              <w:jc w:val="center"/>
            </w:pPr>
            <w:r>
              <w:rPr>
                <w:rFonts w:ascii="宋体" w:hAnsi="宋体" w:eastAsia="宋体"/>
                <w:sz w:val="16"/>
              </w:rPr>
              <w:t>完成率</w:t>
            </w:r>
          </w:p>
        </w:tc>
        <w:tc>
          <w:tcPr>
            <w:tcW w:w="517" w:type="dxa"/>
            <w:tcBorders>
              <w:top w:val="single" w:color="auto" w:sz="10" w:space="0"/>
              <w:left w:val="single" w:color="auto" w:sz="10" w:space="0"/>
              <w:bottom w:val="single" w:color="auto" w:sz="10" w:space="0"/>
              <w:right w:val="single" w:color="auto" w:sz="10" w:space="0"/>
              <w:insideV w:val="single" w:sz="10" w:space="0"/>
            </w:tcBorders>
            <w:vAlign w:val="center"/>
          </w:tcPr>
          <w:p w14:paraId="48F04141">
            <w:pPr>
              <w:jc w:val="center"/>
            </w:pPr>
            <w:r>
              <w:rPr>
                <w:rFonts w:ascii="宋体" w:hAnsi="宋体" w:eastAsia="宋体"/>
                <w:sz w:val="16"/>
              </w:rPr>
              <w:t>指标得分</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5BFD4C68">
            <w:pPr>
              <w:jc w:val="center"/>
            </w:pPr>
            <w:r>
              <w:rPr>
                <w:rFonts w:ascii="宋体" w:hAnsi="宋体" w:eastAsia="宋体"/>
                <w:sz w:val="16"/>
              </w:rPr>
              <w:t>偏差原因分析及改进措施</w:t>
            </w:r>
          </w:p>
        </w:tc>
      </w:tr>
      <w:tr w14:paraId="5E2C90B5">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557F4">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45E16">
            <w:pPr>
              <w:jc w:val="center"/>
            </w:pPr>
            <w:r>
              <w:rPr>
                <w:rFonts w:ascii="宋体" w:hAnsi="宋体" w:eastAsia="宋体"/>
                <w:sz w:val="16"/>
              </w:rPr>
              <w:t>产出指标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5A37A">
            <w:pPr>
              <w:jc w:val="center"/>
            </w:pPr>
            <w:r>
              <w:rPr>
                <w:rFonts w:ascii="宋体" w:hAnsi="宋体" w:eastAsia="宋体"/>
                <w:sz w:val="16"/>
              </w:rPr>
              <w:t>数量指标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0A5F9AE">
            <w:pPr>
              <w:jc w:val="center"/>
            </w:pPr>
            <w:r>
              <w:rPr>
                <w:rFonts w:ascii="宋体" w:hAnsi="宋体" w:eastAsia="宋体"/>
                <w:sz w:val="16"/>
              </w:rPr>
              <w:t>购置设备数量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60BCEF">
            <w:pPr>
              <w:jc w:val="center"/>
            </w:pPr>
            <w:r>
              <w:rPr>
                <w:rFonts w:ascii="宋体" w:hAnsi="宋体" w:eastAsia="宋体"/>
                <w:sz w:val="16"/>
              </w:rPr>
              <w:t>&gt;=12台</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0D1AB4D">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103E939">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05A9E109">
            <w:pPr>
              <w:jc w:val="center"/>
            </w:pPr>
            <w:r>
              <w:rPr>
                <w:rFonts w:ascii="宋体" w:hAnsi="宋体" w:eastAsia="宋体"/>
                <w:sz w:val="16"/>
              </w:rPr>
              <w:t>7</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C75FCA9">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757E7C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36564F7">
            <w:pPr>
              <w:jc w:val="center"/>
            </w:pPr>
            <w:r>
              <w:rPr>
                <w:rFonts w:ascii="宋体" w:hAnsi="宋体" w:eastAsia="宋体"/>
                <w:sz w:val="16"/>
              </w:rPr>
              <w:t>=8台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795BCA">
            <w:pPr>
              <w:jc w:val="center"/>
            </w:pPr>
            <w:r>
              <w:rPr>
                <w:rFonts w:ascii="宋体" w:hAnsi="宋体" w:eastAsia="宋体"/>
                <w:sz w:val="16"/>
              </w:rPr>
              <w:t>66.67%</w:t>
            </w:r>
          </w:p>
        </w:tc>
        <w:tc>
          <w:tcPr>
            <w:tcW w:w="517" w:type="dxa"/>
            <w:tcBorders>
              <w:top w:val="single" w:color="auto" w:sz="10" w:space="0"/>
              <w:left w:val="single" w:color="auto" w:sz="10" w:space="0"/>
              <w:bottom w:val="single" w:color="auto" w:sz="10" w:space="0"/>
              <w:right w:val="single" w:color="auto" w:sz="10" w:space="0"/>
              <w:insideV w:val="single" w:sz="10" w:space="0"/>
            </w:tcBorders>
            <w:vAlign w:val="center"/>
          </w:tcPr>
          <w:p w14:paraId="46A1FE20">
            <w:pPr>
              <w:jc w:val="center"/>
            </w:pPr>
            <w:r>
              <w:rPr>
                <w:rFonts w:ascii="宋体" w:hAnsi="宋体" w:eastAsia="宋体"/>
                <w:sz w:val="16"/>
              </w:rPr>
              <w:t>1.17</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52B961EC">
            <w:pPr>
              <w:jc w:val="center"/>
            </w:pPr>
            <w:r>
              <w:rPr>
                <w:rFonts w:ascii="宋体" w:hAnsi="宋体" w:eastAsia="宋体"/>
                <w:sz w:val="16"/>
              </w:rPr>
              <w:t>偏差原因：因项目需要且设备利用率达标，暂且只需要8台设备，后续其他设备需更替时再换；改进措施：预算编制做到精准估算，今后减少此类问题发生。</w:t>
            </w:r>
          </w:p>
        </w:tc>
      </w:tr>
      <w:tr w14:paraId="3045CB54">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1133C9C"/>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4BFF174"/>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C11AFEB"/>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7FE78DB">
            <w:pPr>
              <w:jc w:val="center"/>
            </w:pPr>
            <w:r>
              <w:rPr>
                <w:rFonts w:ascii="宋体" w:hAnsi="宋体" w:eastAsia="宋体"/>
                <w:sz w:val="16"/>
              </w:rPr>
              <w:t>系统测评数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9EA09D2">
            <w:pPr>
              <w:jc w:val="center"/>
            </w:pPr>
            <w:r>
              <w:rPr>
                <w:rFonts w:ascii="宋体" w:hAnsi="宋体" w:eastAsia="宋体"/>
                <w:sz w:val="16"/>
              </w:rPr>
              <w:t>&gt;=2个</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B401803">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A73E295">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7BA1CEA">
            <w:pPr>
              <w:jc w:val="center"/>
            </w:pPr>
            <w:r>
              <w:rPr>
                <w:rFonts w:ascii="宋体" w:hAnsi="宋体" w:eastAsia="宋体"/>
                <w:sz w:val="16"/>
              </w:rPr>
              <w:t>6</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D9123C2">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737D9A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536934">
            <w:pPr>
              <w:jc w:val="center"/>
            </w:pPr>
            <w:r>
              <w:rPr>
                <w:rFonts w:ascii="宋体" w:hAnsi="宋体" w:eastAsia="宋体"/>
                <w:sz w:val="16"/>
              </w:rPr>
              <w:t>=2个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8EB0C0">
            <w:pPr>
              <w:jc w:val="center"/>
            </w:pPr>
            <w:r>
              <w:rPr>
                <w:rFonts w:ascii="宋体" w:hAnsi="宋体" w:eastAsia="宋体"/>
                <w:sz w:val="16"/>
              </w:rPr>
              <w:t>100%</w:t>
            </w:r>
          </w:p>
        </w:tc>
        <w:tc>
          <w:tcPr>
            <w:tcW w:w="517" w:type="dxa"/>
            <w:tcBorders>
              <w:top w:val="single" w:color="auto" w:sz="10" w:space="0"/>
              <w:left w:val="single" w:color="auto" w:sz="10" w:space="0"/>
              <w:bottom w:val="single" w:color="auto" w:sz="10" w:space="0"/>
              <w:right w:val="single" w:color="auto" w:sz="10" w:space="0"/>
              <w:insideV w:val="single" w:sz="10" w:space="0"/>
            </w:tcBorders>
            <w:vAlign w:val="center"/>
          </w:tcPr>
          <w:p w14:paraId="7A3FC318">
            <w:pPr>
              <w:jc w:val="center"/>
            </w:pPr>
            <w:r>
              <w:rPr>
                <w:rFonts w:ascii="宋体" w:hAnsi="宋体" w:eastAsia="宋体"/>
                <w:sz w:val="16"/>
              </w:rPr>
              <w:t>6</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52B5D6F1">
            <w:pPr>
              <w:jc w:val="center"/>
            </w:pPr>
          </w:p>
        </w:tc>
      </w:tr>
      <w:tr w14:paraId="3E45A53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5494629"/>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75F61F6"/>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7B678">
            <w:pPr>
              <w:jc w:val="center"/>
            </w:pPr>
            <w:r>
              <w:rPr>
                <w:rFonts w:ascii="宋体" w:hAnsi="宋体" w:eastAsia="宋体"/>
                <w:sz w:val="16"/>
              </w:rPr>
              <w:t>质量指标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05E8122">
            <w:pPr>
              <w:jc w:val="center"/>
            </w:pPr>
            <w:r>
              <w:rPr>
                <w:rFonts w:ascii="宋体" w:hAnsi="宋体" w:eastAsia="宋体"/>
                <w:sz w:val="16"/>
              </w:rPr>
              <w:t>设备验收合格率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B3B91EE">
            <w:pPr>
              <w:jc w:val="center"/>
            </w:pPr>
            <w:r>
              <w:rPr>
                <w:rFonts w:ascii="宋体" w:hAnsi="宋体" w:eastAsia="宋体"/>
                <w:sz w:val="16"/>
              </w:rPr>
              <w:t>&gt;=95%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6E621BC">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B228C3D">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14E08E4">
            <w:pPr>
              <w:jc w:val="center"/>
            </w:pPr>
            <w:r>
              <w:rPr>
                <w:rFonts w:ascii="宋体" w:hAnsi="宋体" w:eastAsia="宋体"/>
                <w:sz w:val="16"/>
              </w:rPr>
              <w:t>7</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807C8C3">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7FF4E4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50095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89FA80">
            <w:pPr>
              <w:jc w:val="center"/>
            </w:pPr>
            <w:r>
              <w:rPr>
                <w:rFonts w:ascii="宋体" w:hAnsi="宋体" w:eastAsia="宋体"/>
                <w:sz w:val="16"/>
              </w:rPr>
              <w:t>100%</w:t>
            </w:r>
          </w:p>
        </w:tc>
        <w:tc>
          <w:tcPr>
            <w:tcW w:w="517" w:type="dxa"/>
            <w:tcBorders>
              <w:top w:val="single" w:color="auto" w:sz="10" w:space="0"/>
              <w:left w:val="single" w:color="auto" w:sz="10" w:space="0"/>
              <w:bottom w:val="single" w:color="auto" w:sz="10" w:space="0"/>
              <w:right w:val="single" w:color="auto" w:sz="10" w:space="0"/>
              <w:insideV w:val="single" w:sz="10" w:space="0"/>
            </w:tcBorders>
            <w:vAlign w:val="center"/>
          </w:tcPr>
          <w:p w14:paraId="48A227A8">
            <w:pPr>
              <w:jc w:val="center"/>
            </w:pPr>
            <w:r>
              <w:rPr>
                <w:rFonts w:ascii="宋体" w:hAnsi="宋体" w:eastAsia="宋体"/>
                <w:sz w:val="16"/>
              </w:rPr>
              <w:t>7</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4879195B">
            <w:pPr>
              <w:jc w:val="center"/>
            </w:pPr>
          </w:p>
        </w:tc>
      </w:tr>
      <w:tr w14:paraId="1F9B14C4">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36CC63A"/>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AB30F6E"/>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7C184D3"/>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F42BA41">
            <w:pPr>
              <w:jc w:val="center"/>
            </w:pPr>
            <w:r>
              <w:rPr>
                <w:rFonts w:ascii="宋体" w:hAnsi="宋体" w:eastAsia="宋体"/>
                <w:sz w:val="16"/>
              </w:rPr>
              <w:t>设备质量合格率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921A94B">
            <w:pPr>
              <w:jc w:val="center"/>
            </w:pPr>
            <w:r>
              <w:rPr>
                <w:rFonts w:ascii="宋体" w:hAnsi="宋体" w:eastAsia="宋体"/>
                <w:sz w:val="16"/>
              </w:rPr>
              <w:t>&gt;=95%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7C24DDD">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C2360A8">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3647E2D">
            <w:pPr>
              <w:jc w:val="center"/>
            </w:pPr>
            <w:r>
              <w:rPr>
                <w:rFonts w:ascii="宋体" w:hAnsi="宋体" w:eastAsia="宋体"/>
                <w:sz w:val="16"/>
              </w:rPr>
              <w:t>7</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311E4D5">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EB0E1D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5AB19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6474B2">
            <w:pPr>
              <w:jc w:val="center"/>
            </w:pPr>
            <w:r>
              <w:rPr>
                <w:rFonts w:ascii="宋体" w:hAnsi="宋体" w:eastAsia="宋体"/>
                <w:sz w:val="16"/>
              </w:rPr>
              <w:t>100%</w:t>
            </w:r>
          </w:p>
        </w:tc>
        <w:tc>
          <w:tcPr>
            <w:tcW w:w="517" w:type="dxa"/>
            <w:tcBorders>
              <w:top w:val="single" w:color="auto" w:sz="10" w:space="0"/>
              <w:left w:val="single" w:color="auto" w:sz="10" w:space="0"/>
              <w:bottom w:val="single" w:color="auto" w:sz="10" w:space="0"/>
              <w:right w:val="single" w:color="auto" w:sz="10" w:space="0"/>
              <w:insideV w:val="single" w:sz="10" w:space="0"/>
            </w:tcBorders>
            <w:vAlign w:val="center"/>
          </w:tcPr>
          <w:p w14:paraId="72CBE02D">
            <w:pPr>
              <w:jc w:val="center"/>
            </w:pPr>
            <w:r>
              <w:rPr>
                <w:rFonts w:ascii="宋体" w:hAnsi="宋体" w:eastAsia="宋体"/>
                <w:sz w:val="16"/>
              </w:rPr>
              <w:t>7</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40ADD61C">
            <w:pPr>
              <w:jc w:val="center"/>
            </w:pPr>
          </w:p>
        </w:tc>
      </w:tr>
      <w:tr w14:paraId="4C6B7D15">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AD8EF99"/>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B64FA9B"/>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A4F8EFF"/>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BE157AB">
            <w:pPr>
              <w:jc w:val="center"/>
            </w:pPr>
            <w:r>
              <w:rPr>
                <w:rFonts w:ascii="宋体" w:hAnsi="宋体" w:eastAsia="宋体"/>
                <w:sz w:val="16"/>
              </w:rPr>
              <w:t>设备政府采购率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E0542B">
            <w:pPr>
              <w:jc w:val="center"/>
            </w:pPr>
            <w:r>
              <w:rPr>
                <w:rFonts w:ascii="宋体" w:hAnsi="宋体" w:eastAsia="宋体"/>
                <w:sz w:val="16"/>
              </w:rPr>
              <w:t>&gt;=90%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1BC455C">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97BF9C1">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191364C">
            <w:pPr>
              <w:jc w:val="center"/>
            </w:pPr>
            <w:r>
              <w:rPr>
                <w:rFonts w:ascii="宋体" w:hAnsi="宋体" w:eastAsia="宋体"/>
                <w:sz w:val="16"/>
              </w:rPr>
              <w:t>7</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E595BB8">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3F1FD3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8559CB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7C250B">
            <w:pPr>
              <w:jc w:val="center"/>
            </w:pPr>
            <w:r>
              <w:rPr>
                <w:rFonts w:ascii="宋体" w:hAnsi="宋体" w:eastAsia="宋体"/>
                <w:sz w:val="16"/>
              </w:rPr>
              <w:t>100%</w:t>
            </w:r>
          </w:p>
        </w:tc>
        <w:tc>
          <w:tcPr>
            <w:tcW w:w="517" w:type="dxa"/>
            <w:tcBorders>
              <w:top w:val="single" w:color="auto" w:sz="10" w:space="0"/>
              <w:left w:val="single" w:color="auto" w:sz="10" w:space="0"/>
              <w:bottom w:val="single" w:color="auto" w:sz="10" w:space="0"/>
              <w:right w:val="single" w:color="auto" w:sz="10" w:space="0"/>
              <w:insideV w:val="single" w:sz="10" w:space="0"/>
            </w:tcBorders>
            <w:vAlign w:val="center"/>
          </w:tcPr>
          <w:p w14:paraId="1E8E5D16">
            <w:pPr>
              <w:jc w:val="center"/>
            </w:pPr>
            <w:r>
              <w:rPr>
                <w:rFonts w:ascii="宋体" w:hAnsi="宋体" w:eastAsia="宋体"/>
                <w:sz w:val="16"/>
              </w:rPr>
              <w:t>7</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149B09A7">
            <w:pPr>
              <w:jc w:val="center"/>
            </w:pPr>
          </w:p>
        </w:tc>
      </w:tr>
      <w:tr w14:paraId="50E8CAFE">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1764E77"/>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EAB0F90"/>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A90BBC9">
            <w:pPr>
              <w:jc w:val="center"/>
            </w:pPr>
            <w:r>
              <w:rPr>
                <w:rFonts w:ascii="宋体" w:hAnsi="宋体" w:eastAsia="宋体"/>
                <w:sz w:val="16"/>
              </w:rPr>
              <w:t>时效指标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D4D1ADD">
            <w:pPr>
              <w:jc w:val="center"/>
            </w:pPr>
            <w:r>
              <w:rPr>
                <w:rFonts w:ascii="宋体" w:hAnsi="宋体" w:eastAsia="宋体"/>
                <w:sz w:val="16"/>
              </w:rPr>
              <w:t>设备采购完成时间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4A3C8E1">
            <w:pPr>
              <w:jc w:val="center"/>
            </w:pPr>
            <w:r>
              <w:rPr>
                <w:rFonts w:ascii="宋体" w:hAnsi="宋体" w:eastAsia="宋体"/>
                <w:sz w:val="16"/>
              </w:rPr>
              <w:t>2024年11月30日</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1771EBD">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1C6909A">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35F074B">
            <w:pPr>
              <w:jc w:val="center"/>
            </w:pPr>
            <w:r>
              <w:rPr>
                <w:rFonts w:ascii="宋体" w:hAnsi="宋体" w:eastAsia="宋体"/>
                <w:sz w:val="16"/>
              </w:rPr>
              <w:t>6</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F002FB5">
            <w:pPr>
              <w:jc w:val="center"/>
            </w:pPr>
            <w:r>
              <w:rPr>
                <w:rFonts w:ascii="宋体" w:hAnsi="宋体" w:eastAsia="宋体"/>
                <w:sz w:val="16"/>
              </w:rPr>
              <w:t>直接赋分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7F97A5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FD116E">
            <w:pPr>
              <w:jc w:val="center"/>
            </w:pPr>
            <w:r>
              <w:rPr>
                <w:rFonts w:ascii="宋体" w:hAnsi="宋体" w:eastAsia="宋体"/>
                <w:sz w:val="16"/>
              </w:rPr>
              <w:t>=2024年11月30日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B6B9EF">
            <w:pPr>
              <w:jc w:val="center"/>
            </w:pPr>
            <w:r>
              <w:rPr>
                <w:rFonts w:ascii="宋体" w:hAnsi="宋体" w:eastAsia="宋体"/>
                <w:sz w:val="16"/>
              </w:rPr>
              <w:t>100%</w:t>
            </w:r>
          </w:p>
        </w:tc>
        <w:tc>
          <w:tcPr>
            <w:tcW w:w="517" w:type="dxa"/>
            <w:tcBorders>
              <w:top w:val="single" w:color="auto" w:sz="10" w:space="0"/>
              <w:left w:val="single" w:color="auto" w:sz="10" w:space="0"/>
              <w:bottom w:val="single" w:color="auto" w:sz="10" w:space="0"/>
              <w:right w:val="single" w:color="auto" w:sz="10" w:space="0"/>
              <w:insideV w:val="single" w:sz="10" w:space="0"/>
            </w:tcBorders>
            <w:vAlign w:val="center"/>
          </w:tcPr>
          <w:p w14:paraId="77C45E5D">
            <w:pPr>
              <w:jc w:val="center"/>
            </w:pPr>
            <w:r>
              <w:rPr>
                <w:rFonts w:ascii="宋体" w:hAnsi="宋体" w:eastAsia="宋体"/>
                <w:sz w:val="16"/>
              </w:rPr>
              <w:t>6</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517B1BA2">
            <w:pPr>
              <w:jc w:val="center"/>
            </w:pPr>
          </w:p>
        </w:tc>
      </w:tr>
      <w:tr w14:paraId="421CDE44">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005FFA4"/>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250E8">
            <w:pPr>
              <w:jc w:val="center"/>
            </w:pPr>
            <w:r>
              <w:rPr>
                <w:rFonts w:ascii="宋体" w:hAnsi="宋体" w:eastAsia="宋体"/>
                <w:sz w:val="16"/>
              </w:rPr>
              <w:t>成本指标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7EE37">
            <w:pPr>
              <w:jc w:val="center"/>
            </w:pPr>
            <w:r>
              <w:rPr>
                <w:rFonts w:ascii="宋体" w:hAnsi="宋体" w:eastAsia="宋体"/>
                <w:sz w:val="16"/>
              </w:rPr>
              <w:t>经济成本指标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CEADF70">
            <w:pPr>
              <w:jc w:val="center"/>
            </w:pPr>
            <w:r>
              <w:rPr>
                <w:rFonts w:ascii="宋体" w:hAnsi="宋体" w:eastAsia="宋体"/>
                <w:sz w:val="16"/>
              </w:rPr>
              <w:t>购置设备成本控制数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195BD2">
            <w:pPr>
              <w:jc w:val="center"/>
            </w:pPr>
            <w:r>
              <w:rPr>
                <w:rFonts w:ascii="宋体" w:hAnsi="宋体" w:eastAsia="宋体"/>
                <w:sz w:val="16"/>
              </w:rPr>
              <w:t>&lt;=126.1万元</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9946218">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B369008">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6782FC6">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F4DA9F1">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4840920">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6FC072">
            <w:pPr>
              <w:jc w:val="center"/>
            </w:pPr>
            <w:r>
              <w:rPr>
                <w:rFonts w:ascii="宋体" w:hAnsi="宋体" w:eastAsia="宋体"/>
                <w:sz w:val="16"/>
              </w:rPr>
              <w:t>=126.06万元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196C75">
            <w:pPr>
              <w:jc w:val="center"/>
            </w:pPr>
            <w:r>
              <w:rPr>
                <w:rFonts w:ascii="宋体" w:hAnsi="宋体" w:eastAsia="宋体"/>
                <w:sz w:val="16"/>
              </w:rPr>
              <w:t>99.97%</w:t>
            </w:r>
          </w:p>
        </w:tc>
        <w:tc>
          <w:tcPr>
            <w:tcW w:w="517" w:type="dxa"/>
            <w:tcBorders>
              <w:top w:val="single" w:color="auto" w:sz="10" w:space="0"/>
              <w:left w:val="single" w:color="auto" w:sz="10" w:space="0"/>
              <w:bottom w:val="single" w:color="auto" w:sz="10" w:space="0"/>
              <w:right w:val="single" w:color="auto" w:sz="10" w:space="0"/>
              <w:insideV w:val="single" w:sz="10" w:space="0"/>
            </w:tcBorders>
            <w:vAlign w:val="center"/>
          </w:tcPr>
          <w:p w14:paraId="1BDD88E6">
            <w:pPr>
              <w:jc w:val="center"/>
            </w:pPr>
            <w:r>
              <w:rPr>
                <w:rFonts w:ascii="宋体" w:hAnsi="宋体" w:eastAsia="宋体"/>
                <w:sz w:val="16"/>
              </w:rPr>
              <w:t>9.99</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05077C86">
            <w:pPr>
              <w:jc w:val="center"/>
            </w:pPr>
            <w:r>
              <w:rPr>
                <w:rFonts w:ascii="宋体" w:hAnsi="宋体" w:eastAsia="宋体"/>
                <w:sz w:val="16"/>
              </w:rPr>
              <w:t>偏差原因：按计划招投标，政府采购手续，较预算金额节约410元。改进措施：预算编制做到精准估算，今后减少此类问题发生。</w:t>
            </w:r>
          </w:p>
        </w:tc>
      </w:tr>
      <w:tr w14:paraId="6866939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3DE443D"/>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C5E659B"/>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EE53BBB"/>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98DB7DC">
            <w:pPr>
              <w:jc w:val="center"/>
            </w:pPr>
            <w:r>
              <w:rPr>
                <w:rFonts w:ascii="宋体" w:hAnsi="宋体" w:eastAsia="宋体"/>
                <w:sz w:val="16"/>
              </w:rPr>
              <w:t>系统测评费</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3F8E3C4">
            <w:pPr>
              <w:jc w:val="center"/>
            </w:pPr>
            <w:r>
              <w:rPr>
                <w:rFonts w:ascii="宋体" w:hAnsi="宋体" w:eastAsia="宋体"/>
                <w:sz w:val="16"/>
              </w:rPr>
              <w:t>&lt;=16.5万元</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0ECBCD7">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1E6FBB8">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C241E15">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B465DE0">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19FFAF1">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F590E7">
            <w:pPr>
              <w:jc w:val="center"/>
            </w:pPr>
            <w:r>
              <w:rPr>
                <w:rFonts w:ascii="宋体" w:hAnsi="宋体" w:eastAsia="宋体"/>
                <w:sz w:val="16"/>
              </w:rPr>
              <w:t>=16.5万元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3BD993">
            <w:pPr>
              <w:jc w:val="center"/>
            </w:pPr>
            <w:r>
              <w:rPr>
                <w:rFonts w:ascii="宋体" w:hAnsi="宋体" w:eastAsia="宋体"/>
                <w:sz w:val="16"/>
              </w:rPr>
              <w:t>100%</w:t>
            </w:r>
          </w:p>
        </w:tc>
        <w:tc>
          <w:tcPr>
            <w:tcW w:w="517" w:type="dxa"/>
            <w:tcBorders>
              <w:top w:val="single" w:color="auto" w:sz="10" w:space="0"/>
              <w:left w:val="single" w:color="auto" w:sz="10" w:space="0"/>
              <w:bottom w:val="single" w:color="auto" w:sz="10" w:space="0"/>
              <w:right w:val="single" w:color="auto" w:sz="10" w:space="0"/>
              <w:insideV w:val="single" w:sz="10" w:space="0"/>
            </w:tcBorders>
            <w:vAlign w:val="center"/>
          </w:tcPr>
          <w:p w14:paraId="11E9B415">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1DB03D79">
            <w:pPr>
              <w:jc w:val="center"/>
            </w:pPr>
          </w:p>
        </w:tc>
      </w:tr>
      <w:tr w14:paraId="73D47DD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5D3681F"/>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5AFE0">
            <w:pPr>
              <w:jc w:val="center"/>
            </w:pPr>
            <w:r>
              <w:rPr>
                <w:rFonts w:ascii="宋体" w:hAnsi="宋体" w:eastAsia="宋体"/>
                <w:sz w:val="16"/>
              </w:rPr>
              <w:t>效益指标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F0B49">
            <w:pPr>
              <w:jc w:val="center"/>
            </w:pPr>
            <w:r>
              <w:rPr>
                <w:rFonts w:ascii="宋体" w:hAnsi="宋体" w:eastAsia="宋体"/>
                <w:sz w:val="16"/>
              </w:rPr>
              <w:t>社会效益指标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C94ED1D">
            <w:pPr>
              <w:jc w:val="center"/>
            </w:pPr>
            <w:r>
              <w:rPr>
                <w:rFonts w:ascii="宋体" w:hAnsi="宋体" w:eastAsia="宋体"/>
                <w:sz w:val="16"/>
              </w:rPr>
              <w:t>保障自然资源政务服务系统正常运行</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6FB23E">
            <w:pPr>
              <w:jc w:val="center"/>
            </w:pPr>
            <w:r>
              <w:rPr>
                <w:rFonts w:ascii="宋体" w:hAnsi="宋体" w:eastAsia="宋体"/>
                <w:sz w:val="16"/>
              </w:rPr>
              <w:t>有效保障</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7645CAB">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733BBBA">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21B3FB4">
            <w:pPr>
              <w:jc w:val="center"/>
            </w:pPr>
            <w:r>
              <w:rPr>
                <w:rFonts w:ascii="宋体" w:hAnsi="宋体" w:eastAsia="宋体"/>
                <w:sz w:val="16"/>
              </w:rPr>
              <w:t>15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35EF027">
            <w:pPr>
              <w:jc w:val="center"/>
            </w:pPr>
            <w:r>
              <w:rPr>
                <w:rFonts w:ascii="宋体" w:hAnsi="宋体" w:eastAsia="宋体"/>
                <w:sz w:val="16"/>
              </w:rPr>
              <w:t>按评判等级赋分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82C25E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4AA79C9">
            <w:pPr>
              <w:jc w:val="center"/>
            </w:pPr>
            <w:r>
              <w:rPr>
                <w:rFonts w:ascii="宋体" w:hAnsi="宋体" w:eastAsia="宋体"/>
                <w:sz w:val="16"/>
              </w:rPr>
              <w:t>有效保障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8AF310">
            <w:pPr>
              <w:jc w:val="center"/>
            </w:pPr>
            <w:r>
              <w:rPr>
                <w:rFonts w:ascii="宋体" w:hAnsi="宋体" w:eastAsia="宋体"/>
                <w:sz w:val="16"/>
              </w:rPr>
              <w:t>100%</w:t>
            </w:r>
          </w:p>
        </w:tc>
        <w:tc>
          <w:tcPr>
            <w:tcW w:w="517" w:type="dxa"/>
            <w:tcBorders>
              <w:top w:val="single" w:color="auto" w:sz="10" w:space="0"/>
              <w:left w:val="single" w:color="auto" w:sz="10" w:space="0"/>
              <w:bottom w:val="single" w:color="auto" w:sz="10" w:space="0"/>
              <w:right w:val="single" w:color="auto" w:sz="10" w:space="0"/>
              <w:insideV w:val="single" w:sz="10" w:space="0"/>
            </w:tcBorders>
            <w:vAlign w:val="center"/>
          </w:tcPr>
          <w:p w14:paraId="07685810">
            <w:pPr>
              <w:jc w:val="center"/>
            </w:pPr>
            <w:r>
              <w:rPr>
                <w:rFonts w:ascii="宋体" w:hAnsi="宋体" w:eastAsia="宋体"/>
                <w:sz w:val="16"/>
              </w:rPr>
              <w:t>15</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3A700F51">
            <w:pPr>
              <w:jc w:val="center"/>
            </w:pPr>
          </w:p>
        </w:tc>
      </w:tr>
      <w:tr w14:paraId="27B7636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3339CDB"/>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271E5E1"/>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1D16EF8"/>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DEB3B41">
            <w:pPr>
              <w:jc w:val="center"/>
            </w:pPr>
            <w:r>
              <w:rPr>
                <w:rFonts w:ascii="宋体" w:hAnsi="宋体" w:eastAsia="宋体"/>
                <w:sz w:val="16"/>
              </w:rPr>
              <w:t>设备利用率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3A784B1">
            <w:pPr>
              <w:jc w:val="center"/>
            </w:pPr>
            <w:r>
              <w:rPr>
                <w:rFonts w:ascii="宋体" w:hAnsi="宋体" w:eastAsia="宋体"/>
                <w:sz w:val="16"/>
              </w:rPr>
              <w:t>&gt;=95%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DB4B31E">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04253A0">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C5CCB07">
            <w:pPr>
              <w:jc w:val="center"/>
            </w:pPr>
            <w:r>
              <w:rPr>
                <w:rFonts w:ascii="宋体" w:hAnsi="宋体" w:eastAsia="宋体"/>
                <w:sz w:val="16"/>
              </w:rPr>
              <w:t>15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D706980">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D76312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5D275B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B20AE5">
            <w:pPr>
              <w:jc w:val="center"/>
            </w:pPr>
            <w:r>
              <w:rPr>
                <w:rFonts w:ascii="宋体" w:hAnsi="宋体" w:eastAsia="宋体"/>
                <w:sz w:val="16"/>
              </w:rPr>
              <w:t>100%</w:t>
            </w:r>
          </w:p>
        </w:tc>
        <w:tc>
          <w:tcPr>
            <w:tcW w:w="517" w:type="dxa"/>
            <w:tcBorders>
              <w:top w:val="single" w:color="auto" w:sz="10" w:space="0"/>
              <w:left w:val="single" w:color="auto" w:sz="10" w:space="0"/>
              <w:bottom w:val="single" w:color="auto" w:sz="10" w:space="0"/>
              <w:right w:val="single" w:color="auto" w:sz="10" w:space="0"/>
              <w:insideV w:val="single" w:sz="10" w:space="0"/>
            </w:tcBorders>
            <w:vAlign w:val="center"/>
          </w:tcPr>
          <w:p w14:paraId="0331FC1A">
            <w:pPr>
              <w:jc w:val="center"/>
            </w:pPr>
            <w:r>
              <w:rPr>
                <w:rFonts w:ascii="宋体" w:hAnsi="宋体" w:eastAsia="宋体"/>
                <w:sz w:val="16"/>
              </w:rPr>
              <w:t>15</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0B033F04">
            <w:pPr>
              <w:jc w:val="center"/>
            </w:pPr>
          </w:p>
        </w:tc>
      </w:tr>
      <w:tr w14:paraId="01CA3682">
        <w:tblPrEx>
          <w:tblCellMar>
            <w:top w:w="0" w:type="dxa"/>
            <w:left w:w="108" w:type="dxa"/>
            <w:bottom w:w="0" w:type="dxa"/>
            <w:right w:w="108" w:type="dxa"/>
          </w:tblCellMar>
        </w:tblPrEx>
        <w:tc>
          <w:tcPr>
            <w:tcW w:w="247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64A583">
            <w:pPr>
              <w:jc w:val="center"/>
            </w:pPr>
            <w:r>
              <w:rPr>
                <w:rFonts w:ascii="宋体" w:hAnsi="宋体" w:eastAsia="宋体"/>
                <w:sz w:val="16"/>
              </w:rPr>
              <w:t>总分</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7D3D99D0"/>
        </w:tc>
        <w:tc>
          <w:tcPr>
            <w:tcW w:w="615" w:type="dxa"/>
            <w:tcBorders>
              <w:top w:val="single" w:color="auto" w:sz="10" w:space="0"/>
              <w:left w:val="single" w:color="auto" w:sz="10" w:space="0"/>
              <w:bottom w:val="single" w:color="auto" w:sz="10" w:space="0"/>
              <w:right w:val="single" w:color="auto" w:sz="10" w:space="0"/>
              <w:insideV w:val="single" w:sz="10" w:space="0"/>
            </w:tcBorders>
          </w:tcPr>
          <w:p w14:paraId="69E860AD"/>
        </w:tc>
        <w:tc>
          <w:tcPr>
            <w:tcW w:w="615" w:type="dxa"/>
            <w:tcBorders>
              <w:top w:val="single" w:color="auto" w:sz="10" w:space="0"/>
              <w:left w:val="single" w:color="auto" w:sz="10" w:space="0"/>
              <w:bottom w:val="single" w:color="auto" w:sz="10" w:space="0"/>
              <w:right w:val="single" w:color="auto" w:sz="10" w:space="0"/>
              <w:insideV w:val="single" w:sz="10" w:space="0"/>
            </w:tcBorders>
          </w:tcPr>
          <w:p w14:paraId="4BD0FA46"/>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5E8CC3F">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tcPr>
          <w:p w14:paraId="653F6819"/>
        </w:tc>
        <w:tc>
          <w:tcPr>
            <w:tcW w:w="615" w:type="dxa"/>
            <w:tcBorders>
              <w:top w:val="single" w:color="auto" w:sz="10" w:space="0"/>
              <w:left w:val="single" w:color="auto" w:sz="10" w:space="0"/>
              <w:bottom w:val="single" w:color="auto" w:sz="10" w:space="0"/>
              <w:right w:val="single" w:color="auto" w:sz="10" w:space="0"/>
              <w:insideV w:val="single" w:sz="10" w:space="0"/>
            </w:tcBorders>
          </w:tcPr>
          <w:p w14:paraId="18A3DDD9"/>
        </w:tc>
        <w:tc>
          <w:tcPr>
            <w:tcW w:w="776" w:type="dxa"/>
            <w:tcBorders>
              <w:top w:val="single" w:color="auto" w:sz="10" w:space="0"/>
              <w:left w:val="single" w:color="auto" w:sz="10" w:space="0"/>
              <w:bottom w:val="single" w:color="auto" w:sz="10" w:space="0"/>
              <w:right w:val="single" w:color="auto" w:sz="10" w:space="0"/>
              <w:insideV w:val="single" w:sz="10" w:space="0"/>
            </w:tcBorders>
          </w:tcPr>
          <w:p w14:paraId="343BB634"/>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293D612"/>
        </w:tc>
        <w:tc>
          <w:tcPr>
            <w:tcW w:w="517" w:type="dxa"/>
            <w:tcBorders>
              <w:top w:val="single" w:color="auto" w:sz="10" w:space="0"/>
              <w:left w:val="single" w:color="auto" w:sz="10" w:space="0"/>
              <w:bottom w:val="single" w:color="auto" w:sz="10" w:space="0"/>
              <w:right w:val="single" w:color="auto" w:sz="10" w:space="0"/>
              <w:insideV w:val="single" w:sz="10" w:space="0"/>
            </w:tcBorders>
            <w:vAlign w:val="center"/>
          </w:tcPr>
          <w:p w14:paraId="4A0EEB11">
            <w:pPr>
              <w:jc w:val="center"/>
            </w:pPr>
            <w:r>
              <w:rPr>
                <w:rFonts w:ascii="宋体" w:hAnsi="宋体" w:eastAsia="宋体"/>
                <w:sz w:val="16"/>
              </w:rPr>
              <w:t>94.16分</w:t>
            </w:r>
          </w:p>
        </w:tc>
        <w:tc>
          <w:tcPr>
            <w:tcW w:w="745" w:type="dxa"/>
            <w:tcBorders>
              <w:top w:val="single" w:color="auto" w:sz="10" w:space="0"/>
              <w:left w:val="single" w:color="auto" w:sz="10" w:space="0"/>
              <w:bottom w:val="single" w:color="auto" w:sz="10" w:space="0"/>
              <w:right w:val="single" w:color="auto" w:sz="10" w:space="0"/>
              <w:insideV w:val="single" w:sz="10" w:space="0"/>
            </w:tcBorders>
          </w:tcPr>
          <w:p w14:paraId="793ABFA9"/>
        </w:tc>
      </w:tr>
    </w:tbl>
    <w:p w14:paraId="578AE3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5AC3584">
        <w:tblPrEx>
          <w:tblCellMar>
            <w:top w:w="0" w:type="dxa"/>
            <w:left w:w="108" w:type="dxa"/>
            <w:bottom w:w="0" w:type="dxa"/>
            <w:right w:w="108" w:type="dxa"/>
          </w:tblCellMar>
        </w:tblPrEx>
        <w:tc>
          <w:tcPr>
            <w:tcW w:w="8848" w:type="dxa"/>
            <w:gridSpan w:val="14"/>
            <w:vAlign w:val="center"/>
          </w:tcPr>
          <w:p w14:paraId="1FE3B12C">
            <w:pPr>
              <w:jc w:val="center"/>
            </w:pPr>
            <w:r>
              <w:rPr>
                <w:rFonts w:ascii="宋体" w:hAnsi="宋体" w:eastAsia="宋体"/>
                <w:sz w:val="24"/>
              </w:rPr>
              <w:t>项目支出绩效自评表</w:t>
            </w:r>
          </w:p>
        </w:tc>
      </w:tr>
      <w:tr w14:paraId="056DC576">
        <w:tblPrEx>
          <w:tblCellMar>
            <w:top w:w="0" w:type="dxa"/>
            <w:left w:w="108" w:type="dxa"/>
            <w:bottom w:w="0" w:type="dxa"/>
            <w:right w:w="108" w:type="dxa"/>
          </w:tblCellMar>
        </w:tblPrEx>
        <w:tc>
          <w:tcPr>
            <w:tcW w:w="8848" w:type="dxa"/>
            <w:gridSpan w:val="14"/>
            <w:vAlign w:val="center"/>
          </w:tcPr>
          <w:p w14:paraId="707FCE37">
            <w:pPr>
              <w:jc w:val="center"/>
            </w:pPr>
            <w:r>
              <w:rPr>
                <w:rFonts w:ascii="宋体" w:hAnsi="宋体" w:eastAsia="宋体"/>
                <w:sz w:val="24"/>
              </w:rPr>
              <w:t>(2024年度)</w:t>
            </w:r>
          </w:p>
        </w:tc>
      </w:tr>
      <w:tr w14:paraId="3674B6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D4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E7B6FC">
            <w:pPr>
              <w:jc w:val="center"/>
            </w:pPr>
            <w:r>
              <w:rPr>
                <w:rFonts w:ascii="宋体" w:hAnsi="宋体" w:eastAsia="宋体"/>
                <w:sz w:val="16"/>
              </w:rPr>
              <w:t>巴州国土测绘服务运行项目</w:t>
            </w:r>
          </w:p>
        </w:tc>
      </w:tr>
      <w:tr w14:paraId="051D9E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6F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05264">
            <w:pPr>
              <w:jc w:val="center"/>
            </w:pPr>
            <w:r>
              <w:rPr>
                <w:rFonts w:ascii="宋体" w:hAnsi="宋体" w:eastAsia="宋体"/>
                <w:sz w:val="16"/>
              </w:rPr>
              <w:t>新疆巴州国土资源勘测规划设计院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0C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8A921A">
            <w:pPr>
              <w:jc w:val="center"/>
            </w:pPr>
            <w:r>
              <w:rPr>
                <w:rFonts w:ascii="宋体" w:hAnsi="宋体" w:eastAsia="宋体"/>
                <w:sz w:val="16"/>
              </w:rPr>
              <w:t>新疆巴州国土资源勘测规划设计院</w:t>
            </w:r>
          </w:p>
        </w:tc>
      </w:tr>
      <w:tr w14:paraId="6E3A75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0D5E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F27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58D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775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64F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9E4E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EB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FB37">
            <w:pPr>
              <w:jc w:val="center"/>
            </w:pPr>
            <w:r>
              <w:rPr>
                <w:rFonts w:ascii="宋体" w:hAnsi="宋体" w:eastAsia="宋体"/>
                <w:sz w:val="16"/>
              </w:rPr>
              <w:t>得分</w:t>
            </w:r>
          </w:p>
        </w:tc>
      </w:tr>
      <w:tr w14:paraId="398370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43F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D9E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26D39">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8608D">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B8A4F">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C15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057B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0289">
            <w:pPr>
              <w:jc w:val="center"/>
            </w:pPr>
            <w:r>
              <w:rPr>
                <w:rFonts w:ascii="宋体" w:hAnsi="宋体" w:eastAsia="宋体"/>
                <w:sz w:val="16"/>
              </w:rPr>
              <w:t>10.00</w:t>
            </w:r>
          </w:p>
        </w:tc>
      </w:tr>
      <w:tr w14:paraId="5A1E6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A13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074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B08F2">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5F8D2">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C45D7">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1EF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727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4ECF">
            <w:pPr>
              <w:jc w:val="center"/>
            </w:pPr>
            <w:r>
              <w:rPr>
                <w:rFonts w:ascii="宋体" w:hAnsi="宋体" w:eastAsia="宋体"/>
                <w:sz w:val="16"/>
              </w:rPr>
              <w:t>-</w:t>
            </w:r>
          </w:p>
        </w:tc>
      </w:tr>
      <w:tr w14:paraId="55A1E9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2A3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EDC1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B9F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72E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E8F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749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AC5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8939">
            <w:pPr>
              <w:jc w:val="center"/>
            </w:pPr>
            <w:r>
              <w:rPr>
                <w:rFonts w:ascii="宋体" w:hAnsi="宋体" w:eastAsia="宋体"/>
                <w:sz w:val="16"/>
              </w:rPr>
              <w:t>-</w:t>
            </w:r>
          </w:p>
        </w:tc>
      </w:tr>
      <w:tr w14:paraId="3E9096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8394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97C53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693E6B">
            <w:pPr>
              <w:jc w:val="center"/>
            </w:pPr>
            <w:r>
              <w:rPr>
                <w:rFonts w:ascii="宋体" w:hAnsi="宋体" w:eastAsia="宋体"/>
                <w:sz w:val="16"/>
              </w:rPr>
              <w:t>总体目标完成情况</w:t>
            </w:r>
          </w:p>
        </w:tc>
      </w:tr>
      <w:tr w14:paraId="38841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03C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3533E1">
            <w:pPr>
              <w:jc w:val="both"/>
            </w:pPr>
            <w:r>
              <w:rPr>
                <w:rFonts w:ascii="宋体" w:hAnsi="宋体" w:eastAsia="宋体"/>
                <w:sz w:val="16"/>
              </w:rPr>
              <w:t>我院为实现全州自然资源系统“一张图”业务无纸化办公提供坚实的硬件支撑，保证巴州自然资源标系统各项核心业务数据存储、应用等各项业务发展奠定基础，为业务开展提供支撑，我院完成测绘地理信息检测监管工作任务，包括设备维护，购买办公用品、租赁专线、差旅费等经费。1、维护基础设施设备维（修）护费5000元，确保单位基础设施、软硬件正常运行。2、购买办公用品，办公费46240元，使测绘地理信息化业务达到服务的要求和服务标准。3、机房网络专线租赁1条，网络专线租赁费23760元，保障机房运行正常。4、开展测绘地理服务工作需差旅费60000元,加强测量标志的巡查检查。5、在年度内严格执行测绘、规划业务服务要求和规范标准，保障办公人数22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0E8FB4">
            <w:pPr>
              <w:jc w:val="both"/>
            </w:pPr>
            <w:r>
              <w:rPr>
                <w:rFonts w:ascii="宋体" w:hAnsi="宋体" w:eastAsia="宋体"/>
                <w:sz w:val="16"/>
              </w:rPr>
              <w:t>我院为实现全州自然资源系统“一张图”业务无纸化办公提供坚实的硬件支撑，保证巴州自然资源标系统各项核心业务数据存储、应用等各项业务发展奠定基础，为业务开展提供支撑，我院完成测绘地理信息检测监管工作任务，包括完成设备维护2次，支出0.5万元；购买办公用品8批，支出4.62万元；租赁专线1条，支出2.38万元；出差25次，支出6万元，在年度内严格执行测绘、规划业务服务要求和规范标准，保障办公人数22人。</w:t>
            </w:r>
          </w:p>
        </w:tc>
      </w:tr>
      <w:tr w14:paraId="22432A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22FA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251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DE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9B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C39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E5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36E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82F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225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C6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38D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8BD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5B4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F53D">
            <w:pPr>
              <w:jc w:val="center"/>
            </w:pPr>
            <w:r>
              <w:rPr>
                <w:rFonts w:ascii="宋体" w:hAnsi="宋体" w:eastAsia="宋体"/>
                <w:sz w:val="16"/>
              </w:rPr>
              <w:t>偏差原因分析及改进措施</w:t>
            </w:r>
          </w:p>
        </w:tc>
      </w:tr>
      <w:tr w14:paraId="77DFED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807F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CCF3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351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D1D2">
            <w:pPr>
              <w:jc w:val="center"/>
            </w:pPr>
            <w:r>
              <w:rPr>
                <w:rFonts w:ascii="宋体" w:hAnsi="宋体" w:eastAsia="宋体"/>
                <w:sz w:val="16"/>
              </w:rPr>
              <w:t>维修基础设施设备次数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5FD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9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4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A7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9C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F0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E9E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B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1C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D379">
            <w:pPr>
              <w:jc w:val="center"/>
            </w:pPr>
          </w:p>
        </w:tc>
      </w:tr>
      <w:tr w14:paraId="7699A0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0C5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C7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AC4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3E4D">
            <w:pPr>
              <w:jc w:val="center"/>
            </w:pPr>
            <w:r>
              <w:rPr>
                <w:rFonts w:ascii="宋体" w:hAnsi="宋体" w:eastAsia="宋体"/>
                <w:sz w:val="16"/>
              </w:rPr>
              <w:t>购买办公用品批数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796C">
            <w:pPr>
              <w:jc w:val="center"/>
            </w:pPr>
            <w:r>
              <w:rPr>
                <w:rFonts w:ascii="宋体" w:hAnsi="宋体" w:eastAsia="宋体"/>
                <w:sz w:val="16"/>
              </w:rPr>
              <w:t>&gt;=8批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91B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71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BB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BE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4F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DF9F">
            <w:pPr>
              <w:jc w:val="center"/>
            </w:pPr>
            <w:r>
              <w:rPr>
                <w:rFonts w:ascii="宋体" w:hAnsi="宋体" w:eastAsia="宋体"/>
                <w:sz w:val="16"/>
              </w:rPr>
              <w: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25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82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B3DD">
            <w:pPr>
              <w:jc w:val="center"/>
            </w:pPr>
          </w:p>
        </w:tc>
      </w:tr>
      <w:tr w14:paraId="24C53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EF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8F0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0FF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AC49">
            <w:pPr>
              <w:jc w:val="center"/>
            </w:pPr>
            <w:r>
              <w:rPr>
                <w:rFonts w:ascii="宋体" w:hAnsi="宋体" w:eastAsia="宋体"/>
                <w:sz w:val="16"/>
              </w:rPr>
              <w:t>专线租赁条数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6971">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C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29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36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3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01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02B6">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97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CA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D3CC">
            <w:pPr>
              <w:jc w:val="center"/>
            </w:pPr>
          </w:p>
        </w:tc>
      </w:tr>
      <w:tr w14:paraId="5B74F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C7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4EC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5CD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0922">
            <w:pPr>
              <w:jc w:val="center"/>
            </w:pPr>
            <w:r>
              <w:rPr>
                <w:rFonts w:ascii="宋体" w:hAnsi="宋体" w:eastAsia="宋体"/>
                <w:sz w:val="16"/>
              </w:rPr>
              <w:t>出差次数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B733">
            <w:pPr>
              <w:jc w:val="center"/>
            </w:pPr>
            <w:r>
              <w:rPr>
                <w:rFonts w:ascii="宋体" w:hAnsi="宋体" w:eastAsia="宋体"/>
                <w:sz w:val="16"/>
              </w:rPr>
              <w:t>&gt;=25次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F1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61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95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E2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A0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31CE">
            <w:pPr>
              <w:jc w:val="center"/>
            </w:pPr>
            <w:r>
              <w:rPr>
                <w:rFonts w:ascii="宋体" w:hAnsi="宋体" w:eastAsia="宋体"/>
                <w:sz w:val="16"/>
              </w:rPr>
              <w:t>=25次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8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52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9B2C">
            <w:pPr>
              <w:jc w:val="center"/>
            </w:pPr>
          </w:p>
        </w:tc>
      </w:tr>
      <w:tr w14:paraId="7BBB3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20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25A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388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4FE3">
            <w:pPr>
              <w:jc w:val="center"/>
            </w:pPr>
            <w:r>
              <w:rPr>
                <w:rFonts w:ascii="宋体" w:hAnsi="宋体" w:eastAsia="宋体"/>
                <w:sz w:val="16"/>
              </w:rPr>
              <w:t>维修完工验收合格率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6A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0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3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CE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35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4F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72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0C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80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DF2D">
            <w:pPr>
              <w:jc w:val="center"/>
            </w:pPr>
          </w:p>
        </w:tc>
      </w:tr>
      <w:tr w14:paraId="43836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F5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13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4D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FA2F">
            <w:pPr>
              <w:jc w:val="center"/>
            </w:pPr>
            <w:r>
              <w:rPr>
                <w:rFonts w:ascii="宋体" w:hAnsi="宋体" w:eastAsia="宋体"/>
                <w:sz w:val="16"/>
              </w:rPr>
              <w:t>网线质量合格率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65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C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B0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2A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5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04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8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E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AF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AC11">
            <w:pPr>
              <w:jc w:val="center"/>
            </w:pPr>
          </w:p>
        </w:tc>
      </w:tr>
      <w:tr w14:paraId="65842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C7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ED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7F6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FDB0">
            <w:pPr>
              <w:jc w:val="center"/>
            </w:pPr>
            <w:r>
              <w:rPr>
                <w:rFonts w:ascii="宋体" w:hAnsi="宋体" w:eastAsia="宋体"/>
                <w:sz w:val="16"/>
              </w:rPr>
              <w:t>出差出勤率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AF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76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7F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2D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21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65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94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C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5F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DE17">
            <w:pPr>
              <w:jc w:val="center"/>
            </w:pPr>
          </w:p>
        </w:tc>
      </w:tr>
      <w:tr w14:paraId="49A9A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FF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49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78C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1D45">
            <w:pPr>
              <w:jc w:val="center"/>
            </w:pPr>
            <w:r>
              <w:rPr>
                <w:rFonts w:ascii="宋体" w:hAnsi="宋体" w:eastAsia="宋体"/>
                <w:sz w:val="16"/>
              </w:rPr>
              <w:t>购买办公用品验收合格率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07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C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CD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87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F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7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5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D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3A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8644">
            <w:pPr>
              <w:jc w:val="center"/>
            </w:pPr>
          </w:p>
        </w:tc>
      </w:tr>
      <w:tr w14:paraId="6814D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E9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302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1A7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F75E">
            <w:pPr>
              <w:jc w:val="center"/>
            </w:pPr>
            <w:r>
              <w:rPr>
                <w:rFonts w:ascii="宋体" w:hAnsi="宋体" w:eastAsia="宋体"/>
                <w:sz w:val="16"/>
              </w:rPr>
              <w:t>差旅费支付及时率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2E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09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91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B67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A1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5D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F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B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86D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A567">
            <w:pPr>
              <w:jc w:val="center"/>
            </w:pPr>
          </w:p>
        </w:tc>
      </w:tr>
      <w:tr w14:paraId="2DE4B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55A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0A3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AA9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3756">
            <w:pPr>
              <w:jc w:val="center"/>
            </w:pPr>
            <w:r>
              <w:rPr>
                <w:rFonts w:ascii="宋体" w:hAnsi="宋体" w:eastAsia="宋体"/>
                <w:sz w:val="16"/>
              </w:rPr>
              <w:t>网线故障修复处理时间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78EC">
            <w:pPr>
              <w:jc w:val="center"/>
            </w:pPr>
            <w:r>
              <w:rPr>
                <w:rFonts w:ascii="宋体" w:hAnsi="宋体" w:eastAsia="宋体"/>
                <w:sz w:val="16"/>
              </w:rPr>
              <w:t>&lt;=3天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0B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F5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38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F7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08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5FEC">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2D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5F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F3F8">
            <w:pPr>
              <w:jc w:val="center"/>
            </w:pPr>
          </w:p>
        </w:tc>
      </w:tr>
      <w:tr w14:paraId="31C96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AB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11F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A59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ECA7">
            <w:pPr>
              <w:jc w:val="center"/>
            </w:pPr>
            <w:r>
              <w:rPr>
                <w:rFonts w:ascii="宋体" w:hAnsi="宋体" w:eastAsia="宋体"/>
                <w:sz w:val="16"/>
              </w:rPr>
              <w:t>采购办公用品完成时间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38BE">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6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04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AA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915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C9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E260">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492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04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93D4">
            <w:pPr>
              <w:jc w:val="center"/>
            </w:pPr>
            <w:r>
              <w:rPr>
                <w:rFonts w:ascii="宋体" w:hAnsi="宋体" w:eastAsia="宋体"/>
                <w:sz w:val="16"/>
              </w:rPr>
              <w:t>偏差原因：积极响应刺激消费政策，12月购买了部分办公用品。措施：今后严格按照时间点结束工作。</w:t>
            </w:r>
          </w:p>
        </w:tc>
      </w:tr>
      <w:tr w14:paraId="3BCCC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20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2F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B5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3097">
            <w:pPr>
              <w:jc w:val="center"/>
            </w:pPr>
            <w:r>
              <w:rPr>
                <w:rFonts w:ascii="宋体" w:hAnsi="宋体" w:eastAsia="宋体"/>
                <w:sz w:val="16"/>
              </w:rPr>
              <w:t>设施设备维修按时完成率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ED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4C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2E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30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02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A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2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9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68F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3DB3">
            <w:pPr>
              <w:jc w:val="center"/>
            </w:pPr>
          </w:p>
        </w:tc>
      </w:tr>
      <w:tr w14:paraId="5B29C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978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1FC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32B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EABA">
            <w:pPr>
              <w:jc w:val="center"/>
            </w:pPr>
            <w:r>
              <w:rPr>
                <w:rFonts w:ascii="宋体" w:hAnsi="宋体" w:eastAsia="宋体"/>
                <w:sz w:val="16"/>
              </w:rPr>
              <w:t>网络租赁费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B436">
            <w:pPr>
              <w:jc w:val="center"/>
            </w:pPr>
            <w:r>
              <w:rPr>
                <w:rFonts w:ascii="宋体" w:hAnsi="宋体" w:eastAsia="宋体"/>
                <w:sz w:val="16"/>
              </w:rPr>
              <w:t>&lt;=2.38万元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66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9B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D8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5A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A5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5258">
            <w:pPr>
              <w:jc w:val="center"/>
            </w:pPr>
            <w:r>
              <w:rPr>
                <w:rFonts w:ascii="宋体" w:hAnsi="宋体" w:eastAsia="宋体"/>
                <w:sz w:val="16"/>
              </w:rPr>
              <w:t>=2.38万元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5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2C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FB70">
            <w:pPr>
              <w:jc w:val="center"/>
            </w:pPr>
          </w:p>
        </w:tc>
      </w:tr>
      <w:tr w14:paraId="2FC9ED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479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B7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FA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67A4">
            <w:pPr>
              <w:jc w:val="center"/>
            </w:pPr>
            <w:r>
              <w:rPr>
                <w:rFonts w:ascii="宋体" w:hAnsi="宋体" w:eastAsia="宋体"/>
                <w:sz w:val="16"/>
              </w:rPr>
              <w:t>购买办公用品经费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95BB">
            <w:pPr>
              <w:jc w:val="center"/>
            </w:pPr>
            <w:r>
              <w:rPr>
                <w:rFonts w:ascii="宋体" w:hAnsi="宋体" w:eastAsia="宋体"/>
                <w:sz w:val="16"/>
              </w:rPr>
              <w:t>&lt;=4.62万元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E6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AF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92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8C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E0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19FE">
            <w:pPr>
              <w:jc w:val="center"/>
            </w:pPr>
            <w:r>
              <w:rPr>
                <w:rFonts w:ascii="宋体" w:hAnsi="宋体" w:eastAsia="宋体"/>
                <w:sz w:val="16"/>
              </w:rPr>
              <w:t>=4.62万元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EE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15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A285">
            <w:pPr>
              <w:jc w:val="center"/>
            </w:pPr>
          </w:p>
        </w:tc>
      </w:tr>
      <w:tr w14:paraId="6B6B7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5B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9E2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090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F7D6">
            <w:pPr>
              <w:jc w:val="center"/>
            </w:pPr>
            <w:r>
              <w:rPr>
                <w:rFonts w:ascii="宋体" w:hAnsi="宋体" w:eastAsia="宋体"/>
                <w:sz w:val="16"/>
              </w:rPr>
              <w:t>出差费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54D2">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4F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C2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55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B0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B94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AE46">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A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78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33E9">
            <w:pPr>
              <w:jc w:val="center"/>
            </w:pPr>
          </w:p>
        </w:tc>
      </w:tr>
      <w:tr w14:paraId="1FCD8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B2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398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E9B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9A0A">
            <w:pPr>
              <w:jc w:val="center"/>
            </w:pPr>
            <w:r>
              <w:rPr>
                <w:rFonts w:ascii="宋体" w:hAnsi="宋体" w:eastAsia="宋体"/>
                <w:sz w:val="16"/>
              </w:rPr>
              <w:t>维修基础设施费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731C">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8E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9C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9B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4F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ED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7F88">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9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14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C03A">
            <w:pPr>
              <w:jc w:val="center"/>
            </w:pPr>
          </w:p>
        </w:tc>
      </w:tr>
      <w:tr w14:paraId="2875F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13C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3D84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8BE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E1B7">
            <w:pPr>
              <w:jc w:val="center"/>
            </w:pPr>
            <w:r>
              <w:rPr>
                <w:rFonts w:ascii="宋体" w:hAnsi="宋体" w:eastAsia="宋体"/>
                <w:sz w:val="16"/>
              </w:rPr>
              <w:t>保障单位业务正常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004B">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70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4C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FCA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23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58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4EE19">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DB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3E7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E15D">
            <w:pPr>
              <w:jc w:val="center"/>
            </w:pPr>
          </w:p>
        </w:tc>
      </w:tr>
      <w:tr w14:paraId="16981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47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73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E06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70A2">
            <w:pPr>
              <w:jc w:val="center"/>
            </w:pPr>
            <w:r>
              <w:rPr>
                <w:rFonts w:ascii="宋体" w:hAnsi="宋体" w:eastAsia="宋体"/>
                <w:sz w:val="16"/>
              </w:rPr>
              <w:t>维修基础设施受益人数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3AED">
            <w:pPr>
              <w:jc w:val="center"/>
            </w:pPr>
            <w:r>
              <w:rPr>
                <w:rFonts w:ascii="宋体" w:hAnsi="宋体" w:eastAsia="宋体"/>
                <w:sz w:val="16"/>
              </w:rPr>
              <w:t>&gt;=22人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F2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A7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992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49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DC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ED5F">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2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E67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983D">
            <w:pPr>
              <w:jc w:val="center"/>
            </w:pPr>
          </w:p>
        </w:tc>
      </w:tr>
      <w:tr w14:paraId="021FBDA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D43C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8102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7F4A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7D0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7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17D5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743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F447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5B9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F7A6">
            <w:pPr>
              <w:jc w:val="center"/>
            </w:pPr>
            <w:r>
              <w:rPr>
                <w:rFonts w:ascii="宋体" w:hAnsi="宋体" w:eastAsia="宋体"/>
                <w:sz w:val="16"/>
              </w:rPr>
              <w:t>98.00分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2578D1"/>
        </w:tc>
      </w:tr>
    </w:tbl>
    <w:p w14:paraId="1CD89544">
      <w:r>
        <w:br w:type="page"/>
      </w:r>
    </w:p>
    <w:p w14:paraId="273393A8">
      <w:pPr>
        <w:spacing w:line="640" w:lineRule="exact"/>
        <w:ind w:firstLine="640"/>
        <w:jc w:val="both"/>
        <w:outlineLvl w:val="2"/>
      </w:pPr>
      <w:r>
        <w:rPr>
          <w:rFonts w:ascii="黑体" w:hAnsi="黑体" w:eastAsia="黑体"/>
          <w:sz w:val="32"/>
        </w:rPr>
        <w:t>十二、其他需说明的事项</w:t>
      </w:r>
    </w:p>
    <w:p w14:paraId="70EBF961">
      <w:pPr>
        <w:spacing w:line="580" w:lineRule="exact"/>
        <w:ind w:firstLine="640"/>
        <w:jc w:val="both"/>
      </w:pPr>
      <w:r>
        <w:rPr>
          <w:rFonts w:ascii="仿宋_GB2312" w:hAnsi="仿宋_GB2312" w:eastAsia="仿宋_GB2312"/>
          <w:b w:val="0"/>
          <w:sz w:val="32"/>
        </w:rPr>
        <w:t>本年度本单位整体绩效自评表由主管部门编报并公开。</w:t>
      </w:r>
    </w:p>
    <w:p w14:paraId="09F56A54">
      <w:r>
        <w:br w:type="page"/>
      </w:r>
    </w:p>
    <w:p w14:paraId="5E4A0D51">
      <w:pPr>
        <w:spacing w:line="240" w:lineRule="auto"/>
        <w:jc w:val="center"/>
        <w:outlineLvl w:val="1"/>
      </w:pPr>
      <w:r>
        <w:rPr>
          <w:rFonts w:ascii="黑体" w:hAnsi="黑体" w:eastAsia="黑体"/>
          <w:sz w:val="32"/>
        </w:rPr>
        <w:t>第三部分 专业名词解释</w:t>
      </w:r>
    </w:p>
    <w:p w14:paraId="1260612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6CE9E6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FEA472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44CE9A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088504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9B3FB2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73FD73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7A7EEA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CEA3E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114688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89B51B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22ABE7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CB22E7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4A751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24EC0F">
      <w:r>
        <w:br w:type="page"/>
      </w:r>
    </w:p>
    <w:p w14:paraId="4C7F5B98">
      <w:pPr>
        <w:spacing w:line="240" w:lineRule="auto"/>
        <w:jc w:val="center"/>
        <w:outlineLvl w:val="1"/>
      </w:pPr>
      <w:r>
        <w:rPr>
          <w:rFonts w:ascii="黑体" w:hAnsi="黑体" w:eastAsia="黑体"/>
          <w:sz w:val="32"/>
        </w:rPr>
        <w:t>第四部分 部门决算报表（见附表）</w:t>
      </w:r>
    </w:p>
    <w:p w14:paraId="544F6698">
      <w:pPr>
        <w:spacing w:line="240" w:lineRule="auto"/>
        <w:ind w:firstLine="640"/>
        <w:jc w:val="both"/>
      </w:pPr>
      <w:r>
        <w:rPr>
          <w:rFonts w:ascii="仿宋_GB2312" w:hAnsi="仿宋_GB2312" w:eastAsia="仿宋_GB2312"/>
          <w:b w:val="0"/>
          <w:sz w:val="32"/>
        </w:rPr>
        <w:t>一、《收入支出决算总表》</w:t>
      </w:r>
    </w:p>
    <w:p w14:paraId="71485994">
      <w:pPr>
        <w:spacing w:line="240" w:lineRule="auto"/>
        <w:ind w:firstLine="640"/>
        <w:jc w:val="both"/>
      </w:pPr>
      <w:r>
        <w:rPr>
          <w:rFonts w:ascii="仿宋_GB2312" w:hAnsi="仿宋_GB2312" w:eastAsia="仿宋_GB2312"/>
          <w:b w:val="0"/>
          <w:sz w:val="32"/>
        </w:rPr>
        <w:t>二、《收入决算表》</w:t>
      </w:r>
    </w:p>
    <w:p w14:paraId="30905D84">
      <w:pPr>
        <w:spacing w:line="240" w:lineRule="auto"/>
        <w:ind w:firstLine="640"/>
        <w:jc w:val="both"/>
      </w:pPr>
      <w:r>
        <w:rPr>
          <w:rFonts w:ascii="仿宋_GB2312" w:hAnsi="仿宋_GB2312" w:eastAsia="仿宋_GB2312"/>
          <w:b w:val="0"/>
          <w:sz w:val="32"/>
        </w:rPr>
        <w:t>三、《支出决算表》</w:t>
      </w:r>
    </w:p>
    <w:p w14:paraId="15C0F243">
      <w:pPr>
        <w:spacing w:line="240" w:lineRule="auto"/>
        <w:ind w:firstLine="640"/>
        <w:jc w:val="both"/>
      </w:pPr>
      <w:r>
        <w:rPr>
          <w:rFonts w:ascii="仿宋_GB2312" w:hAnsi="仿宋_GB2312" w:eastAsia="仿宋_GB2312"/>
          <w:b w:val="0"/>
          <w:sz w:val="32"/>
        </w:rPr>
        <w:t>四、《财政拨款收入支出决算总表》</w:t>
      </w:r>
    </w:p>
    <w:p w14:paraId="449DA8D4">
      <w:pPr>
        <w:spacing w:line="240" w:lineRule="auto"/>
        <w:ind w:firstLine="640"/>
        <w:jc w:val="both"/>
      </w:pPr>
      <w:r>
        <w:rPr>
          <w:rFonts w:ascii="仿宋_GB2312" w:hAnsi="仿宋_GB2312" w:eastAsia="仿宋_GB2312"/>
          <w:b w:val="0"/>
          <w:sz w:val="32"/>
        </w:rPr>
        <w:t>五、《一般公共预算财政拨款支出决算表》</w:t>
      </w:r>
    </w:p>
    <w:p w14:paraId="0F8ED0D1">
      <w:pPr>
        <w:spacing w:line="240" w:lineRule="auto"/>
        <w:ind w:firstLine="640"/>
        <w:jc w:val="both"/>
      </w:pPr>
      <w:r>
        <w:rPr>
          <w:rFonts w:ascii="仿宋_GB2312" w:hAnsi="仿宋_GB2312" w:eastAsia="仿宋_GB2312"/>
          <w:b w:val="0"/>
          <w:sz w:val="32"/>
        </w:rPr>
        <w:t>六、《一般公共预算财政拨款基本支出决算表》</w:t>
      </w:r>
    </w:p>
    <w:p w14:paraId="3896DC48">
      <w:pPr>
        <w:spacing w:line="240" w:lineRule="auto"/>
        <w:ind w:firstLine="640"/>
        <w:jc w:val="both"/>
      </w:pPr>
      <w:r>
        <w:rPr>
          <w:rFonts w:ascii="仿宋_GB2312" w:hAnsi="仿宋_GB2312" w:eastAsia="仿宋_GB2312"/>
          <w:b w:val="0"/>
          <w:sz w:val="32"/>
        </w:rPr>
        <w:t>七、《政府性基金预算财政拨款收入支出决算表》</w:t>
      </w:r>
    </w:p>
    <w:p w14:paraId="6143F961">
      <w:pPr>
        <w:spacing w:line="240" w:lineRule="auto"/>
        <w:ind w:firstLine="640"/>
        <w:jc w:val="both"/>
      </w:pPr>
      <w:r>
        <w:rPr>
          <w:rFonts w:ascii="仿宋_GB2312" w:hAnsi="仿宋_GB2312" w:eastAsia="仿宋_GB2312"/>
          <w:b w:val="0"/>
          <w:sz w:val="32"/>
        </w:rPr>
        <w:t>八、《国有资本经营预算财政拨款收入支出决算表》</w:t>
      </w:r>
    </w:p>
    <w:p w14:paraId="0E7DE705">
      <w:pPr>
        <w:spacing w:line="240" w:lineRule="auto"/>
        <w:ind w:firstLine="640"/>
        <w:jc w:val="both"/>
      </w:pPr>
      <w:r>
        <w:rPr>
          <w:rFonts w:ascii="仿宋_GB2312" w:hAnsi="仿宋_GB2312" w:eastAsia="仿宋_GB2312"/>
          <w:b w:val="0"/>
          <w:sz w:val="32"/>
        </w:rPr>
        <w:t>九、《财政拨款“三公”经费支出决算表》</w:t>
      </w:r>
    </w:p>
    <w:p w14:paraId="5EFDDB68">
      <w:pPr>
        <w:spacing w:line="240" w:lineRule="auto"/>
        <w:ind w:firstLine="640"/>
        <w:jc w:val="both"/>
      </w:pPr>
    </w:p>
    <w:p w14:paraId="3E23539A">
      <w:pPr>
        <w:spacing w:line="240" w:lineRule="auto"/>
        <w:ind w:firstLine="640"/>
        <w:jc w:val="both"/>
      </w:pPr>
    </w:p>
    <w:p w14:paraId="7F40816C">
      <w:pPr>
        <w:spacing w:line="240" w:lineRule="auto"/>
        <w:ind w:firstLine="640"/>
        <w:jc w:val="both"/>
      </w:pPr>
    </w:p>
    <w:p w14:paraId="6455B0CA">
      <w:pPr>
        <w:spacing w:line="240" w:lineRule="auto"/>
        <w:ind w:firstLine="640"/>
        <w:jc w:val="both"/>
      </w:pPr>
    </w:p>
    <w:p w14:paraId="4DCCBE0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220E11"/>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B62D0A"/>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07838"/>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6024</Words>
  <Characters>6900</Characters>
  <Lines>0</Lines>
  <Paragraphs>0</Paragraphs>
  <TotalTime>6</TotalTime>
  <ScaleCrop>false</ScaleCrop>
  <LinksUpToDate>false</LinksUpToDate>
  <CharactersWithSpaces>6909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2025-09-11T10:39:01Z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