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w:t>
      </w:r>
      <w:bookmarkStart w:id="0" w:name="_GoBack"/>
      <w:r>
        <w:rPr>
          <w:rFonts w:hint="eastAsia" w:ascii="方正小标宋_GBK" w:hAnsi="宋体" w:eastAsia="方正小标宋_GBK"/>
          <w:sz w:val="44"/>
          <w:szCs w:val="44"/>
          <w:highlight w:val="none"/>
          <w:lang w:val="en-US" w:eastAsia="zh-CN"/>
        </w:rPr>
        <w:t>巴音郭楞</w:t>
      </w:r>
      <w:bookmarkEnd w:id="0"/>
      <w:r>
        <w:rPr>
          <w:rFonts w:hint="eastAsia" w:ascii="方正小标宋_GBK" w:hAnsi="宋体" w:eastAsia="方正小标宋_GBK"/>
          <w:sz w:val="44"/>
          <w:szCs w:val="44"/>
          <w:highlight w:val="none"/>
          <w:lang w:val="en-US" w:eastAsia="zh-CN"/>
        </w:rPr>
        <w:t>蒙古自治州住房公积金管理中心2024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C1AE50C">
      <w:r>
        <w:br w:type="page"/>
      </w:r>
    </w:p>
    <w:p w14:paraId="6473A8DE">
      <w:pPr>
        <w:spacing w:line="640" w:lineRule="exact"/>
        <w:jc w:val="center"/>
        <w:outlineLvl w:val="1"/>
      </w:pPr>
      <w:r>
        <w:rPr>
          <w:rFonts w:ascii="黑体" w:hAnsi="黑体" w:eastAsia="黑体"/>
          <w:sz w:val="32"/>
        </w:rPr>
        <w:t>第一部分 部门概况</w:t>
      </w:r>
    </w:p>
    <w:p w14:paraId="7CAC2AEC">
      <w:pPr>
        <w:spacing w:line="640" w:lineRule="exact"/>
        <w:ind w:firstLine="640"/>
        <w:jc w:val="both"/>
        <w:outlineLvl w:val="2"/>
      </w:pPr>
      <w:r>
        <w:rPr>
          <w:rFonts w:ascii="黑体" w:hAnsi="黑体" w:eastAsia="黑体"/>
          <w:sz w:val="32"/>
        </w:rPr>
        <w:t>一、主要职能</w:t>
      </w:r>
    </w:p>
    <w:p w14:paraId="151BB6E5">
      <w:pPr>
        <w:spacing w:line="580" w:lineRule="exact"/>
        <w:ind w:firstLine="640"/>
        <w:jc w:val="both"/>
      </w:pPr>
      <w:r>
        <w:rPr>
          <w:rFonts w:ascii="仿宋_GB2312" w:hAnsi="仿宋_GB2312" w:eastAsia="仿宋_GB2312"/>
          <w:sz w:val="32"/>
        </w:rPr>
        <w:t>1.编制、执行住房公积金的归集、使用计划。</w:t>
      </w:r>
    </w:p>
    <w:p w14:paraId="35A34838">
      <w:pPr>
        <w:spacing w:line="580" w:lineRule="exact"/>
        <w:ind w:firstLine="640"/>
        <w:jc w:val="both"/>
      </w:pPr>
      <w:r>
        <w:rPr>
          <w:rFonts w:ascii="仿宋_GB2312" w:hAnsi="仿宋_GB2312" w:eastAsia="仿宋_GB2312"/>
          <w:sz w:val="32"/>
        </w:rPr>
        <w:t>2.记载职工住房公积金缴存。</w:t>
      </w:r>
    </w:p>
    <w:p w14:paraId="4F531790">
      <w:pPr>
        <w:spacing w:line="580" w:lineRule="exact"/>
        <w:ind w:firstLine="640"/>
        <w:jc w:val="both"/>
      </w:pPr>
      <w:r>
        <w:rPr>
          <w:rFonts w:ascii="仿宋_GB2312" w:hAnsi="仿宋_GB2312" w:eastAsia="仿宋_GB2312"/>
          <w:sz w:val="32"/>
        </w:rPr>
        <w:t>3.负责住房公积金的核算。</w:t>
      </w:r>
    </w:p>
    <w:p w14:paraId="4EA39D7D">
      <w:pPr>
        <w:spacing w:line="580" w:lineRule="exact"/>
        <w:ind w:firstLine="640"/>
        <w:jc w:val="both"/>
      </w:pPr>
      <w:r>
        <w:rPr>
          <w:rFonts w:ascii="仿宋_GB2312" w:hAnsi="仿宋_GB2312" w:eastAsia="仿宋_GB2312"/>
          <w:sz w:val="32"/>
        </w:rPr>
        <w:t>4.审批住房公积金的提取、使用。</w:t>
      </w:r>
    </w:p>
    <w:p w14:paraId="2D4183A0">
      <w:pPr>
        <w:spacing w:line="580" w:lineRule="exact"/>
        <w:ind w:firstLine="640"/>
        <w:jc w:val="both"/>
      </w:pPr>
      <w:r>
        <w:rPr>
          <w:rFonts w:ascii="仿宋_GB2312" w:hAnsi="仿宋_GB2312" w:eastAsia="仿宋_GB2312"/>
          <w:sz w:val="32"/>
        </w:rPr>
        <w:t>5.负责住房公积金的保值和归还。</w:t>
      </w:r>
    </w:p>
    <w:p w14:paraId="718685BA">
      <w:pPr>
        <w:spacing w:line="580" w:lineRule="exact"/>
        <w:ind w:firstLine="640"/>
        <w:jc w:val="both"/>
      </w:pPr>
      <w:r>
        <w:rPr>
          <w:rFonts w:ascii="仿宋_GB2312" w:hAnsi="仿宋_GB2312" w:eastAsia="仿宋_GB2312"/>
          <w:sz w:val="32"/>
        </w:rPr>
        <w:t>6.编制住房公积金归集、使用计划执行情况的报告。</w:t>
      </w:r>
    </w:p>
    <w:p w14:paraId="37EA232A">
      <w:pPr>
        <w:spacing w:line="580" w:lineRule="exact"/>
        <w:ind w:firstLine="640"/>
        <w:jc w:val="both"/>
      </w:pPr>
      <w:r>
        <w:rPr>
          <w:rFonts w:ascii="仿宋_GB2312" w:hAnsi="仿宋_GB2312" w:eastAsia="仿宋_GB2312"/>
          <w:sz w:val="32"/>
        </w:rPr>
        <w:t>7.承办住房公积金管委会决定的其他事项。</w:t>
      </w:r>
    </w:p>
    <w:p w14:paraId="39D11391">
      <w:pPr>
        <w:spacing w:line="640" w:lineRule="exact"/>
        <w:ind w:firstLine="640"/>
        <w:jc w:val="both"/>
        <w:outlineLvl w:val="2"/>
      </w:pPr>
      <w:r>
        <w:rPr>
          <w:rFonts w:ascii="黑体" w:hAnsi="黑体" w:eastAsia="黑体"/>
          <w:sz w:val="32"/>
        </w:rPr>
        <w:t>二、机构设置及人员情况</w:t>
      </w:r>
    </w:p>
    <w:p w14:paraId="44AEBD32">
      <w:pPr>
        <w:spacing w:line="580" w:lineRule="exact"/>
        <w:ind w:firstLine="640"/>
        <w:jc w:val="both"/>
      </w:pPr>
      <w:r>
        <w:rPr>
          <w:rFonts w:ascii="仿宋_GB2312" w:hAnsi="仿宋_GB2312" w:eastAsia="仿宋_GB2312"/>
          <w:sz w:val="32"/>
        </w:rPr>
        <w:t>新疆巴音郭楞蒙古自治州住房公积金管理中心2024年度，实有人数76人，其中：在职人员56人，减少3人；离休人员0人，增加0人；退休人员20人,增加4人。</w:t>
      </w:r>
    </w:p>
    <w:p w14:paraId="26BC6C53">
      <w:pPr>
        <w:spacing w:line="580" w:lineRule="exact"/>
        <w:ind w:firstLine="640"/>
        <w:jc w:val="both"/>
      </w:pPr>
      <w:r>
        <w:rPr>
          <w:rFonts w:ascii="仿宋_GB2312" w:hAnsi="仿宋_GB2312" w:eastAsia="仿宋_GB2312"/>
          <w:sz w:val="32"/>
        </w:rPr>
        <w:t>新疆巴音郭楞蒙古自治州住房公积金管理中心无下属预算单位，下设6个科室，分别是：办公室、资金管理科、信贷科、稽查科、技术科、计划财务科。</w:t>
      </w:r>
    </w:p>
    <w:p w14:paraId="79106E47">
      <w:r>
        <w:br w:type="page"/>
      </w:r>
    </w:p>
    <w:p w14:paraId="5D0BE930">
      <w:pPr>
        <w:spacing w:line="240" w:lineRule="auto"/>
        <w:jc w:val="center"/>
        <w:outlineLvl w:val="1"/>
      </w:pPr>
      <w:r>
        <w:rPr>
          <w:rFonts w:ascii="黑体" w:hAnsi="黑体" w:eastAsia="黑体"/>
          <w:sz w:val="32"/>
        </w:rPr>
        <w:t>第二部分 部门决算情况说明</w:t>
      </w:r>
    </w:p>
    <w:p w14:paraId="254095B8">
      <w:pPr>
        <w:spacing w:line="640" w:lineRule="exact"/>
        <w:ind w:firstLine="640"/>
        <w:jc w:val="both"/>
        <w:outlineLvl w:val="2"/>
      </w:pPr>
      <w:r>
        <w:rPr>
          <w:rFonts w:ascii="黑体" w:hAnsi="黑体" w:eastAsia="黑体"/>
          <w:sz w:val="32"/>
        </w:rPr>
        <w:t>一、收入支出决算总体情况说明</w:t>
      </w:r>
    </w:p>
    <w:p w14:paraId="55CD2E43">
      <w:pPr>
        <w:spacing w:line="580" w:lineRule="exact"/>
        <w:ind w:firstLine="640"/>
        <w:jc w:val="both"/>
      </w:pPr>
      <w:r>
        <w:rPr>
          <w:rFonts w:ascii="仿宋_GB2312" w:hAnsi="仿宋_GB2312" w:eastAsia="仿宋_GB2312"/>
          <w:b/>
          <w:sz w:val="32"/>
        </w:rPr>
        <w:t>2024年度收入总计2,261.88万元，</w:t>
      </w:r>
      <w:r>
        <w:rPr>
          <w:rFonts w:ascii="仿宋_GB2312" w:hAnsi="仿宋_GB2312" w:eastAsia="仿宋_GB2312"/>
          <w:b w:val="0"/>
          <w:sz w:val="32"/>
        </w:rPr>
        <w:t>其中：本年收入合计2,258.66万元，使用非财政拨款结余（含专用结余）0.00万元，年初结转和结余3.22万元。</w:t>
      </w:r>
    </w:p>
    <w:p w14:paraId="3870033E">
      <w:pPr>
        <w:spacing w:line="580" w:lineRule="exact"/>
        <w:ind w:firstLine="640"/>
        <w:jc w:val="both"/>
      </w:pPr>
      <w:r>
        <w:rPr>
          <w:rFonts w:ascii="仿宋_GB2312" w:hAnsi="仿宋_GB2312" w:eastAsia="仿宋_GB2312"/>
          <w:b/>
          <w:sz w:val="32"/>
        </w:rPr>
        <w:t>2024年度支出总计2,261.88万元，</w:t>
      </w:r>
      <w:r>
        <w:rPr>
          <w:rFonts w:ascii="仿宋_GB2312" w:hAnsi="仿宋_GB2312" w:eastAsia="仿宋_GB2312"/>
          <w:b w:val="0"/>
          <w:sz w:val="32"/>
        </w:rPr>
        <w:t>其中：本年支出合计2,257.51万元，结余分配0.00万元，年末结转和结余4.38万元。</w:t>
      </w:r>
    </w:p>
    <w:p w14:paraId="45A63833">
      <w:pPr>
        <w:spacing w:line="580" w:lineRule="exact"/>
        <w:ind w:firstLine="640"/>
        <w:jc w:val="both"/>
      </w:pPr>
      <w:r>
        <w:rPr>
          <w:rFonts w:ascii="仿宋_GB2312" w:hAnsi="仿宋_GB2312" w:eastAsia="仿宋_GB2312"/>
          <w:b w:val="0"/>
          <w:sz w:val="32"/>
        </w:rPr>
        <w:t>收入支出总体与上年相比，减少22.66万元，下降0.99%，主要原因是：本年减少信息网络软件购置更新及业务保障项目经费。</w:t>
      </w:r>
    </w:p>
    <w:p w14:paraId="693AB99E">
      <w:pPr>
        <w:spacing w:line="640" w:lineRule="exact"/>
        <w:ind w:firstLine="640"/>
        <w:jc w:val="both"/>
        <w:outlineLvl w:val="2"/>
      </w:pPr>
      <w:r>
        <w:rPr>
          <w:rFonts w:ascii="黑体" w:hAnsi="黑体" w:eastAsia="黑体"/>
          <w:sz w:val="32"/>
        </w:rPr>
        <w:t>二、收入决算情况说明</w:t>
      </w:r>
    </w:p>
    <w:p w14:paraId="1DEAC066">
      <w:pPr>
        <w:spacing w:line="580" w:lineRule="exact"/>
        <w:ind w:firstLine="640"/>
        <w:jc w:val="both"/>
      </w:pPr>
      <w:r>
        <w:rPr>
          <w:rFonts w:ascii="仿宋_GB2312" w:hAnsi="仿宋_GB2312" w:eastAsia="仿宋_GB2312"/>
          <w:b/>
          <w:sz w:val="32"/>
        </w:rPr>
        <w:t>本年收入2,258.66万元，</w:t>
      </w:r>
      <w:r>
        <w:rPr>
          <w:rFonts w:ascii="仿宋_GB2312" w:hAnsi="仿宋_GB2312" w:eastAsia="仿宋_GB2312"/>
          <w:b w:val="0"/>
          <w:sz w:val="32"/>
        </w:rPr>
        <w:t>其中：财政拨款收入2,257.51万元，占99.95%；上级补助收入0.00万元，占0.00%；事业收入0.00万元，占0.00%；经营收入0.00万元，占0.00%；附属单位上缴收入0.00万元，占0.00%；其他收入1.15万元，占0.05%。</w:t>
      </w:r>
    </w:p>
    <w:p w14:paraId="441BFD60">
      <w:pPr>
        <w:spacing w:line="640" w:lineRule="exact"/>
        <w:ind w:firstLine="640"/>
        <w:jc w:val="both"/>
        <w:outlineLvl w:val="2"/>
      </w:pPr>
      <w:r>
        <w:rPr>
          <w:rFonts w:ascii="黑体" w:hAnsi="黑体" w:eastAsia="黑体"/>
          <w:sz w:val="32"/>
        </w:rPr>
        <w:t>三、支出决算情况说明</w:t>
      </w:r>
    </w:p>
    <w:p w14:paraId="6006BF0B">
      <w:pPr>
        <w:spacing w:line="580" w:lineRule="exact"/>
        <w:ind w:firstLine="640"/>
        <w:jc w:val="both"/>
      </w:pPr>
      <w:r>
        <w:rPr>
          <w:rFonts w:ascii="仿宋_GB2312" w:hAnsi="仿宋_GB2312" w:eastAsia="仿宋_GB2312"/>
          <w:b/>
          <w:sz w:val="32"/>
        </w:rPr>
        <w:t>本年支出2,257.51万元，</w:t>
      </w:r>
      <w:r>
        <w:rPr>
          <w:rFonts w:ascii="仿宋_GB2312" w:hAnsi="仿宋_GB2312" w:eastAsia="仿宋_GB2312"/>
          <w:b w:val="0"/>
          <w:sz w:val="32"/>
        </w:rPr>
        <w:t>其中：基本支出1,650.03万元，占73.09%；项目支出607.48万元，占26.91%；上缴上级支出0.00万元，占0.00%；经营支出0.00万元，占0.00%；对附属单位补助支出0.00万元，占0.00%。</w:t>
      </w:r>
    </w:p>
    <w:p w14:paraId="352C14DB">
      <w:pPr>
        <w:spacing w:line="640" w:lineRule="exact"/>
        <w:ind w:firstLine="640"/>
        <w:jc w:val="both"/>
        <w:outlineLvl w:val="2"/>
      </w:pPr>
      <w:r>
        <w:rPr>
          <w:rFonts w:ascii="黑体" w:hAnsi="黑体" w:eastAsia="黑体"/>
          <w:sz w:val="32"/>
        </w:rPr>
        <w:t>四、财政拨款收入支出决算总体情况说明</w:t>
      </w:r>
    </w:p>
    <w:p w14:paraId="4ED2C72C">
      <w:pPr>
        <w:spacing w:line="580" w:lineRule="exact"/>
        <w:ind w:firstLine="640"/>
        <w:jc w:val="both"/>
      </w:pPr>
      <w:r>
        <w:rPr>
          <w:rFonts w:ascii="仿宋_GB2312" w:hAnsi="仿宋_GB2312" w:eastAsia="仿宋_GB2312"/>
          <w:b/>
          <w:sz w:val="32"/>
        </w:rPr>
        <w:t>2024年度财政拨款收入总计2,257.51万元，</w:t>
      </w:r>
      <w:r>
        <w:rPr>
          <w:rFonts w:ascii="仿宋_GB2312" w:hAnsi="仿宋_GB2312" w:eastAsia="仿宋_GB2312"/>
          <w:b w:val="0"/>
          <w:sz w:val="32"/>
        </w:rPr>
        <w:t>其中：年初财政拨款结转和结余0.00万元，本年财政拨款收入2,257.51万元。</w:t>
      </w:r>
      <w:r>
        <w:rPr>
          <w:rFonts w:ascii="仿宋_GB2312" w:hAnsi="仿宋_GB2312" w:eastAsia="仿宋_GB2312"/>
          <w:b/>
          <w:sz w:val="32"/>
        </w:rPr>
        <w:t>财政拨款支出总计2,257.51万元，</w:t>
      </w:r>
      <w:r>
        <w:rPr>
          <w:rFonts w:ascii="仿宋_GB2312" w:hAnsi="仿宋_GB2312" w:eastAsia="仿宋_GB2312"/>
          <w:b w:val="0"/>
          <w:sz w:val="32"/>
        </w:rPr>
        <w:t>其中：年末财政拨款结转和结余0.00万元，本年财政拨款支出2,257.51万元。</w:t>
      </w:r>
    </w:p>
    <w:p w14:paraId="657B422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减少22.23万元，下降0.98%，主要原因是：本年减少信息网络软件购置更新及业务保障项目经费。</w:t>
      </w:r>
      <w:r>
        <w:rPr>
          <w:rFonts w:ascii="仿宋_GB2312" w:hAnsi="仿宋_GB2312" w:eastAsia="仿宋_GB2312"/>
          <w:b/>
          <w:sz w:val="32"/>
        </w:rPr>
        <w:t>与年初预算相比，</w:t>
      </w:r>
      <w:r>
        <w:rPr>
          <w:rFonts w:ascii="仿宋_GB2312" w:hAnsi="仿宋_GB2312" w:eastAsia="仿宋_GB2312"/>
          <w:b w:val="0"/>
          <w:sz w:val="32"/>
        </w:rPr>
        <w:t>年初预算数2,382.36万元，决算数2,257.51万元，预决算差异率-5.24%，主要原因是：本年在职人员减少，年中调减人员经费，导致预决算存在差异。</w:t>
      </w:r>
    </w:p>
    <w:p w14:paraId="4E0D575A">
      <w:pPr>
        <w:spacing w:line="640" w:lineRule="exact"/>
        <w:ind w:firstLine="640"/>
        <w:jc w:val="both"/>
        <w:outlineLvl w:val="2"/>
      </w:pPr>
      <w:r>
        <w:rPr>
          <w:rFonts w:ascii="黑体" w:hAnsi="黑体" w:eastAsia="黑体"/>
          <w:sz w:val="32"/>
        </w:rPr>
        <w:t>五、一般公共预算财政拨款支出决算情况说明</w:t>
      </w:r>
    </w:p>
    <w:p w14:paraId="5A6483EC">
      <w:pPr>
        <w:spacing w:line="640" w:lineRule="exact"/>
        <w:ind w:firstLine="640"/>
        <w:jc w:val="both"/>
        <w:outlineLvl w:val="3"/>
      </w:pPr>
      <w:r>
        <w:rPr>
          <w:rFonts w:ascii="楷体_GB2312" w:hAnsi="楷体_GB2312" w:eastAsia="楷体_GB2312"/>
          <w:b/>
          <w:sz w:val="32"/>
        </w:rPr>
        <w:t>（一）一般公共预算财政拨款支出决算总体情况</w:t>
      </w:r>
    </w:p>
    <w:p w14:paraId="3C2EDA27">
      <w:pPr>
        <w:spacing w:line="580" w:lineRule="exact"/>
        <w:ind w:firstLine="640"/>
        <w:jc w:val="both"/>
      </w:pPr>
      <w:r>
        <w:rPr>
          <w:rFonts w:ascii="仿宋_GB2312" w:hAnsi="仿宋_GB2312" w:eastAsia="仿宋_GB2312"/>
          <w:b/>
          <w:sz w:val="32"/>
        </w:rPr>
        <w:t>2024年度一般公共预算财政拨款支出2,257.51万元，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减少22.23万元，下降0.98%，主要原因是：本年减少信息网络软件购置更新及业务保障项目经费。</w:t>
      </w:r>
      <w:r>
        <w:rPr>
          <w:rFonts w:ascii="仿宋_GB2312" w:hAnsi="仿宋_GB2312" w:eastAsia="仿宋_GB2312"/>
          <w:b/>
          <w:sz w:val="32"/>
        </w:rPr>
        <w:t>与年初预算相比,</w:t>
      </w:r>
      <w:r>
        <w:rPr>
          <w:rFonts w:ascii="仿宋_GB2312" w:hAnsi="仿宋_GB2312" w:eastAsia="仿宋_GB2312"/>
          <w:b w:val="0"/>
          <w:sz w:val="32"/>
        </w:rPr>
        <w:t>年初预算数2,382.36万元，决算数2,257.51万元，预决算差异率-5.24%，主要原因是：本年在职人员减少，年中调减人员经费，导致预决算存在差异。</w:t>
      </w:r>
    </w:p>
    <w:p w14:paraId="4E6FC85D">
      <w:pPr>
        <w:spacing w:line="640" w:lineRule="exact"/>
        <w:ind w:firstLine="640"/>
        <w:jc w:val="both"/>
        <w:outlineLvl w:val="3"/>
      </w:pPr>
      <w:r>
        <w:rPr>
          <w:rFonts w:ascii="楷体_GB2312" w:hAnsi="楷体_GB2312" w:eastAsia="楷体_GB2312"/>
          <w:b/>
          <w:sz w:val="32"/>
        </w:rPr>
        <w:t>（二）一般公共预算财政拨款支出决算结构情况</w:t>
      </w:r>
    </w:p>
    <w:p w14:paraId="5263348A">
      <w:pPr>
        <w:spacing w:line="580" w:lineRule="exact"/>
        <w:ind w:firstLine="640"/>
        <w:jc w:val="both"/>
      </w:pPr>
      <w:r>
        <w:rPr>
          <w:rFonts w:ascii="仿宋_GB2312" w:hAnsi="仿宋_GB2312" w:eastAsia="仿宋_GB2312"/>
          <w:b w:val="0"/>
          <w:sz w:val="32"/>
        </w:rPr>
        <w:t>1.教育支出(类)2.51万元,占0.11%。</w:t>
      </w:r>
    </w:p>
    <w:p w14:paraId="419F35EC">
      <w:pPr>
        <w:spacing w:line="580" w:lineRule="exact"/>
        <w:ind w:firstLine="640"/>
        <w:jc w:val="both"/>
      </w:pPr>
      <w:r>
        <w:rPr>
          <w:rFonts w:ascii="仿宋_GB2312" w:hAnsi="仿宋_GB2312" w:eastAsia="仿宋_GB2312"/>
          <w:b w:val="0"/>
          <w:sz w:val="32"/>
        </w:rPr>
        <w:t>2.社会保障和就业支出(类)171.32万元,占7.59%。</w:t>
      </w:r>
    </w:p>
    <w:p w14:paraId="0F733C84">
      <w:pPr>
        <w:spacing w:line="580" w:lineRule="exact"/>
        <w:ind w:firstLine="640"/>
        <w:jc w:val="both"/>
      </w:pPr>
      <w:r>
        <w:rPr>
          <w:rFonts w:ascii="仿宋_GB2312" w:hAnsi="仿宋_GB2312" w:eastAsia="仿宋_GB2312"/>
          <w:b w:val="0"/>
          <w:sz w:val="32"/>
        </w:rPr>
        <w:t>3.卫生健康支出(类)56.39万元,占2.50%。</w:t>
      </w:r>
    </w:p>
    <w:p w14:paraId="1C91C74F">
      <w:pPr>
        <w:spacing w:line="580" w:lineRule="exact"/>
        <w:ind w:firstLine="640"/>
        <w:jc w:val="both"/>
      </w:pPr>
      <w:r>
        <w:rPr>
          <w:rFonts w:ascii="仿宋_GB2312" w:hAnsi="仿宋_GB2312" w:eastAsia="仿宋_GB2312"/>
          <w:b w:val="0"/>
          <w:sz w:val="32"/>
        </w:rPr>
        <w:t>4.住房保障支出(类)2,027.28万元,占89.80%。</w:t>
      </w:r>
    </w:p>
    <w:p w14:paraId="31C056CF">
      <w:pPr>
        <w:spacing w:line="640" w:lineRule="exact"/>
        <w:ind w:firstLine="640"/>
        <w:jc w:val="both"/>
        <w:outlineLvl w:val="3"/>
      </w:pPr>
      <w:r>
        <w:rPr>
          <w:rFonts w:ascii="楷体_GB2312" w:hAnsi="楷体_GB2312" w:eastAsia="楷体_GB2312"/>
          <w:b/>
          <w:sz w:val="32"/>
        </w:rPr>
        <w:t>（三）一般公共预算财政拨款支出决算具体情况</w:t>
      </w:r>
    </w:p>
    <w:p w14:paraId="7CD80B4C">
      <w:pPr>
        <w:spacing w:line="580" w:lineRule="exact"/>
        <w:ind w:firstLine="640"/>
        <w:jc w:val="both"/>
      </w:pPr>
      <w:r>
        <w:rPr>
          <w:rFonts w:ascii="仿宋_GB2312" w:hAnsi="仿宋_GB2312" w:eastAsia="仿宋_GB2312"/>
          <w:b w:val="0"/>
          <w:sz w:val="32"/>
        </w:rPr>
        <w:t>1.教育支出(类)进修及培训(款)培训支出(项):支出决算数为2.51万元，比上年决算减少2.03万元，下降44.71%,主要原因是：本年度减少外出培训计划，导致培训经费较上年减少。</w:t>
      </w:r>
    </w:p>
    <w:p w14:paraId="1EA79278">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2.社会保障和就业支出(类)行政事业单位养老支出(款)事业单位离退休(项):支出决算数为6.75万元，比上年决算减少1.34万元，下降16.56%,主要原因是：</w:t>
      </w:r>
      <w:r>
        <w:rPr>
          <w:rFonts w:hint="eastAsia" w:ascii="仿宋_GB2312" w:hAnsi="仿宋_GB2312" w:eastAsia="仿宋_GB2312"/>
          <w:b w:val="0"/>
          <w:sz w:val="32"/>
          <w:lang w:eastAsia="zh-CN"/>
        </w:rPr>
        <w:t>上年发放退休人员绩效较多，本年正常发放，导致退休费减少</w:t>
      </w:r>
      <w:r>
        <w:rPr>
          <w:rFonts w:ascii="仿宋_GB2312" w:hAnsi="仿宋_GB2312" w:eastAsia="仿宋_GB2312"/>
          <w:b w:val="0"/>
          <w:sz w:val="32"/>
        </w:rPr>
        <w:t>。</w:t>
      </w:r>
    </w:p>
    <w:p w14:paraId="5AFF1CFF">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109.71万元，比上年决算增加0.49万元，增长0.45%,主要原因是：本年在职人员工资基数调增，养老缴费基数上涨，相应支出增加。</w:t>
      </w:r>
    </w:p>
    <w:p w14:paraId="3B4D0DB0">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4.社会保障和就业支出(类)行政事业单位养老支出(款)机关事业单位职业年金缴费支出(项):支出决算数为54.86万元，比上年决算增加4.74万元，增长9.46%,主要原因是：本年新增退休人员</w:t>
      </w:r>
      <w:r>
        <w:rPr>
          <w:rFonts w:hint="eastAsia" w:ascii="仿宋_GB2312" w:hAnsi="仿宋_GB2312" w:eastAsia="仿宋_GB2312"/>
          <w:b w:val="0"/>
          <w:sz w:val="32"/>
          <w:lang w:eastAsia="zh-CN"/>
        </w:rPr>
        <w:t>较上年增加</w:t>
      </w:r>
      <w:r>
        <w:rPr>
          <w:rFonts w:ascii="仿宋_GB2312" w:hAnsi="仿宋_GB2312" w:eastAsia="仿宋_GB2312"/>
          <w:b w:val="0"/>
          <w:sz w:val="32"/>
        </w:rPr>
        <w:t>，职业年金缴费支出增加。</w:t>
      </w:r>
    </w:p>
    <w:p w14:paraId="60D3F825">
      <w:pPr>
        <w:spacing w:line="580" w:lineRule="exact"/>
        <w:ind w:firstLine="640"/>
        <w:jc w:val="both"/>
      </w:pPr>
      <w:r>
        <w:rPr>
          <w:rFonts w:ascii="仿宋_GB2312" w:hAnsi="仿宋_GB2312" w:eastAsia="仿宋_GB2312"/>
          <w:b w:val="0"/>
          <w:sz w:val="32"/>
        </w:rPr>
        <w:t>5.卫生健康支出(类)行政事业单位医疗(款)事业单位医疗(项):支出决算数为54.80万元，比上年决算增加6.68万元，增长13.88%,主要原因是：本年在职人员工资基数调增，医疗缴费基数上涨，相应支出增加。</w:t>
      </w:r>
    </w:p>
    <w:p w14:paraId="74E8F1F6">
      <w:pPr>
        <w:spacing w:line="580" w:lineRule="exact"/>
        <w:ind w:firstLine="640"/>
        <w:jc w:val="both"/>
      </w:pPr>
      <w:r>
        <w:rPr>
          <w:rFonts w:ascii="仿宋_GB2312" w:hAnsi="仿宋_GB2312" w:eastAsia="仿宋_GB2312"/>
          <w:b w:val="0"/>
          <w:sz w:val="32"/>
        </w:rPr>
        <w:t>6.卫生健康支出(类)行政事业单位医疗(款)其他行政事业单位医疗支出(项):支出决算数为1.60万元，比上年决算减少0.10万元，下降5.88%,主要原因是：本年在职人员减少，其他行政事业单位医疗支出较上年减少。</w:t>
      </w:r>
    </w:p>
    <w:p w14:paraId="4439CE89">
      <w:pPr>
        <w:spacing w:line="580" w:lineRule="exact"/>
        <w:ind w:firstLine="640"/>
        <w:jc w:val="both"/>
      </w:pPr>
      <w:r>
        <w:rPr>
          <w:rFonts w:ascii="仿宋_GB2312" w:hAnsi="仿宋_GB2312" w:eastAsia="仿宋_GB2312"/>
          <w:b w:val="0"/>
          <w:sz w:val="32"/>
        </w:rPr>
        <w:t>7.住房保障支出(类)住房改革支出(款)住房公积金(项):支出决算数为95.95万元，比上年决算增加15.08万元，增长18.65%,主要原因是：本年在职人员工资基数调增，公积金缴费基数上涨，相应支出增加。</w:t>
      </w:r>
    </w:p>
    <w:p w14:paraId="12244B15">
      <w:pPr>
        <w:spacing w:line="580" w:lineRule="exact"/>
        <w:ind w:firstLine="640"/>
        <w:jc w:val="both"/>
      </w:pPr>
      <w:r>
        <w:rPr>
          <w:rFonts w:ascii="仿宋_GB2312" w:hAnsi="仿宋_GB2312" w:eastAsia="仿宋_GB2312"/>
          <w:b w:val="0"/>
          <w:sz w:val="32"/>
        </w:rPr>
        <w:t>8.住房保障支出(类)城乡社区住宅(款)住房公积金管理(项):支出决算数为1,931.33万元，比上年决算减少45.74万元，下降2.31%,主要原因是：本年减少信息网络软件购置更新及业务保障项目经费。</w:t>
      </w:r>
    </w:p>
    <w:p w14:paraId="1CF09DEE">
      <w:pPr>
        <w:spacing w:line="640" w:lineRule="exact"/>
        <w:ind w:firstLine="640"/>
        <w:jc w:val="both"/>
        <w:outlineLvl w:val="2"/>
      </w:pPr>
      <w:r>
        <w:rPr>
          <w:rFonts w:ascii="黑体" w:hAnsi="黑体" w:eastAsia="黑体"/>
          <w:sz w:val="32"/>
        </w:rPr>
        <w:t>六、一般公共预算财政拨款基本支出决算情况说明</w:t>
      </w:r>
    </w:p>
    <w:p w14:paraId="7857C1AF">
      <w:pPr>
        <w:spacing w:line="580" w:lineRule="exact"/>
        <w:ind w:firstLine="640"/>
        <w:jc w:val="both"/>
      </w:pPr>
      <w:r>
        <w:rPr>
          <w:rFonts w:ascii="仿宋_GB2312" w:hAnsi="仿宋_GB2312" w:eastAsia="仿宋_GB2312"/>
          <w:b w:val="0"/>
          <w:sz w:val="32"/>
        </w:rPr>
        <w:t>2024年度一般公共预算财政拨款基本支出1,650.03万元，其中：</w:t>
      </w:r>
      <w:r>
        <w:rPr>
          <w:rFonts w:ascii="仿宋_GB2312" w:hAnsi="仿宋_GB2312" w:eastAsia="仿宋_GB2312"/>
          <w:b/>
          <w:sz w:val="32"/>
        </w:rPr>
        <w:t>人员经费1,153.98万元，</w:t>
      </w:r>
      <w:r>
        <w:rPr>
          <w:rFonts w:ascii="仿宋_GB2312" w:hAnsi="仿宋_GB2312" w:eastAsia="仿宋_GB2312"/>
          <w:b w:val="0"/>
          <w:sz w:val="32"/>
        </w:rPr>
        <w:t>包括：基本工资、津贴补贴、奖金、伙食补助费、机关事业单位基本养老保险缴费、职业年金缴费、职工基本医疗保险缴费、其他社会保障缴费、住房公积金、医疗费、退休费、抚恤金、生活补助。</w:t>
      </w:r>
    </w:p>
    <w:p w14:paraId="46024FBE">
      <w:pPr>
        <w:spacing w:line="580" w:lineRule="exact"/>
        <w:ind w:firstLine="640"/>
        <w:jc w:val="both"/>
      </w:pPr>
      <w:r>
        <w:rPr>
          <w:rFonts w:ascii="仿宋_GB2312" w:hAnsi="仿宋_GB2312" w:eastAsia="仿宋_GB2312"/>
          <w:b/>
          <w:sz w:val="32"/>
        </w:rPr>
        <w:t>公用经费496.05万元，</w:t>
      </w:r>
      <w:r>
        <w:rPr>
          <w:rFonts w:ascii="仿宋_GB2312" w:hAnsi="仿宋_GB2312" w:eastAsia="仿宋_GB2312"/>
          <w:b w:val="0"/>
          <w:sz w:val="32"/>
        </w:rPr>
        <w:t>包括：办公费、印刷费、水费、电费、邮电费、取暖费、物业管理费、差旅费、维修（护）费、租赁费、培训费、劳务费、工会经费、福利费、公务用车运行维护费、其他交通费用、办公设备购置。</w:t>
      </w:r>
    </w:p>
    <w:p w14:paraId="3EE02B7E">
      <w:pPr>
        <w:spacing w:line="640" w:lineRule="exact"/>
        <w:ind w:firstLine="640"/>
        <w:jc w:val="both"/>
        <w:outlineLvl w:val="2"/>
      </w:pPr>
      <w:r>
        <w:rPr>
          <w:rFonts w:ascii="黑体" w:hAnsi="黑体" w:eastAsia="黑体"/>
          <w:sz w:val="32"/>
        </w:rPr>
        <w:t>七、政府性基金预算财政拨款收入支出决算情况说明</w:t>
      </w:r>
    </w:p>
    <w:p w14:paraId="21EF820C">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7DB6B915">
      <w:pPr>
        <w:spacing w:line="640" w:lineRule="exact"/>
        <w:ind w:firstLine="640"/>
        <w:jc w:val="both"/>
        <w:outlineLvl w:val="2"/>
      </w:pPr>
      <w:r>
        <w:rPr>
          <w:rFonts w:ascii="黑体" w:hAnsi="黑体" w:eastAsia="黑体"/>
          <w:sz w:val="32"/>
        </w:rPr>
        <w:t>八、国有资本经营预算财政拨款收入支出决算情况说明</w:t>
      </w:r>
    </w:p>
    <w:p w14:paraId="715F0E84">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5AA04EE4">
      <w:pPr>
        <w:spacing w:line="640" w:lineRule="exact"/>
        <w:ind w:firstLine="640"/>
        <w:jc w:val="both"/>
        <w:outlineLvl w:val="2"/>
      </w:pPr>
      <w:r>
        <w:rPr>
          <w:rFonts w:ascii="黑体" w:hAnsi="黑体" w:eastAsia="黑体"/>
          <w:sz w:val="32"/>
        </w:rPr>
        <w:t>九、财政拨款“三公”经费支出决算情况说明</w:t>
      </w:r>
    </w:p>
    <w:p w14:paraId="757A289E">
      <w:pPr>
        <w:spacing w:line="580" w:lineRule="exact"/>
        <w:ind w:firstLine="640"/>
        <w:jc w:val="both"/>
      </w:pPr>
      <w:r>
        <w:rPr>
          <w:rFonts w:ascii="仿宋_GB2312" w:hAnsi="仿宋_GB2312" w:eastAsia="仿宋_GB2312"/>
          <w:b/>
          <w:sz w:val="32"/>
        </w:rPr>
        <w:t>2024年度财政拨款“三公”经费支出8.30万元，</w:t>
      </w:r>
      <w:r>
        <w:rPr>
          <w:rFonts w:ascii="仿宋_GB2312" w:hAnsi="仿宋_GB2312" w:eastAsia="仿宋_GB2312"/>
          <w:b w:val="0"/>
          <w:sz w:val="32"/>
        </w:rPr>
        <w:t>比上年减少8.63万元，下降50.97%，主要原因是：严格落实中央八项规定精神，厉行节约，减少财政拨款“三公”经费支出。其中：因公出国（境）费支出0.00万元，占0.00%，比上年增加0.00万元，增长0.00%，主要原因是：2023年与2024年均未安排因公出国（境）费支出。公务用车购置及运行维护费支出8.30万元，占100.00%，比上年减少8.57万元，下降50.80%，主要原因是：严格落实中央八项规定精神，厉行节约，减少公务用车运行维护费。公务接待费支出0.00万元，占0.00%，比上年减少0.06万元，下降100.00%，主要原因是：严格落实中央八项规定精神，厉行节约，减少公务接待费。</w:t>
      </w:r>
    </w:p>
    <w:p w14:paraId="071FBFC9">
      <w:pPr>
        <w:spacing w:line="580" w:lineRule="exact"/>
        <w:ind w:firstLine="640"/>
        <w:jc w:val="both"/>
      </w:pPr>
      <w:r>
        <w:rPr>
          <w:rFonts w:ascii="仿宋_GB2312" w:hAnsi="仿宋_GB2312" w:eastAsia="仿宋_GB2312"/>
          <w:b/>
          <w:sz w:val="32"/>
        </w:rPr>
        <w:t>具体情况如下：</w:t>
      </w:r>
    </w:p>
    <w:p w14:paraId="237A9A3B">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6717E975">
      <w:pPr>
        <w:spacing w:line="580" w:lineRule="exact"/>
        <w:ind w:firstLine="640"/>
        <w:jc w:val="both"/>
      </w:pPr>
      <w:r>
        <w:rPr>
          <w:rFonts w:ascii="仿宋_GB2312" w:hAnsi="仿宋_GB2312" w:eastAsia="仿宋_GB2312"/>
          <w:b w:val="0"/>
          <w:sz w:val="32"/>
        </w:rPr>
        <w:t>公务用车购置及运行维护费8.30万元，其中：公务用车购置费0.00万元，公务用车运行维护费8.30万元。公务用车运行维护费开支内容包括车辆加油费、保险费、过路费、维修费。公务用车购置数0辆，公务用车保有量3辆。国有资产占用情况中固定资产车辆3辆，与公务用车保有量差异原因是：本部门固定资产车辆与公务用车保有量一致无差异。</w:t>
      </w:r>
    </w:p>
    <w:p w14:paraId="32E2154C">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6DB4587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8.30万元，决算数8.30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8.30万元，决算数8.30万元，预决算差异率0.00%，主要原因是：严格按照预算执行，预决算无差异。公务接待费全年预算数0.00万元，决算数0.00万元，预决算差异率0.00%，主要原因是：本部门无公务接待费。</w:t>
      </w:r>
    </w:p>
    <w:p w14:paraId="61FAEF86">
      <w:pPr>
        <w:spacing w:line="640" w:lineRule="exact"/>
        <w:ind w:firstLine="640"/>
        <w:jc w:val="both"/>
        <w:outlineLvl w:val="2"/>
      </w:pPr>
      <w:r>
        <w:rPr>
          <w:rFonts w:ascii="黑体" w:hAnsi="黑体" w:eastAsia="黑体"/>
          <w:sz w:val="32"/>
        </w:rPr>
        <w:t>十、其他重要事项的情况说明</w:t>
      </w:r>
    </w:p>
    <w:p w14:paraId="6B1C48DC">
      <w:pPr>
        <w:spacing w:line="640" w:lineRule="exact"/>
        <w:ind w:firstLine="640"/>
        <w:jc w:val="both"/>
        <w:outlineLvl w:val="3"/>
      </w:pPr>
      <w:r>
        <w:rPr>
          <w:rFonts w:ascii="楷体_GB2312" w:hAnsi="楷体_GB2312" w:eastAsia="楷体_GB2312"/>
          <w:b/>
          <w:sz w:val="32"/>
        </w:rPr>
        <w:t>（一）机关运行经费及公用经费支出情况</w:t>
      </w:r>
    </w:p>
    <w:p w14:paraId="7B097017">
      <w:pPr>
        <w:spacing w:line="580" w:lineRule="exact"/>
        <w:ind w:firstLine="640"/>
        <w:jc w:val="both"/>
      </w:pPr>
      <w:r>
        <w:rPr>
          <w:rFonts w:ascii="仿宋_GB2312" w:hAnsi="仿宋_GB2312" w:eastAsia="仿宋_GB2312"/>
          <w:b w:val="0"/>
          <w:sz w:val="32"/>
        </w:rPr>
        <w:t>2024年度新疆巴音郭楞蒙古自治州住房公积金管理中心（事业单位）公用经费支出496.05万元，比上年增加263.33万元，增长113.15%，主要原因是：本年度将劳务派遣人员经费从项目经费调整至公用经费，导致公用经费支出较上年度增加。</w:t>
      </w:r>
    </w:p>
    <w:p w14:paraId="4A6E50EC">
      <w:pPr>
        <w:spacing w:line="640" w:lineRule="exact"/>
        <w:ind w:firstLine="640"/>
        <w:jc w:val="both"/>
        <w:outlineLvl w:val="3"/>
      </w:pPr>
      <w:r>
        <w:rPr>
          <w:rFonts w:ascii="楷体_GB2312" w:hAnsi="楷体_GB2312" w:eastAsia="楷体_GB2312"/>
          <w:b/>
          <w:sz w:val="32"/>
        </w:rPr>
        <w:t>（二）政府采购情况</w:t>
      </w:r>
    </w:p>
    <w:p w14:paraId="1ADF7E4E">
      <w:pPr>
        <w:spacing w:line="580" w:lineRule="exact"/>
        <w:ind w:firstLine="640"/>
        <w:jc w:val="both"/>
      </w:pPr>
      <w:r>
        <w:rPr>
          <w:rFonts w:ascii="仿宋_GB2312" w:hAnsi="仿宋_GB2312" w:eastAsia="仿宋_GB2312"/>
          <w:b w:val="0"/>
          <w:sz w:val="32"/>
        </w:rPr>
        <w:t>2024年度政府采购支出总额68.13万元，其中：政府采购货物支出13.02万元、政府采购工程支出0.00万元、政府采购服务支出55.12万元。</w:t>
      </w:r>
    </w:p>
    <w:p w14:paraId="41ACDE12">
      <w:pPr>
        <w:spacing w:line="580" w:lineRule="exact"/>
        <w:ind w:firstLine="640"/>
        <w:jc w:val="both"/>
      </w:pPr>
      <w:r>
        <w:rPr>
          <w:rFonts w:ascii="仿宋_GB2312" w:hAnsi="仿宋_GB2312" w:eastAsia="仿宋_GB2312"/>
          <w:b w:val="0"/>
          <w:sz w:val="32"/>
        </w:rPr>
        <w:t>授予中小企业合同金额59.28万元，占政府采购支出总额的87.01%，其中：授予小微企业合同金额10.28万元，占政府采购支出总额的15.09%。</w:t>
      </w:r>
    </w:p>
    <w:p w14:paraId="05CF12B8">
      <w:pPr>
        <w:spacing w:line="640" w:lineRule="exact"/>
        <w:ind w:firstLine="640"/>
        <w:jc w:val="both"/>
        <w:outlineLvl w:val="3"/>
      </w:pPr>
      <w:r>
        <w:rPr>
          <w:rFonts w:ascii="楷体_GB2312" w:hAnsi="楷体_GB2312" w:eastAsia="楷体_GB2312"/>
          <w:b/>
          <w:sz w:val="32"/>
        </w:rPr>
        <w:t>（三）国有资产占用情况说明</w:t>
      </w:r>
    </w:p>
    <w:p w14:paraId="051FEFB8">
      <w:pPr>
        <w:spacing w:line="580" w:lineRule="exact"/>
        <w:ind w:firstLine="640"/>
        <w:jc w:val="both"/>
      </w:pPr>
      <w:r>
        <w:rPr>
          <w:rFonts w:ascii="仿宋_GB2312" w:hAnsi="仿宋_GB2312" w:eastAsia="仿宋_GB2312"/>
          <w:b w:val="0"/>
          <w:sz w:val="32"/>
        </w:rPr>
        <w:t>截至2024年12月31日，房屋8,190.46平方米，价值1,983.94万元。车辆3辆，价值97.80万元，其中：副部（省）级及以上领导用车0辆、主要负责人用车0辆、机要通信用车0辆、应急保障用车0辆、执法执勤用车0辆、特种专业技术用车0辆、离退休干部服务用车0辆、其他用车3辆，其他用车主要是：日常办公用车。单价100万元（含）以上设备（不含车辆）0台（套）。</w:t>
      </w:r>
    </w:p>
    <w:p w14:paraId="1FD8D1AE">
      <w:pPr>
        <w:spacing w:line="640" w:lineRule="exact"/>
        <w:ind w:firstLine="640"/>
        <w:jc w:val="both"/>
        <w:outlineLvl w:val="2"/>
      </w:pPr>
      <w:r>
        <w:rPr>
          <w:rFonts w:ascii="黑体" w:hAnsi="黑体" w:eastAsia="黑体"/>
          <w:sz w:val="32"/>
        </w:rPr>
        <w:t>十一、预算绩效的情况说明</w:t>
      </w:r>
    </w:p>
    <w:p w14:paraId="75BD9949">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2,261.88万元，实际执行总额2,257.51万元；预算绩效评价项目2个，全年预算数672.00万元，全年执行数607.48万元。预算绩效管理取得的成效：一是以绩效目标实现为导向，加强制度建设，提升预算执行质量，预算绩效管理取得一定成效。预算绩效管理取得的成效，科学制定目标，促进绩效目标顺利实现。二是自落实预算绩效管理工作以来，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加强学习，进一步明确如何参照考核体系，科学合理设定绩效目标，充分发挥预算绩效管理工作效用。二是财务上会计核算要更加详细，为本部门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开展提供帮助。具体附部门整体支出绩效自评表，项目支出绩效自评表和部门评价报告。</w:t>
      </w:r>
    </w:p>
    <w:p w14:paraId="294DC4BF">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7C9F8E3">
        <w:tblPrEx>
          <w:tblCellMar>
            <w:top w:w="0" w:type="dxa"/>
            <w:left w:w="108" w:type="dxa"/>
            <w:bottom w:w="0" w:type="dxa"/>
            <w:right w:w="108" w:type="dxa"/>
          </w:tblCellMar>
        </w:tblPrEx>
        <w:tc>
          <w:tcPr>
            <w:tcW w:w="8840" w:type="dxa"/>
            <w:gridSpan w:val="8"/>
            <w:vAlign w:val="center"/>
          </w:tcPr>
          <w:p w14:paraId="1ECCDFBC">
            <w:pPr>
              <w:jc w:val="center"/>
            </w:pPr>
            <w:r>
              <w:rPr>
                <w:rFonts w:ascii="宋体" w:hAnsi="宋体" w:eastAsia="宋体"/>
                <w:sz w:val="24"/>
              </w:rPr>
              <w:t>部门整体支出绩效自评表</w:t>
            </w:r>
          </w:p>
        </w:tc>
      </w:tr>
      <w:tr w14:paraId="4C5752F5">
        <w:tblPrEx>
          <w:tblCellMar>
            <w:top w:w="0" w:type="dxa"/>
            <w:left w:w="108" w:type="dxa"/>
            <w:bottom w:w="0" w:type="dxa"/>
            <w:right w:w="108" w:type="dxa"/>
          </w:tblCellMar>
        </w:tblPrEx>
        <w:tc>
          <w:tcPr>
            <w:tcW w:w="8840" w:type="dxa"/>
            <w:gridSpan w:val="8"/>
            <w:vAlign w:val="center"/>
          </w:tcPr>
          <w:p w14:paraId="0CB8355C">
            <w:pPr>
              <w:jc w:val="center"/>
            </w:pPr>
            <w:r>
              <w:rPr>
                <w:rFonts w:ascii="宋体" w:hAnsi="宋体" w:eastAsia="宋体"/>
                <w:sz w:val="24"/>
              </w:rPr>
              <w:t>（2024年度）</w:t>
            </w:r>
          </w:p>
        </w:tc>
      </w:tr>
      <w:tr w14:paraId="00C6B7D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C78DA5">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B61657">
            <w:pPr>
              <w:jc w:val="center"/>
            </w:pPr>
            <w:r>
              <w:rPr>
                <w:rFonts w:ascii="宋体" w:hAnsi="宋体" w:eastAsia="宋体"/>
                <w:sz w:val="16"/>
              </w:rPr>
              <w:t>新疆巴音郭楞蒙古自治州住房公积金管理中心</w:t>
            </w:r>
          </w:p>
        </w:tc>
      </w:tr>
      <w:tr w14:paraId="70873EF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8E440">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7A162F">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5E0A79">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BA289D">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387BED">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FB5A8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A56C40">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AE19B2">
            <w:pPr>
              <w:jc w:val="center"/>
            </w:pPr>
            <w:r>
              <w:rPr>
                <w:rFonts w:ascii="宋体" w:hAnsi="宋体" w:eastAsia="宋体"/>
                <w:sz w:val="16"/>
              </w:rPr>
              <w:t>得分</w:t>
            </w:r>
          </w:p>
        </w:tc>
      </w:tr>
      <w:tr w14:paraId="6D95611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5DBDC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F08B2A">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92B8E6">
            <w:pPr>
              <w:jc w:val="center"/>
            </w:pPr>
            <w:r>
              <w:rPr>
                <w:rFonts w:ascii="宋体" w:hAnsi="宋体" w:eastAsia="宋体"/>
                <w:sz w:val="16"/>
              </w:rPr>
              <w:t>2,382.36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0C5271">
            <w:pPr>
              <w:jc w:val="center"/>
            </w:pPr>
            <w:r>
              <w:rPr>
                <w:rFonts w:ascii="宋体" w:hAnsi="宋体" w:eastAsia="宋体"/>
                <w:sz w:val="16"/>
              </w:rPr>
              <w:t>2,261.88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19A4BA">
            <w:pPr>
              <w:jc w:val="center"/>
            </w:pPr>
            <w:r>
              <w:rPr>
                <w:rFonts w:ascii="宋体" w:hAnsi="宋体" w:eastAsia="宋体"/>
                <w:sz w:val="16"/>
              </w:rPr>
              <w:t>2,257.51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A96BE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CD6070">
            <w:pPr>
              <w:jc w:val="center"/>
            </w:pPr>
            <w:r>
              <w:rPr>
                <w:rFonts w:ascii="宋体" w:hAnsi="宋体" w:eastAsia="宋体"/>
                <w:sz w:val="16"/>
              </w:rPr>
              <w:t>99.81%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069BE4">
            <w:pPr>
              <w:jc w:val="center"/>
            </w:pPr>
            <w:r>
              <w:rPr>
                <w:rFonts w:ascii="宋体" w:hAnsi="宋体" w:eastAsia="宋体"/>
                <w:sz w:val="16"/>
              </w:rPr>
              <w:t>9.98</w:t>
            </w:r>
          </w:p>
        </w:tc>
      </w:tr>
      <w:tr w14:paraId="6560988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B2101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A02C85">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B2901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5EC89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CF5C1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4F43A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425AA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C1603D">
            <w:pPr>
              <w:jc w:val="center"/>
            </w:pPr>
            <w:r>
              <w:rPr>
                <w:rFonts w:ascii="宋体" w:hAnsi="宋体" w:eastAsia="宋体"/>
                <w:sz w:val="16"/>
              </w:rPr>
              <w:t>-</w:t>
            </w:r>
          </w:p>
        </w:tc>
      </w:tr>
      <w:tr w14:paraId="699A664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4A345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77B4BC">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387E35">
            <w:pPr>
              <w:jc w:val="center"/>
            </w:pPr>
            <w:r>
              <w:rPr>
                <w:rFonts w:ascii="宋体" w:hAnsi="宋体" w:eastAsia="宋体"/>
                <w:sz w:val="16"/>
              </w:rPr>
              <w:t>2,382.36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053C8B">
            <w:pPr>
              <w:jc w:val="center"/>
            </w:pPr>
            <w:r>
              <w:rPr>
                <w:rFonts w:ascii="宋体" w:hAnsi="宋体" w:eastAsia="宋体"/>
                <w:sz w:val="16"/>
              </w:rPr>
              <w:t>2,257.51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6510B5">
            <w:pPr>
              <w:jc w:val="center"/>
            </w:pPr>
            <w:r>
              <w:rPr>
                <w:rFonts w:ascii="宋体" w:hAnsi="宋体" w:eastAsia="宋体"/>
                <w:sz w:val="16"/>
              </w:rPr>
              <w:t>2,257.51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80426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80FF9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5B15FC">
            <w:pPr>
              <w:jc w:val="center"/>
            </w:pPr>
            <w:r>
              <w:rPr>
                <w:rFonts w:ascii="宋体" w:hAnsi="宋体" w:eastAsia="宋体"/>
                <w:sz w:val="16"/>
              </w:rPr>
              <w:t>-</w:t>
            </w:r>
          </w:p>
        </w:tc>
      </w:tr>
      <w:tr w14:paraId="1EB59B5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D6ABA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79196E">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901BA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367FAD">
            <w:pPr>
              <w:jc w:val="center"/>
            </w:pPr>
            <w:r>
              <w:rPr>
                <w:rFonts w:ascii="宋体" w:hAnsi="宋体" w:eastAsia="宋体"/>
                <w:sz w:val="16"/>
              </w:rPr>
              <w:t>4.37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1855F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1534E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D6E54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B98115">
            <w:pPr>
              <w:jc w:val="center"/>
            </w:pPr>
            <w:r>
              <w:rPr>
                <w:rFonts w:ascii="宋体" w:hAnsi="宋体" w:eastAsia="宋体"/>
                <w:sz w:val="16"/>
              </w:rPr>
              <w:t>-</w:t>
            </w:r>
          </w:p>
        </w:tc>
      </w:tr>
      <w:tr w14:paraId="5D917C1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49A5E">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4C716B">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7AB0E2">
            <w:pPr>
              <w:jc w:val="center"/>
            </w:pPr>
            <w:r>
              <w:rPr>
                <w:rFonts w:ascii="宋体" w:hAnsi="宋体" w:eastAsia="宋体"/>
                <w:sz w:val="16"/>
              </w:rPr>
              <w:t>实际完成情况</w:t>
            </w:r>
          </w:p>
        </w:tc>
      </w:tr>
      <w:tr w14:paraId="186195F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143812"/>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3A9ACA">
            <w:pPr>
              <w:jc w:val="both"/>
            </w:pPr>
            <w:r>
              <w:rPr>
                <w:rFonts w:ascii="宋体" w:hAnsi="宋体" w:eastAsia="宋体"/>
                <w:sz w:val="16"/>
              </w:rPr>
              <w:t>2024年坚持以习近平新时代中国特色社会主义思想为指导，深入学习贯彻党的二十大精神，紧扣自治区重点工作部署，立足新发展阶段、贯彻新发展理念、构建新发展格局，充分发挥住房公积金制度保障作用，推动全州房地产市场健康平稳发展。持续优化“智慧公积金”平台建设，扎实开展“惠民公积金、服务暖人心”服务提升三年行动方案，有效落实 “服务质量目标化、服务方法规范化、服务过程标准化”工作，加强推动更多高频服务事项从网上可办到全程网办、好办易办，切实提升住房公积金管理水平和服务效能。提升风险防控能力，促进了全区住房公积金业务数据体系的科学化、标准化、规范化建设。</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724E45">
            <w:pPr>
              <w:jc w:val="both"/>
            </w:pPr>
            <w:r>
              <w:rPr>
                <w:rFonts w:ascii="宋体" w:hAnsi="宋体" w:eastAsia="宋体"/>
                <w:sz w:val="16"/>
              </w:rPr>
              <w:t>单位本年度严格履行单位职能，完成住房公积金归集额度43.46亿元、住房公积金贷款额度15.71亿元、上缴财政国库廉租房建设资金1.57亿元、租房提取公积金额度1.52亿元，充分发挥了住房公积金制度保障作用，推动全州房地产市场健康平稳发展。以“数字公积金”建设推进服务转型升级，充分利用“智慧公积金”建设成果，通过线上信息填写、线上签名、视频面签等环节，打破时间和地域的限制，实现让贷款办理“一次不跑”。有效落实 “服务质量目标化、服务方法规范化、服务过程标准化”工作，切实提升了住房公积金管理水平和服务效能。</w:t>
            </w:r>
          </w:p>
        </w:tc>
      </w:tr>
      <w:tr w14:paraId="2D8B84C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C4C0FE">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8C9EAB">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4DFEE7">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FE1B0D">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CEDFC4">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9DBC7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1D0A65">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B623DC">
            <w:pPr>
              <w:jc w:val="center"/>
            </w:pPr>
            <w:r>
              <w:rPr>
                <w:rFonts w:ascii="宋体" w:hAnsi="宋体" w:eastAsia="宋体"/>
                <w:sz w:val="16"/>
              </w:rPr>
              <w:t>得分</w:t>
            </w:r>
          </w:p>
        </w:tc>
      </w:tr>
      <w:tr w14:paraId="7554362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AA4C3C">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0DE9E">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BD5E68">
            <w:pPr>
              <w:jc w:val="center"/>
            </w:pPr>
            <w:r>
              <w:rPr>
                <w:rFonts w:ascii="宋体" w:hAnsi="宋体" w:eastAsia="宋体"/>
                <w:sz w:val="16"/>
              </w:rPr>
              <w:t>住房公积金归集额度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CA3FCC">
            <w:pPr>
              <w:jc w:val="center"/>
            </w:pPr>
            <w:r>
              <w:rPr>
                <w:rFonts w:ascii="宋体" w:hAnsi="宋体" w:eastAsia="宋体"/>
                <w:sz w:val="16"/>
              </w:rPr>
              <w:t>&gt;=40亿元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5D55CA">
            <w:pPr>
              <w:jc w:val="center"/>
            </w:pPr>
            <w:r>
              <w:rPr>
                <w:rFonts w:ascii="宋体" w:hAnsi="宋体" w:eastAsia="宋体"/>
                <w:sz w:val="16"/>
              </w:rPr>
              <w:t>2023年度巴州住房公积金归集、使用情况及2024年归集使用计划报告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996D24">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8CC763">
            <w:pPr>
              <w:jc w:val="center"/>
            </w:pPr>
            <w:r>
              <w:rPr>
                <w:rFonts w:ascii="宋体" w:hAnsi="宋体" w:eastAsia="宋体"/>
                <w:sz w:val="16"/>
              </w:rPr>
              <w:t>43.46亿元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B1DD3B">
            <w:pPr>
              <w:jc w:val="center"/>
            </w:pPr>
            <w:r>
              <w:rPr>
                <w:rFonts w:ascii="宋体" w:hAnsi="宋体" w:eastAsia="宋体"/>
                <w:sz w:val="16"/>
              </w:rPr>
              <w:t>20</w:t>
            </w:r>
          </w:p>
        </w:tc>
      </w:tr>
      <w:tr w14:paraId="4FE150D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8D3EC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AF969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F70E77">
            <w:pPr>
              <w:jc w:val="center"/>
            </w:pPr>
            <w:r>
              <w:rPr>
                <w:rFonts w:ascii="宋体" w:hAnsi="宋体" w:eastAsia="宋体"/>
                <w:sz w:val="16"/>
              </w:rPr>
              <w:t>住房公积金贷款额度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F3440D">
            <w:pPr>
              <w:jc w:val="center"/>
            </w:pPr>
            <w:r>
              <w:rPr>
                <w:rFonts w:ascii="宋体" w:hAnsi="宋体" w:eastAsia="宋体"/>
                <w:sz w:val="16"/>
              </w:rPr>
              <w:t>&gt;=13.50亿元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5B4CD3">
            <w:pPr>
              <w:jc w:val="center"/>
            </w:pPr>
            <w:r>
              <w:rPr>
                <w:rFonts w:ascii="宋体" w:hAnsi="宋体" w:eastAsia="宋体"/>
                <w:sz w:val="16"/>
              </w:rPr>
              <w:t>2023年度巴州住房公积金归集、使用情况及2024年归集使用计划报告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85184E">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6764DA">
            <w:pPr>
              <w:jc w:val="center"/>
            </w:pPr>
            <w:r>
              <w:rPr>
                <w:rFonts w:ascii="宋体" w:hAnsi="宋体" w:eastAsia="宋体"/>
                <w:sz w:val="16"/>
              </w:rPr>
              <w:t>15.71亿元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1E147D">
            <w:pPr>
              <w:jc w:val="center"/>
            </w:pPr>
            <w:r>
              <w:rPr>
                <w:rFonts w:ascii="宋体" w:hAnsi="宋体" w:eastAsia="宋体"/>
                <w:sz w:val="16"/>
              </w:rPr>
              <w:t>20</w:t>
            </w:r>
          </w:p>
        </w:tc>
      </w:tr>
      <w:tr w14:paraId="6FB31DA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E9DA5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CD7436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08DCC0">
            <w:pPr>
              <w:jc w:val="center"/>
            </w:pPr>
            <w:r>
              <w:rPr>
                <w:rFonts w:ascii="宋体" w:hAnsi="宋体" w:eastAsia="宋体"/>
                <w:sz w:val="16"/>
              </w:rPr>
              <w:t>上缴财政国库廉租房建设资金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B95C43">
            <w:pPr>
              <w:jc w:val="center"/>
            </w:pPr>
            <w:r>
              <w:rPr>
                <w:rFonts w:ascii="宋体" w:hAnsi="宋体" w:eastAsia="宋体"/>
                <w:sz w:val="16"/>
              </w:rPr>
              <w:t>&gt;=1.57亿元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CD097B">
            <w:pPr>
              <w:jc w:val="center"/>
            </w:pPr>
            <w:r>
              <w:rPr>
                <w:rFonts w:ascii="宋体" w:hAnsi="宋体" w:eastAsia="宋体"/>
                <w:sz w:val="16"/>
              </w:rPr>
              <w:t>巴州住房公积金增值收益分配方案的报告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CDC935">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B67879">
            <w:pPr>
              <w:jc w:val="center"/>
            </w:pPr>
            <w:r>
              <w:rPr>
                <w:rFonts w:ascii="宋体" w:hAnsi="宋体" w:eastAsia="宋体"/>
                <w:sz w:val="16"/>
              </w:rPr>
              <w:t>1.57亿元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CC31BD">
            <w:pPr>
              <w:jc w:val="center"/>
            </w:pPr>
            <w:r>
              <w:rPr>
                <w:rFonts w:ascii="宋体" w:hAnsi="宋体" w:eastAsia="宋体"/>
                <w:sz w:val="16"/>
              </w:rPr>
              <w:t>30</w:t>
            </w:r>
          </w:p>
        </w:tc>
      </w:tr>
      <w:tr w14:paraId="30E1476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030D8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7D6DA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604308">
            <w:pPr>
              <w:jc w:val="center"/>
            </w:pPr>
            <w:r>
              <w:rPr>
                <w:rFonts w:ascii="宋体" w:hAnsi="宋体" w:eastAsia="宋体"/>
                <w:sz w:val="16"/>
              </w:rPr>
              <w:t>租房提取公积金额度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5642BC">
            <w:pPr>
              <w:jc w:val="center"/>
            </w:pPr>
            <w:r>
              <w:rPr>
                <w:rFonts w:ascii="宋体" w:hAnsi="宋体" w:eastAsia="宋体"/>
                <w:sz w:val="16"/>
              </w:rPr>
              <w:t>&gt;=1.23亿元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540BD9">
            <w:pPr>
              <w:jc w:val="center"/>
            </w:pPr>
            <w:r>
              <w:rPr>
                <w:rFonts w:ascii="宋体" w:hAnsi="宋体" w:eastAsia="宋体"/>
                <w:sz w:val="16"/>
              </w:rPr>
              <w:t>2023年度巴州住房公积金归集、使用情况及2024年归集使用计划报告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1AA499">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CC8105">
            <w:pPr>
              <w:jc w:val="center"/>
            </w:pPr>
            <w:r>
              <w:rPr>
                <w:rFonts w:ascii="宋体" w:hAnsi="宋体" w:eastAsia="宋体"/>
                <w:sz w:val="16"/>
              </w:rPr>
              <w:t>1.52亿元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9325F6">
            <w:pPr>
              <w:jc w:val="center"/>
            </w:pPr>
            <w:r>
              <w:rPr>
                <w:rFonts w:ascii="宋体" w:hAnsi="宋体" w:eastAsia="宋体"/>
                <w:sz w:val="16"/>
              </w:rPr>
              <w:t>20</w:t>
            </w:r>
          </w:p>
        </w:tc>
      </w:tr>
    </w:tbl>
    <w:p w14:paraId="1BF414E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77B68BF6">
        <w:tblPrEx>
          <w:tblCellMar>
            <w:top w:w="0" w:type="dxa"/>
            <w:left w:w="108" w:type="dxa"/>
            <w:bottom w:w="0" w:type="dxa"/>
            <w:right w:w="108" w:type="dxa"/>
          </w:tblCellMar>
        </w:tblPrEx>
        <w:tc>
          <w:tcPr>
            <w:tcW w:w="8848" w:type="dxa"/>
            <w:gridSpan w:val="14"/>
            <w:vAlign w:val="center"/>
          </w:tcPr>
          <w:p w14:paraId="57ED48B4">
            <w:pPr>
              <w:jc w:val="center"/>
            </w:pPr>
            <w:r>
              <w:rPr>
                <w:rFonts w:ascii="宋体" w:hAnsi="宋体" w:eastAsia="宋体"/>
                <w:sz w:val="24"/>
              </w:rPr>
              <w:t>项目支出绩效自评表</w:t>
            </w:r>
          </w:p>
        </w:tc>
      </w:tr>
      <w:tr w14:paraId="2037FEE0">
        <w:tblPrEx>
          <w:tblCellMar>
            <w:top w:w="0" w:type="dxa"/>
            <w:left w:w="108" w:type="dxa"/>
            <w:bottom w:w="0" w:type="dxa"/>
            <w:right w:w="108" w:type="dxa"/>
          </w:tblCellMar>
        </w:tblPrEx>
        <w:tc>
          <w:tcPr>
            <w:tcW w:w="8848" w:type="dxa"/>
            <w:gridSpan w:val="14"/>
            <w:vAlign w:val="center"/>
          </w:tcPr>
          <w:p w14:paraId="69450E33">
            <w:pPr>
              <w:jc w:val="center"/>
            </w:pPr>
            <w:r>
              <w:rPr>
                <w:rFonts w:ascii="宋体" w:hAnsi="宋体" w:eastAsia="宋体"/>
                <w:sz w:val="24"/>
              </w:rPr>
              <w:t>(2024年度)</w:t>
            </w:r>
          </w:p>
        </w:tc>
      </w:tr>
      <w:tr w14:paraId="0B5AE9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654E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337BB6">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工作队经费项目</w:t>
            </w:r>
          </w:p>
        </w:tc>
      </w:tr>
      <w:tr w14:paraId="6B1775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537F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894213">
            <w:pPr>
              <w:jc w:val="center"/>
            </w:pPr>
            <w:r>
              <w:rPr>
                <w:rFonts w:ascii="宋体" w:hAnsi="宋体" w:eastAsia="宋体"/>
                <w:sz w:val="16"/>
              </w:rPr>
              <w:t>新疆巴音郭楞蒙古自治州住房公积金管理中心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E31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C785B6">
            <w:pPr>
              <w:jc w:val="center"/>
            </w:pPr>
            <w:r>
              <w:rPr>
                <w:rFonts w:ascii="宋体" w:hAnsi="宋体" w:eastAsia="宋体"/>
                <w:sz w:val="16"/>
              </w:rPr>
              <w:t>新疆巴音郭楞蒙古自治州住房公积金管理中心</w:t>
            </w:r>
          </w:p>
        </w:tc>
      </w:tr>
      <w:tr w14:paraId="5F5E73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609A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1909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DA03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802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96AA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235D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145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C18B">
            <w:pPr>
              <w:jc w:val="center"/>
            </w:pPr>
            <w:r>
              <w:rPr>
                <w:rFonts w:ascii="宋体" w:hAnsi="宋体" w:eastAsia="宋体"/>
                <w:sz w:val="16"/>
              </w:rPr>
              <w:t>得分</w:t>
            </w:r>
          </w:p>
        </w:tc>
      </w:tr>
      <w:tr w14:paraId="2527D9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CE51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6E62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686F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CA1D6">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F2CD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CF1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E208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2DDD">
            <w:pPr>
              <w:jc w:val="center"/>
            </w:pPr>
            <w:r>
              <w:rPr>
                <w:rFonts w:ascii="宋体" w:hAnsi="宋体" w:eastAsia="宋体"/>
                <w:sz w:val="16"/>
              </w:rPr>
              <w:t>10.00</w:t>
            </w:r>
          </w:p>
        </w:tc>
      </w:tr>
      <w:tr w14:paraId="1B868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E79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56CA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78DA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3A08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E42FA">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187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7C0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EE227">
            <w:pPr>
              <w:jc w:val="center"/>
            </w:pPr>
            <w:r>
              <w:rPr>
                <w:rFonts w:ascii="宋体" w:hAnsi="宋体" w:eastAsia="宋体"/>
                <w:sz w:val="16"/>
              </w:rPr>
              <w:t>-</w:t>
            </w:r>
          </w:p>
        </w:tc>
      </w:tr>
      <w:tr w14:paraId="6E2068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751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20E8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7C4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14B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2F1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CD7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F2D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005DC">
            <w:pPr>
              <w:jc w:val="center"/>
            </w:pPr>
            <w:r>
              <w:rPr>
                <w:rFonts w:ascii="宋体" w:hAnsi="宋体" w:eastAsia="宋体"/>
                <w:sz w:val="16"/>
              </w:rPr>
              <w:t>-</w:t>
            </w:r>
          </w:p>
        </w:tc>
      </w:tr>
      <w:tr w14:paraId="10B9D2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9E7F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C8A80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EDC327">
            <w:pPr>
              <w:jc w:val="center"/>
            </w:pPr>
            <w:r>
              <w:rPr>
                <w:rFonts w:ascii="宋体" w:hAnsi="宋体" w:eastAsia="宋体"/>
                <w:sz w:val="16"/>
              </w:rPr>
              <w:t>总体目标完成情况</w:t>
            </w:r>
          </w:p>
        </w:tc>
      </w:tr>
      <w:tr w14:paraId="7E0AB3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7F4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214303">
            <w:pPr>
              <w:jc w:val="both"/>
            </w:pPr>
            <w:r>
              <w:rPr>
                <w:rFonts w:ascii="宋体" w:hAnsi="宋体" w:eastAsia="宋体"/>
                <w:sz w:val="16"/>
              </w:rPr>
              <w:t>根据《关于拨付2024年上半年自治区</w:t>
            </w:r>
            <w:r>
              <w:rPr>
                <w:rFonts w:hint="eastAsia" w:ascii="宋体" w:hAnsi="宋体"/>
                <w:sz w:val="16"/>
                <w:lang w:eastAsia="zh-CN"/>
              </w:rPr>
              <w:t>为民办实事</w:t>
            </w:r>
            <w:r>
              <w:rPr>
                <w:rFonts w:ascii="宋体" w:hAnsi="宋体" w:eastAsia="宋体"/>
                <w:sz w:val="16"/>
              </w:rPr>
              <w:t>工作专项经费的通知》（巴财预</w:t>
            </w:r>
            <w:r>
              <w:rPr>
                <w:rFonts w:hint="eastAsia" w:ascii="宋体" w:hAnsi="宋体"/>
                <w:sz w:val="16"/>
                <w:lang w:eastAsia="zh-CN"/>
              </w:rPr>
              <w:t>〔2024〕16号</w:t>
            </w:r>
            <w:r>
              <w:rPr>
                <w:rFonts w:ascii="宋体" w:hAnsi="宋体" w:eastAsia="宋体"/>
                <w:sz w:val="16"/>
              </w:rPr>
              <w:t>)文件，巴州住房公积金管理中心通过派驻库尔勒普惠乡普惠村工作队一支，第一书记1人，合理合规使用为民办实事经费，确保经费使用的安全性、规范性和实质性，确保为民办实事工作经费落到实处，达到提高居民文化生活水平，充实基层人员力量和资金力量，增强居民幸福感，提高居民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3D03D9">
            <w:pPr>
              <w:jc w:val="both"/>
            </w:pPr>
            <w:r>
              <w:rPr>
                <w:rFonts w:ascii="宋体" w:hAnsi="宋体" w:eastAsia="宋体"/>
                <w:sz w:val="16"/>
              </w:rPr>
              <w:t>2024年为民办实事经费项目派驻社区工作队1个和第一书记1人，合计7万元，均已用于慰问帮扶老党员、退役军人、“四老”人员、孤寡老人、</w:t>
            </w:r>
            <w:r>
              <w:rPr>
                <w:rFonts w:hint="eastAsia" w:ascii="宋体" w:hAnsi="宋体"/>
                <w:sz w:val="16"/>
                <w:lang w:eastAsia="zh-CN"/>
              </w:rPr>
              <w:t>建档立卡贫困户</w:t>
            </w:r>
            <w:r>
              <w:rPr>
                <w:rFonts w:ascii="宋体" w:hAnsi="宋体" w:eastAsia="宋体"/>
                <w:sz w:val="16"/>
              </w:rPr>
              <w:t>以及困难家庭，发放过冬暖心煤、组织党员培训学习等，用最为有效、最为贴近群众的方式开展工作，为当地群众解决困难，提高了居民幸福指数。</w:t>
            </w:r>
          </w:p>
        </w:tc>
      </w:tr>
      <w:tr w14:paraId="6DBD55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FBCD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BF0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718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BE88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AA52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1131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21C9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883A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ECF8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1703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1C5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1A53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FB36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F512">
            <w:pPr>
              <w:jc w:val="center"/>
            </w:pPr>
            <w:r>
              <w:rPr>
                <w:rFonts w:ascii="宋体" w:hAnsi="宋体" w:eastAsia="宋体"/>
                <w:sz w:val="16"/>
              </w:rPr>
              <w:t>偏差原因分析及改进措施</w:t>
            </w:r>
          </w:p>
        </w:tc>
      </w:tr>
      <w:tr w14:paraId="215EAF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D08C3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1E403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F9CF5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90F2">
            <w:pPr>
              <w:jc w:val="center"/>
            </w:pPr>
            <w:r>
              <w:rPr>
                <w:rFonts w:ascii="宋体" w:hAnsi="宋体" w:eastAsia="宋体"/>
                <w:sz w:val="16"/>
              </w:rPr>
              <w:t>驻社区工作队数量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EFE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4B4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75D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162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EB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E57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90D5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80A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7FE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4A688">
            <w:pPr>
              <w:jc w:val="center"/>
            </w:pPr>
          </w:p>
        </w:tc>
      </w:tr>
      <w:tr w14:paraId="7587BE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ACA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0EB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917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FD28D">
            <w:pPr>
              <w:jc w:val="center"/>
            </w:pPr>
            <w:r>
              <w:rPr>
                <w:rFonts w:ascii="宋体" w:hAnsi="宋体" w:eastAsia="宋体"/>
                <w:sz w:val="16"/>
              </w:rPr>
              <w:t>担任第一书记人数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5CC9">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281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3D8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590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D3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D13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FB58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126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A78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6BF98">
            <w:pPr>
              <w:jc w:val="center"/>
            </w:pPr>
          </w:p>
        </w:tc>
      </w:tr>
      <w:tr w14:paraId="09201F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667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798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18EB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C0660">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A6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3C8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BB0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AC6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3F2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7FF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605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668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10B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1F453">
            <w:pPr>
              <w:jc w:val="center"/>
            </w:pPr>
          </w:p>
        </w:tc>
      </w:tr>
      <w:tr w14:paraId="44167F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D4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CD0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6BA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466ED">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19A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EAD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A73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A16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4A5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22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45E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2C9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BD9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80275">
            <w:pPr>
              <w:jc w:val="center"/>
            </w:pPr>
          </w:p>
        </w:tc>
      </w:tr>
      <w:tr w14:paraId="4E56B4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D93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6CE45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98F8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B9597">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C6EC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291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D9D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725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569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274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CCEC">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0C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76D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7236C">
            <w:pPr>
              <w:jc w:val="center"/>
            </w:pPr>
          </w:p>
        </w:tc>
      </w:tr>
      <w:tr w14:paraId="5AA28C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B9D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660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088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7B10B">
            <w:pPr>
              <w:jc w:val="center"/>
            </w:pPr>
            <w:r>
              <w:rPr>
                <w:rFonts w:ascii="宋体" w:hAnsi="宋体" w:eastAsia="宋体"/>
                <w:sz w:val="16"/>
              </w:rPr>
              <w:t>驻社区为民办实事经费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4DA8">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FA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4E6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E58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EE6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0E0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187D2">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C11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D7D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5747E">
            <w:pPr>
              <w:jc w:val="center"/>
            </w:pPr>
          </w:p>
        </w:tc>
      </w:tr>
      <w:tr w14:paraId="33F0DD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67C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2E4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7821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CA5ED">
            <w:pPr>
              <w:jc w:val="center"/>
            </w:pPr>
            <w:r>
              <w:rPr>
                <w:rFonts w:ascii="宋体" w:hAnsi="宋体" w:eastAsia="宋体"/>
                <w:sz w:val="16"/>
              </w:rPr>
              <w:t>社区居民幸福感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37565">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F0B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C53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9A3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917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B6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70A9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280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E01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59DD8">
            <w:pPr>
              <w:jc w:val="center"/>
            </w:pPr>
          </w:p>
        </w:tc>
      </w:tr>
      <w:tr w14:paraId="6E2A7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E5F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55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251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F7A27">
            <w:pPr>
              <w:jc w:val="center"/>
            </w:pPr>
            <w:r>
              <w:rPr>
                <w:rFonts w:ascii="宋体" w:hAnsi="宋体" w:eastAsia="宋体"/>
                <w:sz w:val="16"/>
              </w:rPr>
              <w:t>社区居民满意度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5794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ED0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258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60F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DF2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C72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979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FCA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60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4C198">
            <w:pPr>
              <w:jc w:val="center"/>
            </w:pPr>
          </w:p>
        </w:tc>
      </w:tr>
      <w:tr w14:paraId="359CFF2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9F29E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1492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3026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6890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F44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12F6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4D46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DD04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CEE6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DF09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E6D7EA"/>
        </w:tc>
      </w:tr>
    </w:tbl>
    <w:p w14:paraId="327416E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96"/>
        <w:gridCol w:w="632"/>
        <w:gridCol w:w="632"/>
      </w:tblGrid>
      <w:tr w14:paraId="5A634DDF">
        <w:tblPrEx>
          <w:tblCellMar>
            <w:top w:w="0" w:type="dxa"/>
            <w:left w:w="108" w:type="dxa"/>
            <w:bottom w:w="0" w:type="dxa"/>
            <w:right w:w="108" w:type="dxa"/>
          </w:tblCellMar>
        </w:tblPrEx>
        <w:tc>
          <w:tcPr>
            <w:tcW w:w="8848" w:type="dxa"/>
            <w:gridSpan w:val="14"/>
            <w:vAlign w:val="center"/>
          </w:tcPr>
          <w:p w14:paraId="75EAEACC">
            <w:pPr>
              <w:jc w:val="center"/>
            </w:pPr>
            <w:r>
              <w:rPr>
                <w:rFonts w:ascii="宋体" w:hAnsi="宋体" w:eastAsia="宋体"/>
                <w:sz w:val="24"/>
              </w:rPr>
              <w:t>项目支出绩效自评表</w:t>
            </w:r>
          </w:p>
        </w:tc>
      </w:tr>
      <w:tr w14:paraId="7F5963BF">
        <w:tblPrEx>
          <w:tblCellMar>
            <w:top w:w="0" w:type="dxa"/>
            <w:left w:w="108" w:type="dxa"/>
            <w:bottom w:w="0" w:type="dxa"/>
            <w:right w:w="108" w:type="dxa"/>
          </w:tblCellMar>
        </w:tblPrEx>
        <w:tc>
          <w:tcPr>
            <w:tcW w:w="8848" w:type="dxa"/>
            <w:gridSpan w:val="14"/>
            <w:vAlign w:val="center"/>
          </w:tcPr>
          <w:p w14:paraId="6CF6CD77">
            <w:pPr>
              <w:jc w:val="center"/>
            </w:pPr>
            <w:r>
              <w:rPr>
                <w:rFonts w:ascii="宋体" w:hAnsi="宋体" w:eastAsia="宋体"/>
                <w:sz w:val="24"/>
              </w:rPr>
              <w:t>(2024年度)</w:t>
            </w:r>
          </w:p>
        </w:tc>
      </w:tr>
      <w:tr w14:paraId="0C4E68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126D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D80CF5">
            <w:pPr>
              <w:jc w:val="center"/>
            </w:pPr>
            <w:r>
              <w:rPr>
                <w:rFonts w:ascii="宋体" w:hAnsi="宋体" w:eastAsia="宋体"/>
                <w:sz w:val="16"/>
              </w:rPr>
              <w:t>信息网络软件购置更新及业务保障项目</w:t>
            </w:r>
          </w:p>
        </w:tc>
      </w:tr>
      <w:tr w14:paraId="2836CE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A3CF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0BC33A">
            <w:pPr>
              <w:jc w:val="center"/>
            </w:pPr>
            <w:r>
              <w:rPr>
                <w:rFonts w:ascii="宋体" w:hAnsi="宋体" w:eastAsia="宋体"/>
                <w:sz w:val="16"/>
              </w:rPr>
              <w:t>新疆巴音郭楞蒙古自治州住房公积金管理中心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63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F5D38C">
            <w:pPr>
              <w:jc w:val="center"/>
            </w:pPr>
            <w:r>
              <w:rPr>
                <w:rFonts w:ascii="宋体" w:hAnsi="宋体" w:eastAsia="宋体"/>
                <w:sz w:val="16"/>
              </w:rPr>
              <w:t>新疆巴音郭楞蒙古自治州住房公积金管理中心</w:t>
            </w:r>
          </w:p>
        </w:tc>
      </w:tr>
      <w:tr w14:paraId="58D172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5568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AF79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929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72A2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A12E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DC5F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2C60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8658A">
            <w:pPr>
              <w:jc w:val="center"/>
            </w:pPr>
            <w:r>
              <w:rPr>
                <w:rFonts w:ascii="宋体" w:hAnsi="宋体" w:eastAsia="宋体"/>
                <w:sz w:val="16"/>
              </w:rPr>
              <w:t>得分</w:t>
            </w:r>
          </w:p>
        </w:tc>
      </w:tr>
      <w:tr w14:paraId="04EEF9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35126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DACD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877C0">
            <w:pPr>
              <w:jc w:val="center"/>
            </w:pPr>
            <w:r>
              <w:rPr>
                <w:rFonts w:ascii="宋体" w:hAnsi="宋体" w:eastAsia="宋体"/>
                <w:sz w:val="16"/>
              </w:rPr>
              <w:t>665.00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A3BBF">
            <w:pPr>
              <w:jc w:val="center"/>
            </w:pPr>
            <w:r>
              <w:rPr>
                <w:rFonts w:ascii="宋体" w:hAnsi="宋体" w:eastAsia="宋体"/>
                <w:sz w:val="16"/>
              </w:rPr>
              <w:t>665.00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1190B">
            <w:pPr>
              <w:jc w:val="center"/>
            </w:pPr>
            <w:r>
              <w:rPr>
                <w:rFonts w:ascii="宋体" w:hAnsi="宋体" w:eastAsia="宋体"/>
                <w:sz w:val="16"/>
              </w:rPr>
              <w:t>600.48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B95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02BF0">
            <w:pPr>
              <w:jc w:val="center"/>
            </w:pPr>
            <w:r>
              <w:rPr>
                <w:rFonts w:ascii="宋体" w:hAnsi="宋体" w:eastAsia="宋体"/>
                <w:sz w:val="16"/>
              </w:rPr>
              <w:t>90.30%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ECA68">
            <w:pPr>
              <w:jc w:val="center"/>
            </w:pPr>
            <w:r>
              <w:rPr>
                <w:rFonts w:ascii="宋体" w:hAnsi="宋体" w:eastAsia="宋体"/>
                <w:sz w:val="16"/>
              </w:rPr>
              <w:t>7.57</w:t>
            </w:r>
          </w:p>
        </w:tc>
      </w:tr>
      <w:tr w14:paraId="28E911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75D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1F0D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E38BB">
            <w:pPr>
              <w:jc w:val="center"/>
            </w:pPr>
            <w:r>
              <w:rPr>
                <w:rFonts w:ascii="宋体" w:hAnsi="宋体" w:eastAsia="宋体"/>
                <w:sz w:val="16"/>
              </w:rPr>
              <w:t>665.00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A8EE6">
            <w:pPr>
              <w:jc w:val="center"/>
            </w:pPr>
            <w:r>
              <w:rPr>
                <w:rFonts w:ascii="宋体" w:hAnsi="宋体" w:eastAsia="宋体"/>
                <w:sz w:val="16"/>
              </w:rPr>
              <w:t>665.00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9AF1A">
            <w:pPr>
              <w:jc w:val="center"/>
            </w:pPr>
            <w:r>
              <w:rPr>
                <w:rFonts w:ascii="宋体" w:hAnsi="宋体" w:eastAsia="宋体"/>
                <w:sz w:val="16"/>
              </w:rPr>
              <w:t>600.48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576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57C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16B64">
            <w:pPr>
              <w:jc w:val="center"/>
            </w:pPr>
            <w:r>
              <w:rPr>
                <w:rFonts w:ascii="宋体" w:hAnsi="宋体" w:eastAsia="宋体"/>
                <w:sz w:val="16"/>
              </w:rPr>
              <w:t>-</w:t>
            </w:r>
          </w:p>
        </w:tc>
      </w:tr>
      <w:tr w14:paraId="3C41E8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9F5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25FE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2E1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E6B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4B7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DA9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DD4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AC72">
            <w:pPr>
              <w:jc w:val="center"/>
            </w:pPr>
            <w:r>
              <w:rPr>
                <w:rFonts w:ascii="宋体" w:hAnsi="宋体" w:eastAsia="宋体"/>
                <w:sz w:val="16"/>
              </w:rPr>
              <w:t>-</w:t>
            </w:r>
          </w:p>
        </w:tc>
      </w:tr>
      <w:tr w14:paraId="1F6696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DD95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4052F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A2767D">
            <w:pPr>
              <w:jc w:val="center"/>
            </w:pPr>
            <w:r>
              <w:rPr>
                <w:rFonts w:ascii="宋体" w:hAnsi="宋体" w:eastAsia="宋体"/>
                <w:sz w:val="16"/>
              </w:rPr>
              <w:t>总体目标完成情况</w:t>
            </w:r>
          </w:p>
        </w:tc>
      </w:tr>
      <w:tr w14:paraId="44B3E4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A8C2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AD1E2C">
            <w:pPr>
              <w:jc w:val="both"/>
            </w:pPr>
            <w:r>
              <w:rPr>
                <w:rFonts w:ascii="宋体" w:hAnsi="宋体" w:eastAsia="宋体"/>
                <w:sz w:val="16"/>
              </w:rPr>
              <w:t>为实现全疆住房公积金管理、服务、监督三大系统的统一，为广大缴存职工提供便捷、优质、高效的服务，我中心更新维护系统平台4个，信息业务专线数量2条，支付各个平台及软件驻场人员费用，系统平台故障及时修复，确保系统、平台、软件及设备正常运行，提升了风险防控能力。根据单位职能，保障办公人员60人日常工作需求，实现住房公积金资金安全运作，提高单位工作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530088">
            <w:pPr>
              <w:jc w:val="both"/>
            </w:pPr>
            <w:r>
              <w:rPr>
                <w:rFonts w:ascii="宋体" w:hAnsi="宋体" w:eastAsia="宋体"/>
                <w:sz w:val="16"/>
              </w:rPr>
              <w:t>本年度已完成更新维护系统平台数量4个，信息业务专线数量2条，提升了业务保障能力和风险防控能力，及时保障56位工作人员日常办公需求，以确保工作效率。系统平台故障修复处理及时，系统和网络正常运行，提升巴州住房公积金信息化建设水平和风险防控能力，促进全州住房公积金业务数据体系的科学化、标准化、规范化建设，提高了巴州住房公积金服务水平和管理效率。</w:t>
            </w:r>
          </w:p>
        </w:tc>
      </w:tr>
      <w:tr w14:paraId="3BEC50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FEEF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405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AB28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941C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483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204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9129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825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D369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C2A2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CC65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DCCA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F41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D47C">
            <w:pPr>
              <w:jc w:val="center"/>
            </w:pPr>
            <w:r>
              <w:rPr>
                <w:rFonts w:ascii="宋体" w:hAnsi="宋体" w:eastAsia="宋体"/>
                <w:sz w:val="16"/>
              </w:rPr>
              <w:t>偏差原因分析及改进措施</w:t>
            </w:r>
          </w:p>
        </w:tc>
      </w:tr>
      <w:tr w14:paraId="591D01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E236A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87FB3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9446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80A5F">
            <w:pPr>
              <w:jc w:val="center"/>
            </w:pPr>
            <w:r>
              <w:rPr>
                <w:rFonts w:ascii="宋体" w:hAnsi="宋体" w:eastAsia="宋体"/>
                <w:sz w:val="16"/>
              </w:rPr>
              <w:t>更新维护系统平台数量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0817">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7CD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3BFD3">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28E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AA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F6A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541F8">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D58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38C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29712">
            <w:pPr>
              <w:jc w:val="center"/>
            </w:pPr>
          </w:p>
        </w:tc>
      </w:tr>
      <w:tr w14:paraId="60529E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7F5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D0B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E7C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62087">
            <w:pPr>
              <w:jc w:val="center"/>
            </w:pPr>
            <w:r>
              <w:rPr>
                <w:rFonts w:ascii="宋体" w:hAnsi="宋体" w:eastAsia="宋体"/>
                <w:sz w:val="16"/>
              </w:rPr>
              <w:t>信息业务专线数量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E7856">
            <w:pPr>
              <w:jc w:val="center"/>
            </w:pPr>
            <w:r>
              <w:rPr>
                <w:rFonts w:ascii="宋体" w:hAnsi="宋体" w:eastAsia="宋体"/>
                <w:sz w:val="16"/>
              </w:rPr>
              <w:t>&gt;=2条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77A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9BE74">
            <w:pPr>
              <w:jc w:val="center"/>
            </w:pPr>
            <w:r>
              <w:rPr>
                <w:rFonts w:ascii="宋体" w:hAnsi="宋体" w:eastAsia="宋体"/>
                <w:sz w:val="16"/>
              </w:rPr>
              <w:t>2条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B1F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AD0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CE6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050E6">
            <w:pPr>
              <w:jc w:val="center"/>
            </w:pPr>
            <w:r>
              <w:rPr>
                <w:rFonts w:ascii="宋体" w:hAnsi="宋体" w:eastAsia="宋体"/>
                <w:sz w:val="16"/>
              </w:rPr>
              <w:t>=2条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2BE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5EC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32EB8">
            <w:pPr>
              <w:jc w:val="center"/>
            </w:pPr>
          </w:p>
        </w:tc>
      </w:tr>
      <w:tr w14:paraId="0A5AE1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88E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072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BFA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C013B">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E381A">
            <w:pPr>
              <w:jc w:val="center"/>
            </w:pPr>
            <w:r>
              <w:rPr>
                <w:rFonts w:ascii="宋体" w:hAnsi="宋体" w:eastAsia="宋体"/>
                <w:sz w:val="16"/>
              </w:rPr>
              <w:t>&gt;=60人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04C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C0D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3F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EB4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0D6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D5EBF">
            <w:pPr>
              <w:jc w:val="center"/>
            </w:pPr>
            <w:r>
              <w:rPr>
                <w:rFonts w:ascii="宋体" w:hAnsi="宋体" w:eastAsia="宋体"/>
                <w:sz w:val="16"/>
              </w:rPr>
              <w:t>=56人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A185">
            <w:pPr>
              <w:jc w:val="center"/>
            </w:pPr>
            <w:r>
              <w:rPr>
                <w:rFonts w:ascii="宋体" w:hAnsi="宋体" w:eastAsia="宋体"/>
                <w:sz w:val="16"/>
              </w:rPr>
              <w:t>93.33%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20E8E">
            <w:pPr>
              <w:jc w:val="center"/>
            </w:pPr>
            <w:r>
              <w:rPr>
                <w:rFonts w:ascii="宋体" w:hAnsi="宋体" w:eastAsia="宋体"/>
                <w:sz w:val="16"/>
              </w:rPr>
              <w:t>4.17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3FCF9">
            <w:pPr>
              <w:jc w:val="center"/>
            </w:pPr>
            <w:r>
              <w:rPr>
                <w:rFonts w:ascii="宋体" w:hAnsi="宋体" w:eastAsia="宋体"/>
                <w:sz w:val="16"/>
              </w:rPr>
              <w:t>退休、调出4人，导致在职人员减少，下年度加强项目指标编制严谨性，精准设置指标值，减少偏差</w:t>
            </w:r>
          </w:p>
        </w:tc>
      </w:tr>
      <w:tr w14:paraId="223D18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CA5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E4A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8ADF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46DDF">
            <w:pPr>
              <w:jc w:val="center"/>
            </w:pPr>
            <w:r>
              <w:rPr>
                <w:rFonts w:ascii="宋体" w:hAnsi="宋体" w:eastAsia="宋体"/>
                <w:sz w:val="16"/>
              </w:rPr>
              <w:t>系统平台故障率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73594">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D0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56F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F34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908E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955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250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BF6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511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1FEE">
            <w:pPr>
              <w:jc w:val="center"/>
            </w:pPr>
          </w:p>
        </w:tc>
      </w:tr>
      <w:tr w14:paraId="6764F9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03D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9EF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DD5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5E26C">
            <w:pPr>
              <w:jc w:val="center"/>
            </w:pPr>
            <w:r>
              <w:rPr>
                <w:rFonts w:ascii="宋体" w:hAnsi="宋体" w:eastAsia="宋体"/>
                <w:sz w:val="16"/>
              </w:rPr>
              <w:t>系统平台验收合格率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A3F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7A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F7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AFA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E41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79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03D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66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940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67140">
            <w:pPr>
              <w:jc w:val="center"/>
            </w:pPr>
          </w:p>
        </w:tc>
      </w:tr>
      <w:tr w14:paraId="33690A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DBF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70D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CF4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449EB">
            <w:pPr>
              <w:jc w:val="center"/>
            </w:pPr>
            <w:r>
              <w:rPr>
                <w:rFonts w:ascii="宋体" w:hAnsi="宋体" w:eastAsia="宋体"/>
                <w:sz w:val="16"/>
              </w:rPr>
              <w:t>系统平台故障修复处理时间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3559F">
            <w:pPr>
              <w:jc w:val="center"/>
            </w:pPr>
            <w:r>
              <w:rPr>
                <w:rFonts w:ascii="宋体" w:hAnsi="宋体" w:eastAsia="宋体"/>
                <w:sz w:val="16"/>
              </w:rPr>
              <w:t>&lt;=3天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521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ABE46">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042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5AFB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D95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A49E">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0A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1E2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7BAE">
            <w:pPr>
              <w:jc w:val="center"/>
            </w:pPr>
          </w:p>
        </w:tc>
      </w:tr>
      <w:tr w14:paraId="504F98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C18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0CF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E08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3CA4">
            <w:pPr>
              <w:jc w:val="center"/>
            </w:pPr>
            <w:r>
              <w:rPr>
                <w:rFonts w:ascii="宋体" w:hAnsi="宋体" w:eastAsia="宋体"/>
                <w:sz w:val="16"/>
              </w:rPr>
              <w:t>系统平台运行维护响应时间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30662">
            <w:pPr>
              <w:jc w:val="center"/>
            </w:pPr>
            <w:r>
              <w:rPr>
                <w:rFonts w:ascii="宋体" w:hAnsi="宋体" w:eastAsia="宋体"/>
                <w:sz w:val="16"/>
              </w:rPr>
              <w:t>&lt;=24小时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808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998FF">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16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2507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1DF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FFF9A">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2B7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2A3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65430">
            <w:pPr>
              <w:jc w:val="center"/>
            </w:pPr>
          </w:p>
        </w:tc>
      </w:tr>
      <w:tr w14:paraId="7CB135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B39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76A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B22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AC8A">
            <w:pPr>
              <w:jc w:val="center"/>
            </w:pPr>
            <w:r>
              <w:rPr>
                <w:rFonts w:ascii="宋体" w:hAnsi="宋体" w:eastAsia="宋体"/>
                <w:sz w:val="16"/>
              </w:rPr>
              <w:t>运转经费支付及时率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87BF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B4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8A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BA8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302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2D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33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B09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1E0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57166">
            <w:pPr>
              <w:jc w:val="center"/>
            </w:pPr>
          </w:p>
        </w:tc>
      </w:tr>
      <w:tr w14:paraId="7B9531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77B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B7280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81A36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66673">
            <w:pPr>
              <w:jc w:val="center"/>
            </w:pPr>
            <w:r>
              <w:rPr>
                <w:rFonts w:ascii="宋体" w:hAnsi="宋体" w:eastAsia="宋体"/>
                <w:sz w:val="16"/>
              </w:rPr>
              <w:t>更新维护系统平台资金额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0398A">
            <w:pPr>
              <w:jc w:val="center"/>
            </w:pPr>
            <w:r>
              <w:rPr>
                <w:rFonts w:ascii="宋体" w:hAnsi="宋体" w:eastAsia="宋体"/>
                <w:sz w:val="16"/>
              </w:rPr>
              <w:t>&lt;=528万元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579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FF7E1">
            <w:pPr>
              <w:jc w:val="center"/>
            </w:pPr>
            <w:r>
              <w:rPr>
                <w:rFonts w:ascii="宋体" w:hAnsi="宋体" w:eastAsia="宋体"/>
                <w:sz w:val="16"/>
              </w:rPr>
              <w:t>453.7万元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34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91C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AC8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80078">
            <w:pPr>
              <w:jc w:val="center"/>
            </w:pPr>
            <w:r>
              <w:rPr>
                <w:rFonts w:ascii="宋体" w:hAnsi="宋体" w:eastAsia="宋体"/>
                <w:sz w:val="16"/>
              </w:rPr>
              <w:t>=480.8万元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41715">
            <w:pPr>
              <w:jc w:val="center"/>
            </w:pPr>
            <w:r>
              <w:rPr>
                <w:rFonts w:ascii="宋体" w:hAnsi="宋体" w:eastAsia="宋体"/>
                <w:sz w:val="16"/>
              </w:rPr>
              <w:t>91.06%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E6E14">
            <w:pPr>
              <w:jc w:val="center"/>
            </w:pPr>
            <w:r>
              <w:rPr>
                <w:rFonts w:ascii="宋体" w:hAnsi="宋体" w:eastAsia="宋体"/>
                <w:sz w:val="16"/>
              </w:rPr>
              <w:t>7.77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4B578">
            <w:pPr>
              <w:jc w:val="center"/>
            </w:pPr>
            <w:r>
              <w:rPr>
                <w:rFonts w:ascii="宋体" w:hAnsi="宋体" w:eastAsia="宋体"/>
                <w:sz w:val="16"/>
              </w:rPr>
              <w:t>本单位根据对平台服务公司考核，按照考核结果扣除相应比例合同金额，下年度加强项目预算编制严谨性，精准设置指标值，减少偏差</w:t>
            </w:r>
          </w:p>
        </w:tc>
      </w:tr>
      <w:tr w14:paraId="53D78D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AD1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B35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81A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15E96">
            <w:pPr>
              <w:jc w:val="center"/>
            </w:pPr>
            <w:r>
              <w:rPr>
                <w:rFonts w:ascii="宋体" w:hAnsi="宋体" w:eastAsia="宋体"/>
                <w:sz w:val="16"/>
              </w:rPr>
              <w:t>人均运转经费数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95D9">
            <w:pPr>
              <w:jc w:val="center"/>
            </w:pPr>
            <w:r>
              <w:rPr>
                <w:rFonts w:ascii="宋体" w:hAnsi="宋体" w:eastAsia="宋体"/>
                <w:sz w:val="16"/>
              </w:rPr>
              <w:t>&lt;=2.28万元/人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808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79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AAB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EC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74C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892D5">
            <w:pPr>
              <w:jc w:val="center"/>
            </w:pPr>
            <w:r>
              <w:rPr>
                <w:rFonts w:ascii="宋体" w:hAnsi="宋体" w:eastAsia="宋体"/>
                <w:sz w:val="16"/>
              </w:rPr>
              <w:t>=2.13万元/人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FC2B">
            <w:pPr>
              <w:jc w:val="center"/>
            </w:pPr>
            <w:r>
              <w:rPr>
                <w:rFonts w:ascii="宋体" w:hAnsi="宋体" w:eastAsia="宋体"/>
                <w:sz w:val="16"/>
              </w:rPr>
              <w:t>93.42%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5B0FC">
            <w:pPr>
              <w:jc w:val="center"/>
            </w:pPr>
            <w:r>
              <w:rPr>
                <w:rFonts w:ascii="宋体" w:hAnsi="宋体" w:eastAsia="宋体"/>
                <w:sz w:val="16"/>
              </w:rPr>
              <w:t>8.36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4A291">
            <w:pPr>
              <w:jc w:val="center"/>
            </w:pPr>
            <w:r>
              <w:rPr>
                <w:rFonts w:ascii="宋体" w:hAnsi="宋体" w:eastAsia="宋体"/>
                <w:sz w:val="16"/>
              </w:rPr>
              <w:t>落实过紧日子思想，控制日常支出，严禁办公用品浪费，下年度加强项目预算编制严谨性，精准设置指标值，减少偏差</w:t>
            </w:r>
          </w:p>
        </w:tc>
      </w:tr>
      <w:tr w14:paraId="4C6D54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1C6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F85E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9F4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DE0D">
            <w:pPr>
              <w:jc w:val="center"/>
            </w:pPr>
            <w:r>
              <w:rPr>
                <w:rFonts w:ascii="宋体" w:hAnsi="宋体" w:eastAsia="宋体"/>
                <w:sz w:val="16"/>
              </w:rPr>
              <w:t>业务保障能力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7775">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280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751E5">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AF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8A26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2EF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776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E86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2DE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C9541">
            <w:pPr>
              <w:jc w:val="center"/>
            </w:pPr>
          </w:p>
        </w:tc>
      </w:tr>
      <w:tr w14:paraId="64B25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0CB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5A2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E43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BDEFC">
            <w:pPr>
              <w:jc w:val="center"/>
            </w:pPr>
            <w:r>
              <w:rPr>
                <w:rFonts w:ascii="宋体" w:hAnsi="宋体" w:eastAsia="宋体"/>
                <w:sz w:val="16"/>
              </w:rPr>
              <w:t>系统正常使用年限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A759A">
            <w:pPr>
              <w:jc w:val="center"/>
            </w:pPr>
            <w:r>
              <w:rPr>
                <w:rFonts w:ascii="宋体" w:hAnsi="宋体" w:eastAsia="宋体"/>
                <w:sz w:val="16"/>
              </w:rPr>
              <w:t>&gt;=1年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BF4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0E615">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0D4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F93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96A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39641">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4E0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D9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1C648">
            <w:pPr>
              <w:jc w:val="center"/>
            </w:pPr>
          </w:p>
        </w:tc>
      </w:tr>
      <w:tr w14:paraId="0C097C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CA0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2C7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1DA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EFC55">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D7B5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72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1995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F2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A1D5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049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5DF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1B8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13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E0BA5">
            <w:pPr>
              <w:jc w:val="center"/>
            </w:pPr>
          </w:p>
        </w:tc>
      </w:tr>
      <w:tr w14:paraId="47A3526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F4C52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BF9E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B36F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4D65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37A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2174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8202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BBE4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DB49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D0A0A">
            <w:pPr>
              <w:jc w:val="center"/>
            </w:pPr>
            <w:r>
              <w:rPr>
                <w:rFonts w:ascii="宋体" w:hAnsi="宋体" w:eastAsia="宋体"/>
                <w:sz w:val="16"/>
              </w:rPr>
              <w:t>92.87分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C6B9FA"/>
        </w:tc>
      </w:tr>
    </w:tbl>
    <w:p w14:paraId="58301184">
      <w:r>
        <w:br w:type="page"/>
      </w:r>
    </w:p>
    <w:p w14:paraId="5514654E">
      <w:pPr>
        <w:spacing w:line="640" w:lineRule="exact"/>
        <w:ind w:firstLine="640"/>
        <w:jc w:val="both"/>
        <w:outlineLvl w:val="2"/>
      </w:pPr>
      <w:r>
        <w:rPr>
          <w:rFonts w:ascii="黑体" w:hAnsi="黑体" w:eastAsia="黑体"/>
          <w:sz w:val="32"/>
        </w:rPr>
        <w:t>十二、其他需说明的事项</w:t>
      </w:r>
    </w:p>
    <w:p w14:paraId="15E227AD">
      <w:pPr>
        <w:spacing w:line="580" w:lineRule="exact"/>
        <w:ind w:firstLine="640"/>
        <w:jc w:val="both"/>
      </w:pPr>
      <w:r>
        <w:rPr>
          <w:rFonts w:ascii="仿宋_GB2312" w:hAnsi="仿宋_GB2312" w:eastAsia="仿宋_GB2312"/>
          <w:b w:val="0"/>
          <w:sz w:val="32"/>
        </w:rPr>
        <w:t>本部门无其他需说明的事项。</w:t>
      </w:r>
    </w:p>
    <w:p w14:paraId="5A72BF32">
      <w:r>
        <w:br w:type="page"/>
      </w:r>
    </w:p>
    <w:p w14:paraId="083ABBBB">
      <w:pPr>
        <w:spacing w:line="240" w:lineRule="auto"/>
        <w:jc w:val="center"/>
        <w:outlineLvl w:val="1"/>
      </w:pPr>
      <w:r>
        <w:rPr>
          <w:rFonts w:ascii="黑体" w:hAnsi="黑体" w:eastAsia="黑体"/>
          <w:sz w:val="32"/>
        </w:rPr>
        <w:t>第三部分 专业名词解释</w:t>
      </w:r>
    </w:p>
    <w:p w14:paraId="178AF6A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F88B46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444202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FD33F9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574779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A8A624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B0B717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DD07D6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46C288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B9F13B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1CC648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C98F04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39BD39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43612E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18E6892">
      <w:r>
        <w:br w:type="page"/>
      </w:r>
    </w:p>
    <w:p w14:paraId="029BCCA9">
      <w:pPr>
        <w:spacing w:line="240" w:lineRule="auto"/>
        <w:jc w:val="center"/>
        <w:outlineLvl w:val="1"/>
      </w:pPr>
      <w:r>
        <w:rPr>
          <w:rFonts w:ascii="黑体" w:hAnsi="黑体" w:eastAsia="黑体"/>
          <w:sz w:val="32"/>
        </w:rPr>
        <w:t>第四部分 部门决算报表（见附表）</w:t>
      </w:r>
    </w:p>
    <w:p w14:paraId="08309BC0">
      <w:pPr>
        <w:spacing w:line="240" w:lineRule="auto"/>
        <w:ind w:firstLine="640"/>
        <w:jc w:val="both"/>
      </w:pPr>
      <w:r>
        <w:rPr>
          <w:rFonts w:ascii="仿宋_GB2312" w:hAnsi="仿宋_GB2312" w:eastAsia="仿宋_GB2312"/>
          <w:b w:val="0"/>
          <w:sz w:val="32"/>
        </w:rPr>
        <w:t>一、《收入支出决算总表》</w:t>
      </w:r>
    </w:p>
    <w:p w14:paraId="7EF458B1">
      <w:pPr>
        <w:spacing w:line="240" w:lineRule="auto"/>
        <w:ind w:firstLine="640"/>
        <w:jc w:val="both"/>
      </w:pPr>
      <w:r>
        <w:rPr>
          <w:rFonts w:ascii="仿宋_GB2312" w:hAnsi="仿宋_GB2312" w:eastAsia="仿宋_GB2312"/>
          <w:b w:val="0"/>
          <w:sz w:val="32"/>
        </w:rPr>
        <w:t>二、《收入决算表》</w:t>
      </w:r>
    </w:p>
    <w:p w14:paraId="4F4DAC5B">
      <w:pPr>
        <w:spacing w:line="240" w:lineRule="auto"/>
        <w:ind w:firstLine="640"/>
        <w:jc w:val="both"/>
      </w:pPr>
      <w:r>
        <w:rPr>
          <w:rFonts w:ascii="仿宋_GB2312" w:hAnsi="仿宋_GB2312" w:eastAsia="仿宋_GB2312"/>
          <w:b w:val="0"/>
          <w:sz w:val="32"/>
        </w:rPr>
        <w:t>三、《支出决算表》</w:t>
      </w:r>
    </w:p>
    <w:p w14:paraId="1C4E8C04">
      <w:pPr>
        <w:spacing w:line="240" w:lineRule="auto"/>
        <w:ind w:firstLine="640"/>
        <w:jc w:val="both"/>
      </w:pPr>
      <w:r>
        <w:rPr>
          <w:rFonts w:ascii="仿宋_GB2312" w:hAnsi="仿宋_GB2312" w:eastAsia="仿宋_GB2312"/>
          <w:b w:val="0"/>
          <w:sz w:val="32"/>
        </w:rPr>
        <w:t>四、《财政拨款收入支出决算总表》</w:t>
      </w:r>
    </w:p>
    <w:p w14:paraId="54D1012B">
      <w:pPr>
        <w:spacing w:line="240" w:lineRule="auto"/>
        <w:ind w:firstLine="640"/>
        <w:jc w:val="both"/>
      </w:pPr>
      <w:r>
        <w:rPr>
          <w:rFonts w:ascii="仿宋_GB2312" w:hAnsi="仿宋_GB2312" w:eastAsia="仿宋_GB2312"/>
          <w:b w:val="0"/>
          <w:sz w:val="32"/>
        </w:rPr>
        <w:t>五、《一般公共预算财政拨款支出决算表》</w:t>
      </w:r>
    </w:p>
    <w:p w14:paraId="373B420D">
      <w:pPr>
        <w:spacing w:line="240" w:lineRule="auto"/>
        <w:ind w:firstLine="640"/>
        <w:jc w:val="both"/>
      </w:pPr>
      <w:r>
        <w:rPr>
          <w:rFonts w:ascii="仿宋_GB2312" w:hAnsi="仿宋_GB2312" w:eastAsia="仿宋_GB2312"/>
          <w:b w:val="0"/>
          <w:sz w:val="32"/>
        </w:rPr>
        <w:t>六、《一般公共预算财政拨款基本支出决算表》</w:t>
      </w:r>
    </w:p>
    <w:p w14:paraId="35B3263B">
      <w:pPr>
        <w:spacing w:line="240" w:lineRule="auto"/>
        <w:ind w:firstLine="640"/>
        <w:jc w:val="both"/>
      </w:pPr>
      <w:r>
        <w:rPr>
          <w:rFonts w:ascii="仿宋_GB2312" w:hAnsi="仿宋_GB2312" w:eastAsia="仿宋_GB2312"/>
          <w:b w:val="0"/>
          <w:sz w:val="32"/>
        </w:rPr>
        <w:t>七、《政府性基金预算财政拨款收入支出决算表》</w:t>
      </w:r>
    </w:p>
    <w:p w14:paraId="13DD66A2">
      <w:pPr>
        <w:spacing w:line="240" w:lineRule="auto"/>
        <w:ind w:firstLine="640"/>
        <w:jc w:val="both"/>
      </w:pPr>
      <w:r>
        <w:rPr>
          <w:rFonts w:ascii="仿宋_GB2312" w:hAnsi="仿宋_GB2312" w:eastAsia="仿宋_GB2312"/>
          <w:b w:val="0"/>
          <w:sz w:val="32"/>
        </w:rPr>
        <w:t>八、《国有资本经营预算财政拨款收入支出决算表》</w:t>
      </w:r>
    </w:p>
    <w:p w14:paraId="61EE090B">
      <w:pPr>
        <w:spacing w:line="240" w:lineRule="auto"/>
        <w:ind w:firstLine="640"/>
        <w:jc w:val="both"/>
      </w:pPr>
      <w:r>
        <w:rPr>
          <w:rFonts w:ascii="仿宋_GB2312" w:hAnsi="仿宋_GB2312" w:eastAsia="仿宋_GB2312"/>
          <w:b w:val="0"/>
          <w:sz w:val="32"/>
        </w:rPr>
        <w:t>九、《财政拨款“三公”经费支出决算表》</w:t>
      </w:r>
    </w:p>
    <w:p w14:paraId="10916D4C">
      <w:pPr>
        <w:spacing w:line="240" w:lineRule="auto"/>
        <w:ind w:firstLine="640"/>
        <w:jc w:val="both"/>
      </w:pPr>
    </w:p>
    <w:p w14:paraId="29386EB0">
      <w:pPr>
        <w:spacing w:line="240" w:lineRule="auto"/>
        <w:ind w:firstLine="640"/>
        <w:jc w:val="both"/>
      </w:pPr>
    </w:p>
    <w:p w14:paraId="4B421CBE">
      <w:pPr>
        <w:spacing w:line="240" w:lineRule="auto"/>
        <w:ind w:firstLine="640"/>
        <w:jc w:val="both"/>
      </w:pPr>
    </w:p>
    <w:p w14:paraId="2C89E106">
      <w:pPr>
        <w:spacing w:line="240" w:lineRule="auto"/>
        <w:ind w:firstLine="640"/>
        <w:jc w:val="both"/>
      </w:pPr>
    </w:p>
    <w:p w14:paraId="0A9C1BB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6E77EA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0741AD"/>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4631</Words>
  <Characters>5339</Characters>
  <Lines>0</Lines>
  <Paragraphs>0</Paragraphs>
  <TotalTime>6</TotalTime>
  <ScaleCrop>false</ScaleCrop>
  <LinksUpToDate>false</LinksUpToDate>
  <CharactersWithSpaces>5347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2025-09-11T10:59:47Z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