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21C8DB"/>
    <w:p w14:paraId="44C806F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FEFB98B">
      <w:pPr>
        <w:spacing w:line="540" w:lineRule="exact"/>
        <w:jc w:val="center"/>
        <w:rPr>
          <w:rFonts w:ascii="华文中宋" w:hAnsi="华文中宋" w:eastAsia="华文中宋" w:cs="宋体"/>
          <w:b/>
          <w:kern w:val="0"/>
          <w:sz w:val="52"/>
          <w:szCs w:val="52"/>
        </w:rPr>
      </w:pPr>
    </w:p>
    <w:p w14:paraId="03E2365A">
      <w:pPr>
        <w:spacing w:line="540" w:lineRule="exact"/>
        <w:jc w:val="center"/>
        <w:rPr>
          <w:rFonts w:ascii="华文中宋" w:hAnsi="华文中宋" w:eastAsia="华文中宋" w:cs="宋体"/>
          <w:b/>
          <w:kern w:val="0"/>
          <w:sz w:val="52"/>
          <w:szCs w:val="52"/>
        </w:rPr>
      </w:pPr>
    </w:p>
    <w:p w14:paraId="503A7357">
      <w:pPr>
        <w:spacing w:line="540" w:lineRule="exact"/>
        <w:jc w:val="center"/>
        <w:rPr>
          <w:rFonts w:ascii="华文中宋" w:hAnsi="华文中宋" w:eastAsia="华文中宋" w:cs="宋体"/>
          <w:b/>
          <w:kern w:val="0"/>
          <w:sz w:val="52"/>
          <w:szCs w:val="52"/>
        </w:rPr>
      </w:pPr>
    </w:p>
    <w:p w14:paraId="29C6A856">
      <w:pPr>
        <w:spacing w:line="540" w:lineRule="exact"/>
        <w:jc w:val="center"/>
        <w:rPr>
          <w:rFonts w:ascii="华文中宋" w:hAnsi="华文中宋" w:eastAsia="华文中宋" w:cs="宋体"/>
          <w:b/>
          <w:kern w:val="0"/>
          <w:sz w:val="52"/>
          <w:szCs w:val="52"/>
        </w:rPr>
      </w:pPr>
    </w:p>
    <w:p w14:paraId="165E825B">
      <w:pPr>
        <w:spacing w:line="540" w:lineRule="exact"/>
        <w:jc w:val="center"/>
        <w:rPr>
          <w:rFonts w:ascii="华文中宋" w:hAnsi="华文中宋" w:eastAsia="华文中宋" w:cs="宋体"/>
          <w:b/>
          <w:kern w:val="0"/>
          <w:sz w:val="52"/>
          <w:szCs w:val="52"/>
        </w:rPr>
      </w:pPr>
    </w:p>
    <w:p w14:paraId="02ADB00F">
      <w:pPr>
        <w:spacing w:line="540" w:lineRule="exact"/>
        <w:jc w:val="center"/>
        <w:rPr>
          <w:rFonts w:ascii="华文中宋" w:hAnsi="华文中宋" w:eastAsia="华文中宋" w:cs="宋体"/>
          <w:b/>
          <w:kern w:val="0"/>
          <w:sz w:val="52"/>
          <w:szCs w:val="52"/>
        </w:rPr>
      </w:pPr>
    </w:p>
    <w:p w14:paraId="6175545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18C6A627">
      <w:pPr>
        <w:spacing w:line="540" w:lineRule="exact"/>
        <w:jc w:val="center"/>
        <w:rPr>
          <w:rFonts w:ascii="华文中宋" w:hAnsi="华文中宋" w:eastAsia="华文中宋" w:cs="宋体"/>
          <w:b/>
          <w:kern w:val="0"/>
          <w:sz w:val="52"/>
          <w:szCs w:val="52"/>
        </w:rPr>
      </w:pPr>
    </w:p>
    <w:p w14:paraId="3DF0A104">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025FF83">
      <w:pPr>
        <w:spacing w:line="540" w:lineRule="exact"/>
        <w:jc w:val="center"/>
        <w:rPr>
          <w:rFonts w:hAnsi="宋体" w:eastAsia="仿宋_GB2312" w:cs="宋体"/>
          <w:kern w:val="0"/>
          <w:sz w:val="30"/>
          <w:szCs w:val="30"/>
        </w:rPr>
      </w:pPr>
    </w:p>
    <w:p w14:paraId="28F74677">
      <w:pPr>
        <w:spacing w:line="540" w:lineRule="exact"/>
        <w:jc w:val="center"/>
        <w:rPr>
          <w:rFonts w:hAnsi="宋体" w:eastAsia="仿宋_GB2312" w:cs="宋体"/>
          <w:kern w:val="0"/>
          <w:sz w:val="30"/>
          <w:szCs w:val="30"/>
        </w:rPr>
      </w:pPr>
    </w:p>
    <w:p w14:paraId="1263B8CC">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1605119A">
      <w:pPr>
        <w:spacing w:line="540" w:lineRule="exact"/>
        <w:jc w:val="center"/>
        <w:rPr>
          <w:rFonts w:hAnsi="宋体" w:eastAsia="仿宋_GB2312" w:cs="宋体"/>
          <w:kern w:val="0"/>
          <w:sz w:val="30"/>
          <w:szCs w:val="30"/>
        </w:rPr>
      </w:pPr>
    </w:p>
    <w:p w14:paraId="35ED6528">
      <w:pPr>
        <w:spacing w:line="540" w:lineRule="exact"/>
        <w:jc w:val="center"/>
        <w:rPr>
          <w:rFonts w:hAnsi="宋体" w:eastAsia="仿宋_GB2312" w:cs="宋体"/>
          <w:kern w:val="0"/>
          <w:sz w:val="30"/>
          <w:szCs w:val="30"/>
        </w:rPr>
      </w:pPr>
    </w:p>
    <w:p w14:paraId="310ABA7C">
      <w:pPr>
        <w:spacing w:line="540" w:lineRule="exact"/>
        <w:jc w:val="center"/>
        <w:rPr>
          <w:rFonts w:hAnsi="宋体" w:eastAsia="仿宋_GB2312" w:cs="宋体"/>
          <w:kern w:val="0"/>
          <w:sz w:val="30"/>
          <w:szCs w:val="30"/>
        </w:rPr>
      </w:pPr>
    </w:p>
    <w:p w14:paraId="6CC07BDE">
      <w:pPr>
        <w:spacing w:line="540" w:lineRule="exact"/>
        <w:rPr>
          <w:rFonts w:hAnsi="宋体" w:eastAsia="仿宋_GB2312" w:cs="宋体"/>
          <w:kern w:val="0"/>
          <w:sz w:val="30"/>
          <w:szCs w:val="30"/>
        </w:rPr>
      </w:pPr>
    </w:p>
    <w:p w14:paraId="0CD8F70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BCCB863">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信息网络软件购置更新及业务保障项目</w:t>
      </w:r>
    </w:p>
    <w:p w14:paraId="7A08EA2F">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住房公积金管理中心</w:t>
      </w:r>
    </w:p>
    <w:p w14:paraId="70E67840">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新疆巴音郭楞蒙古自治州住房公积金管理中心</w:t>
      </w:r>
    </w:p>
    <w:p w14:paraId="4E0E419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戚成</w:t>
      </w:r>
    </w:p>
    <w:p w14:paraId="29847207">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2025年03月19日</w:t>
      </w:r>
    </w:p>
    <w:p w14:paraId="6F5380EB">
      <w:pPr>
        <w:spacing w:line="700" w:lineRule="exact"/>
        <w:ind w:firstLine="708" w:firstLineChars="236"/>
        <w:jc w:val="left"/>
        <w:rPr>
          <w:rFonts w:hAnsi="宋体" w:eastAsia="仿宋_GB2312" w:cs="宋体"/>
          <w:kern w:val="0"/>
          <w:sz w:val="30"/>
          <w:szCs w:val="30"/>
        </w:rPr>
      </w:pPr>
    </w:p>
    <w:p w14:paraId="12F53425">
      <w:pPr>
        <w:spacing w:line="540" w:lineRule="exact"/>
        <w:rPr>
          <w:rStyle w:val="19"/>
          <w:rFonts w:ascii="黑体" w:hAnsi="黑体" w:eastAsia="黑体"/>
          <w:b w:val="0"/>
          <w:spacing w:val="-4"/>
          <w:sz w:val="32"/>
          <w:szCs w:val="32"/>
        </w:rPr>
      </w:pPr>
    </w:p>
    <w:p w14:paraId="2C6EF2C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043FD0D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35915D4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自治区住建厅监管处统一住房公积金服务系统“双贯标”建设要求，自治区住建厅进行全疆公积金系统统招分签，用于住房公积金缴存职工对住房公积金政策咨询、办理业务等方面及中心网络安全和日常维护。为广大缴存职工提供了便捷、优质、高效的服务，实现全疆数据共享。</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通过开展住房公积金信息系统和综合服务平台的上线，实现政策、业务、资金、系统四统一，通过网络安全建设，提升巴州住房公积金信息化建设水平和风险防控能力，促进全州住房公积金业务数据体系的科学化、标准化、规范化建设，提高了巴州住房公积金服务水平和管理效率。为保障日常工作的运行，住房公积金与人力资源公司签订了派遣服务协议，以确保日常工作顺利进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新疆巴音郭楞蒙古自治州住房公积金管理中心已完成更新维护系统平台数量4个，信息业务专线数量2条，提升了业务保障能力和风险防控能力，及时保障56位工作人员日常办公需求，以确保工作效率。系统平台故障修复处理及时，系统和网络正常运行，提升巴州住房公积金信息化建设水平和风险防控能力，促进全州住房公积金业务数据体系的科学化、标准化、规范化建设，提高了巴州住房公积金服务水平和管理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该项目年初预算数665万元，全年预算数665万元，该项目资金已全部落实到位，资金来源为财政拨款。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665万元，全年预算数665万元，全年执行数600.48万元，预算执行率为90.3%，主要用于：480.8万元用于更新维护系统平台；119.68万元用于保障办公人员日常工作需求，实现住房公积金资金安全运作，提高单位工作效率。</w:t>
      </w:r>
    </w:p>
    <w:p w14:paraId="1614A8F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131F2D4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实现全疆住房公积金管理、服务、监督三大系统的统一，为广大缴存职工提供便捷、优质、高效的服务，我中心更新维护系统平台4个，信息业务专线数量2条，支付各个平台及软件驻场人员费用，系统平台故障及时修复，确保系统、平台、软件及设备正常运行，提升了风险防控能力。根据单位职能，保障办公人员60人日常工作需求，实现住房公积金资金安全运作，提高单位工作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上半年完成对4个系统平台、2 个信息业务专线的初步更新工作，重点优化管理系统的业务流程模块，提高业务办理效率，与技术团队紧密合作。核算并支付各个平台及软件驻场人员上半年的费用，确保费用支付准确及时，不影响驻场人员工作积极性和工作进度。同时，重点围绕系统操作、住房公积金政策解读等方面展开，提升办公人员业务能力，保障日常工作高效开展。下半年对已更新的住房公积金管理系统平台和专线进行全面复查，重点检查系统的稳定性和兼容性，及时修复发现的问题。总结上半年办公人员培训效果，针对薄弱环节开展补充培训，提升整体业务水平。全面梳理项目开展情况，总结经验教训，制定下一年度的工作计划，明确工作目标和重点任务，为新的一年工作做好准备。</w:t>
      </w:r>
    </w:p>
    <w:p w14:paraId="582BFCB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4C75A82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0651B86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信息网络软件购置更新及业务保障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信息网络软件购置更新及业务保障项目的性质、目标以及预期成果，选取了具有代表性和可衡量性的关键指标，涵盖了社会效益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问卷调查、数据分析等，广泛收集了与项目相关的各类数据，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信息网络软件购置更新及业务保障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信息网络软件购置更新及业务保障项目预算绩效评价报告在内容、方法和数据等方面均具备较高的完整性，能够真实、客观地反映项目的绩效情况，为项目管理决策提供了有价值的参考依据。在未来的工作中，本单位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通过对信息网络软件购置更新及业务保障项目预算执行情况及各项绩效目标达成程度的系统性分析，全面、客观地评估项目在预定周期内的实施效果，包括社会效益指标，为项目后续的改进与优化提供科学依据。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信息网络软件购置更新及业务保障项目预算资金的投入与产出关系，识别资金使用过程中的冗余环节与低效领域，挖掘潜在的资源优化配置空间，推动信息网络软件购置更新及业务保障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信息网络软件购置更新及业务保障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信息网络软件购置更新及业务保障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信息网络软件购置更新及业务保障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信息网络软件购置更新及业务保障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信息网络软件购置更新及业务保障项目及其预算执行情况。该项目由新疆巴音郭楞蒙古自治州住房公积金管理中心负责实施，旨在更新维护系统平台和信息业务专线，系统平台故障及时修复，确保系统、平台、软件及设备正常运行，提升了风险防控能力。项目预算涵盖从2024年1月1日至2024年12月31日的全部资金投入与支出，涉及资金总额为600.48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信息网络软件购置更新及业务保障项目预算绩效评价报告的评价范围广泛而全面，涵盖了从项目立项至评价时点期间的所有关键预算活动和财务流程。具体而言，评价范围包括但不限于以下几个方面：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（1）项目预算编制与执行：全面审视信息网络软件购置更新及业务保障项目预算的编制依据、合理性、科学性以及实际执行情况，包括预算调整的原因和效果。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（2）资金管理：深入分析信息网络软件购置更新及业务保障项目资金的分配、使用和监管情况，确保资金使用的合规性、高效性和透明度。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（3）项目实施进度与产出：评估信息网络软件购置更新及业务保障项目是否按照既定计划顺利推进，各项任务是否按时完成，以及项目产出的数量、质量和时效性是否符合预期。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（4）社会影响：考察信息网络软件购置更新及业务保障项目对社会方面的综合影响。</w:t>
      </w:r>
    </w:p>
    <w:p w14:paraId="5C12B97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7A3DBA6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本次项目支出绩效评价运用科学合理的方法，按照规范的程序，对项目绩效进行客观、公正的反映。新疆巴音郭楞蒙古自治州住房公积金管理中心在信息网络软件购置更新及业务保障项目评价中根据相关政策、我单位发展规划、部门职责及年初预算资金分配测算依据等方面分析可得项目设立合理、实施过程规范。评价过程科学合理、公平公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本次项目支出绩效评价由本单位自主实施，即“谁支出、谁自评”。信息网络软件购置更新及业务保障项目由新疆巴音郭楞蒙古自治州住房公积金管理中心实施，并对项目实施情况进行单位自评，与相关科室的管理人员进行了沟通和交流，深入了解信息网络软件购置更新及业务保障项目资金的使用情况和项目完成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本次项目支出绩效评价结果与预算安排、政策调整、改进管理实质性挂钩，体现奖优罚劣和激励相容导向，有效要安排、低效要压减、无效要问责。信息网络软件购置更新及业务保障项目严格按照预算安排实施，各科室部门从项目实施方案、项目预算、项目建设进度、项目成本、项目验收等环节，全过程对项目进行监管，明确分工，各司其职，抓好工作目标任务的落实完成，并向本单位主要领导报告，同时年中要求各科室对本科室绩效工作进行自查自评，存在问题及时整改，以推进项目建设和提高项目质量，以发挥资金使用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（4）公开透明。本次项目支出绩效评价结果已依法依规公开在巴音郭楞蒙古自治州人民政府网站上，并自觉接受社会监督。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信息网络软件购置更新及业务保障项目支出绩效自评采用比较法和公众评判法方法。原因是：比较法能通过对年初设置的三级指标内容与完成情况进行对比，可以清楚明了体现出信息网络软件购置更新及业务保障项目实施情况，在此基础上进行评价。公众评判法通过公众问卷及抽样调查，了解平台使用人员对项目实施的满意程度，通过这种直观的方式对信息网络软件购置更新及业务保障项目实施效果进行评判，评价绩效目标实现程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和历史标准，原因是：该项目设置年初绩效目标申报表时预先制定工作计划，同时参照历史数据，根据该项目的年度计划确定三级指标。采用计划标准、历史标准对项目实施带来的产出和效益进行对比核实，可提高预算编制和预算额度测算准确率，使评价结果更加科学真实。</w:t>
      </w:r>
    </w:p>
    <w:p w14:paraId="2357530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5F80A3D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信息网络软件购置更新及业务保障项目绩效评价工作启动之初，成立了评价工作小组，小组成员由财务人员、项目管理人员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信息网络软件购置更新及业务保障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信息网络软件购置更新及业务保障项目相关的各类数据，包括财务报表、业务数据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信息网络软件购置更新及业务保障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信息网络软件购置更新及业务保障项目的改进措施落实情况，定期对项目绩效进行复查，确保项目能够根据评价结果及时调整与优化，实现绩效的持续提升。同时，根据信息网络软件购置更新及业务保障项目实施过程中出现的新情况、新问题，适时调整绩效评价指标体系与方法，保持评价工作的适应性与前瞻性，为项目的长期稳定发展提供有力保障。</w:t>
      </w:r>
    </w:p>
    <w:p w14:paraId="5FDF0198">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6CAF3730">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信息网络软件购置更新及业务保障项目在更新维护系统平台和信息业务专线，系统平台故障及时修复，确保系统、平台、软件及设备正常运行等方面表现出色，达到了预期的标准与要求。同时，项目也在全疆住房公积金管理、服务、监督三大系统的统一方面取得了显著的成效，如为广大缴存职工提供便捷、优质、高效的服务，提升巴州住房公积金信息化建设水平和风险防控能力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在项目管理方面，新疆巴音郭楞蒙古自治州住房公积金管理中心通过有效的规划、组织与协调，项目得以顺利实施，并在预算与时间上保持了良好的控制。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促进全州住房公积金业务数据体系的科学化、标准化、规范化建设，提高了巴州住房公积金服务水平和管理效率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综上所述，信息网络软件购置更新及业务保障项目在绩效评价中表现出色，达到了项目的预期目标，并在多个方面取得了显著的成效。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95.61分，属于“优”。其中，项目决策类指标权重为20分，得分为20分，得分率为100%。项目过程类指标权重为20分，得分为19.61分，得分率为98.05%。项目产出类指标权重为40分，得分为36分，得分率为90%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19.61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36</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95.61</w:t>
      </w:r>
    </w:p>
    <w:p w14:paraId="0B59A287">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4C7024D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423724D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信息网络软件购置更新及业务保障项目立项依据《关于加快推进全区住房公积金信息化建设工作的通知》新建金〔2017〕3号、《住房城乡建设部关于加快建设住房公积金综合服务平台的通知》建金〔2016〕14号、《住房城乡建设部办公厅关于保持住房公积金业务平稳运行有关问题的通知》建办金〔2017〕47号和住建部、自治区住建厅关于住房公积金系统”双贯标”要求，符合国家法律法规、国民经济发展规划，符合行业发展规划和政策要求。符合部门职责范围，</w:t>
      </w:r>
      <w:r>
        <w:rPr>
          <w:rStyle w:val="19"/>
          <w:rFonts w:hint="eastAsia" w:ascii="楷体" w:hAnsi="楷体" w:eastAsia="楷体"/>
          <w:spacing w:val="-4"/>
          <w:sz w:val="32"/>
          <w:szCs w:val="32"/>
          <w:lang w:eastAsia="zh-CN"/>
        </w:rPr>
        <w:t>属于部门</w:t>
      </w:r>
      <w:r>
        <w:rPr>
          <w:rStyle w:val="19"/>
          <w:rFonts w:hint="eastAsia" w:ascii="楷体" w:hAnsi="楷体" w:eastAsia="楷体"/>
          <w:spacing w:val="-4"/>
          <w:sz w:val="32"/>
          <w:szCs w:val="32"/>
        </w:rPr>
        <w:t>履职所需，且属于公共财政支持范围，符合中央、地方事权支出责任划分原则，且不与相关部门同类项目或部门内部相关项目重复。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信息网络软件购置更新及业务保障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信息网络软件购置更新及业务保障项目年初设立了项目绩效目标，与开展住房公积金信息系统和综合服务平台的上线，实现政策、业务、资金、系统四统一，通过网络安全建设，提升巴州住房公积金信息化建设水平和风险防控能力，促进全州住房公积金业务数据体系的科学化、标准化、规范化建设，提高巴州住房公积金服务水平和管理效率具有相关性，项目的预期产出效益和效果也均能符合正常的业绩水平，并且与预算确定的项目投资额或资金量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信息网络软件购置更新及业务保障项目设置了明确的预期产出效益和效果，将绩效目标细化分解为具体的绩效指标，绩效目标与项目目标任务数相对应，绩效目标设定的绩效指标清晰、细化、可衡量。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信息网络软件购置更新及业务保障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信息网络软件购置更新及业务保障项目在有限的预算内取得最大的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信息网络软件购置更新及业务保障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信息网络软件购置更新及业务保障项目的特点与实际情况，对关键领域与重要环节给予了重点支持。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信息网络软件购置更新及业务保障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0136057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09A2E8C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项目过程类指标包括资金管理和组织实施两方面的内容，由5个三级指标构成，权重分值为20分，实际得分19.61分，得分率为98.05%。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本项目总投资665万元，财政资金及时足额到位，到位率100%，预算资金按计划进度执行。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预算编制较为详细，项目资金支出总体能够按照预算执行，预算资金支出600.48万元，预算执行率为90.3%。</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此项权重分值为4分，得分为3.61分。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信息网络软件购置更新及业务保障项目的资金使用严格遵循了国家相关法律法规与财务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信息网络软件购置更新及业务保障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信息网络软件购置更新及业务保障项目拥有一套完善、健全的管理制度体系，为项目的成功实施提供了坚实的制度保障。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信息网络软件购置更新及业务保障项目管理制度还充分考虑了风险因素，制定了相应的风险应对措施，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信息网络软件购置更新及业务保障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信息网络软件购置更新及业务保障项目在执行过程中，管理制度得到了全面、有效的落实，为确保项目的顺利实施与目标实现提供了坚实的保障。新疆巴音郭楞蒙古自治州住房公积金管理中心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信息网络软件购置更新及业务保障项目小组成员严格按照制度要求进行操作。同时，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综上所述，信息网络软件购置更新及业务保障项目的管理制度在执行过程中表现出了高度的有效性，既确保了项目的顺利进行，又实现了项目目标的有效达成。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5E06D5D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0692FF4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项目产出类指标包括产出数量、产出质量、产出时效、产出成本四方面的内容，由10个三级指标构成，权重分为40分，实际得分36分，得分率为90%。具体产出指标完成情况如下：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指标1：更新维护系统平台数量，指标值：&gt;=4个，实际完成值：4个，指标完成率100%。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指标2：信息业务专线数量，指标值：&gt;=2条，实际完成值：2条，指标完成率100%。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指标3：保障办公人员数量，指标值：&gt;=60人，实际完成值：56人，指标完成率93.33%，偏差原因：退休、调出4人，导致在职人员减少。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此项权重分值为10分，得分为8分。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指标1：系统平台故障率，指标值：&lt;=10%，实际完成值：10%，指标完成率100%。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指标2：系统平台验收合格率，指标值：&gt;=95%，实际完成值：100%，指标完成率100%。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指标1：系统平台故障修复处理时间，指标值：&lt;=3天，实际完成值：3天，指标完成率100%。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指标2：系统平台运行维护响应时间，指标值：&lt;=24小时，实际完成值：24小时，指标完成率100%。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指标3：运转经费支付及时率，指标值：&gt;=95%，实际完成值：100%，指标完成率100%。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指标1：更新维护系统平台资金额，指标值：&lt;=528万元，实际完成值：480.8万元，指标完成率91.06%，偏差原因：本单位根据对平台服务公司考核，按照考核结果扣除相应比例合同金额。</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指标2：人均运转经费数，指标值：&lt;=2.28万元/人，实际完成值：2.13万元/人，指标完成率93.42%，偏差原因：落实过紧日子思想，控制日常支出，严禁办公用品浪费。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此项权重分值为10分，得分为8分。</w:t>
      </w:r>
    </w:p>
    <w:p w14:paraId="27E472B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4E8178CF">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项目效益类指标包括项目实施效益和满意度两方面的内容，由3个三级指标构成，权重分为20分，实际得分20分，得分率为100%。具体效益指标及满意度指标完成情况如下：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指标1：业务保障能力，指标值：有所提升，实际完成值：达成目标，指标完成率100%。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指标2：系统正常使用年限，指标值：&gt;=1年，实际完成值：1年，指标完成率100%。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55A33D6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指标1：使用人员满意度，指标值：&gt;=90%，实际完成值：100%，指标完成率100%。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F130D64">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105F66D3">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信息网络软件购置更新及业务保障项目实施过程中，各科室分工明确，按照年度计划规范地组织实施，将责任落实到具体部门，有条不紊开展相关工作，并做好资料收集整理工作。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做好定期监督，严格按照项目管理规范进行，在项目资金使用过程中，严格落实把关，按照项目资金使用范围做好审核工作，让项目资金落于实处。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存在的主要问题：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1.实际办公人员人数、更新维护系统平台资金额与年初设置指标值存在偏差，在项目实际实施过程中，不能很好的按照年初制定的指标值去完成。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2.年初预算数与全年执行数存在偏差，实际支出减少。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1.年初设置指标值时，根据本年度计划和往年人数统计来设置，但年中人员存在变动，人数减少，导致实际人数与预期指标值存在偏差。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2.办公人员减少，保障日常业务办公经费减少。根据对平台服务公司考核，考核未达到满分，按照考核结果扣除相应比例合同金额，成本降低，导致实际支出比预算减少，成本存在结余。</w:t>
      </w:r>
    </w:p>
    <w:p w14:paraId="17314F37">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646A3375">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1.完善项目指标设置过程中有关数据和资料的收集、整理及分析，同时完善指标执行动态约束机制，若工作任务有变动，及时按照规范的流程申请变更，精准设置指标值，减少偏差。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2.加强预算编制严谨性，对本单位当年度的各项工作开展做到心中有数，统筹安排，合理配置。在以后工作中，坚持做到合理安排预算资金，不断完善支出结构，优化资金使用率，进一步完善预算管理体制。</w:t>
      </w:r>
    </w:p>
    <w:p w14:paraId="7763D05D">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6C130BF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0630BE34">
      <w:pPr>
        <w:spacing w:line="540" w:lineRule="exact"/>
        <w:ind w:firstLine="567"/>
        <w:rPr>
          <w:rStyle w:val="19"/>
          <w:rFonts w:ascii="仿宋" w:hAnsi="仿宋" w:eastAsia="仿宋"/>
          <w:b w:val="0"/>
          <w:spacing w:val="-4"/>
          <w:sz w:val="32"/>
          <w:szCs w:val="32"/>
        </w:rPr>
      </w:pPr>
    </w:p>
    <w:p w14:paraId="52AD9DC6">
      <w:pPr>
        <w:spacing w:line="540" w:lineRule="exact"/>
        <w:ind w:firstLine="567"/>
        <w:rPr>
          <w:rStyle w:val="19"/>
          <w:rFonts w:ascii="仿宋" w:hAnsi="仿宋" w:eastAsia="仿宋"/>
          <w:b w:val="0"/>
          <w:spacing w:val="-4"/>
          <w:sz w:val="32"/>
          <w:szCs w:val="32"/>
        </w:rPr>
      </w:pPr>
    </w:p>
    <w:p w14:paraId="542B3259">
      <w:pPr>
        <w:spacing w:line="540" w:lineRule="exact"/>
        <w:ind w:firstLine="567"/>
        <w:rPr>
          <w:rStyle w:val="19"/>
          <w:rFonts w:ascii="仿宋" w:hAnsi="仿宋" w:eastAsia="仿宋"/>
          <w:b w:val="0"/>
          <w:spacing w:val="-4"/>
          <w:sz w:val="32"/>
          <w:szCs w:val="32"/>
        </w:rPr>
      </w:pPr>
    </w:p>
    <w:p w14:paraId="655F6301">
      <w:pPr>
        <w:spacing w:line="540" w:lineRule="exact"/>
        <w:ind w:firstLine="567"/>
        <w:rPr>
          <w:rStyle w:val="19"/>
          <w:rFonts w:ascii="仿宋" w:hAnsi="仿宋" w:eastAsia="仿宋"/>
          <w:b w:val="0"/>
          <w:spacing w:val="-4"/>
          <w:sz w:val="32"/>
          <w:szCs w:val="32"/>
        </w:rPr>
      </w:pPr>
    </w:p>
    <w:p w14:paraId="2CD95171">
      <w:pPr>
        <w:spacing w:line="540" w:lineRule="exact"/>
        <w:ind w:firstLine="567"/>
        <w:rPr>
          <w:rStyle w:val="19"/>
          <w:rFonts w:ascii="仿宋" w:hAnsi="仿宋" w:eastAsia="仿宋"/>
          <w:b w:val="0"/>
          <w:spacing w:val="-4"/>
          <w:sz w:val="32"/>
          <w:szCs w:val="32"/>
        </w:rPr>
      </w:pPr>
    </w:p>
    <w:p w14:paraId="2321E97C">
      <w:pPr>
        <w:spacing w:line="540" w:lineRule="exact"/>
        <w:ind w:firstLine="567"/>
        <w:rPr>
          <w:rStyle w:val="19"/>
          <w:rFonts w:ascii="仿宋" w:hAnsi="仿宋" w:eastAsia="仿宋"/>
          <w:b w:val="0"/>
          <w:spacing w:val="-4"/>
          <w:sz w:val="32"/>
          <w:szCs w:val="32"/>
        </w:rPr>
      </w:pPr>
    </w:p>
    <w:p w14:paraId="527E8E59">
      <w:pPr>
        <w:spacing w:line="540" w:lineRule="exact"/>
        <w:ind w:firstLine="567"/>
        <w:rPr>
          <w:rStyle w:val="19"/>
          <w:rFonts w:ascii="仿宋" w:hAnsi="仿宋" w:eastAsia="仿宋"/>
          <w:b w:val="0"/>
          <w:spacing w:val="-4"/>
          <w:sz w:val="32"/>
          <w:szCs w:val="32"/>
        </w:rPr>
      </w:pPr>
    </w:p>
    <w:p w14:paraId="52F9D440">
      <w:pPr>
        <w:spacing w:line="540" w:lineRule="exact"/>
        <w:ind w:firstLine="567"/>
        <w:rPr>
          <w:rStyle w:val="19"/>
          <w:rFonts w:ascii="仿宋" w:hAnsi="仿宋" w:eastAsia="仿宋"/>
          <w:b w:val="0"/>
          <w:spacing w:val="-4"/>
          <w:sz w:val="32"/>
          <w:szCs w:val="32"/>
        </w:rPr>
      </w:pPr>
    </w:p>
    <w:p w14:paraId="27A43F2D">
      <w:pPr>
        <w:spacing w:line="540" w:lineRule="exact"/>
        <w:ind w:firstLine="567"/>
        <w:rPr>
          <w:rStyle w:val="19"/>
          <w:rFonts w:ascii="仿宋" w:hAnsi="仿宋" w:eastAsia="仿宋"/>
          <w:b w:val="0"/>
          <w:spacing w:val="-4"/>
          <w:sz w:val="32"/>
          <w:szCs w:val="32"/>
        </w:rPr>
      </w:pPr>
    </w:p>
    <w:p w14:paraId="3C164C27">
      <w:pPr>
        <w:spacing w:line="540" w:lineRule="exact"/>
        <w:ind w:firstLine="567"/>
        <w:rPr>
          <w:rStyle w:val="19"/>
          <w:rFonts w:ascii="仿宋" w:hAnsi="仿宋" w:eastAsia="仿宋"/>
          <w:b w:val="0"/>
          <w:spacing w:val="-4"/>
          <w:sz w:val="32"/>
          <w:szCs w:val="32"/>
        </w:rPr>
      </w:pPr>
    </w:p>
    <w:p w14:paraId="1BA670DB">
      <w:pPr>
        <w:spacing w:line="540" w:lineRule="exact"/>
        <w:ind w:firstLine="567"/>
        <w:rPr>
          <w:rStyle w:val="19"/>
          <w:rFonts w:ascii="仿宋" w:hAnsi="仿宋" w:eastAsia="仿宋"/>
          <w:b w:val="0"/>
          <w:spacing w:val="-4"/>
          <w:sz w:val="32"/>
          <w:szCs w:val="32"/>
        </w:rPr>
      </w:pPr>
    </w:p>
    <w:p w14:paraId="448A7D03">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8AFA52E-2F6C-46FF-AF45-2F93E35457C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D41C539-4A3F-4046-BFD4-D8E0A3CB2896}"/>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89284D46-8BCB-4B65-8B09-5446FE46D77D}"/>
  </w:font>
  <w:font w:name="华文中宋">
    <w:panose1 w:val="02010600040101010101"/>
    <w:charset w:val="86"/>
    <w:family w:val="auto"/>
    <w:pitch w:val="default"/>
    <w:sig w:usb0="00000287" w:usb1="080F0000" w:usb2="00000000" w:usb3="00000000" w:csb0="0004009F" w:csb1="DFD70000"/>
    <w:embedRegular r:id="rId4" w:fontKey="{4EF8DF3E-6BDF-4E30-AC42-F77F1C183C96}"/>
  </w:font>
  <w:font w:name="方正小标宋_GBK">
    <w:panose1 w:val="02000000000000000000"/>
    <w:charset w:val="86"/>
    <w:family w:val="script"/>
    <w:pitch w:val="default"/>
    <w:sig w:usb0="A00002BF" w:usb1="38CF7CFA" w:usb2="00082016" w:usb3="00000000" w:csb0="00040001" w:csb1="00000000"/>
    <w:embedRegular r:id="rId5" w:fontKey="{5CF815EE-F627-42B7-B67E-CB47A8B542CB}"/>
  </w:font>
  <w:font w:name="仿宋_GB2312">
    <w:altName w:val="仿宋"/>
    <w:panose1 w:val="02010609030101010101"/>
    <w:charset w:val="86"/>
    <w:family w:val="modern"/>
    <w:pitch w:val="default"/>
    <w:sig w:usb0="00000000" w:usb1="00000000" w:usb2="00000000" w:usb3="00000000" w:csb0="00040000" w:csb1="00000000"/>
    <w:embedRegular r:id="rId6" w:fontKey="{55C7D7A1-78A2-43C0-B81A-36A20433DE73}"/>
  </w:font>
  <w:font w:name="楷体">
    <w:panose1 w:val="02010609060101010101"/>
    <w:charset w:val="86"/>
    <w:family w:val="modern"/>
    <w:pitch w:val="default"/>
    <w:sig w:usb0="800002BF" w:usb1="38CF7CFA" w:usb2="00000016" w:usb3="00000000" w:csb0="00040001" w:csb1="00000000"/>
    <w:embedRegular r:id="rId7" w:fontKey="{1E23DB62-06C7-46D8-815B-5A4BF19A292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17928D4">
        <w:pPr>
          <w:pStyle w:val="12"/>
          <w:jc w:val="center"/>
        </w:pPr>
        <w:r>
          <w:fldChar w:fldCharType="begin"/>
        </w:r>
        <w:r>
          <w:instrText xml:space="preserve">PAGE   \* MERGEFORMAT</w:instrText>
        </w:r>
        <w:r>
          <w:fldChar w:fldCharType="separate"/>
        </w:r>
        <w:r>
          <w:rPr>
            <w:lang w:val="zh-CN"/>
          </w:rPr>
          <w:t>1</w:t>
        </w:r>
        <w:r>
          <w:fldChar w:fldCharType="end"/>
        </w:r>
      </w:p>
    </w:sdtContent>
  </w:sdt>
  <w:p w14:paraId="66F62CF3">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04353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39aecc84-2bab-4979-9be8-ee79759e8a3d}">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11135</Words>
  <Characters>11448</Characters>
  <Lines>5</Lines>
  <Paragraphs>1</Paragraphs>
  <TotalTime>0</TotalTime>
  <ScaleCrop>false</ScaleCrop>
  <LinksUpToDate>false</LinksUpToDate>
  <CharactersWithSpaces>11477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2025-09-22T11:06:08Z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