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新疆巴音郭楞蒙古自治州临空经济服务中心2024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FCBEEE0">
      <w:r>
        <w:br w:type="page"/>
      </w:r>
    </w:p>
    <w:p w14:paraId="6B126832">
      <w:pPr>
        <w:spacing w:line="640" w:lineRule="exact"/>
        <w:jc w:val="center"/>
        <w:outlineLvl w:val="1"/>
      </w:pPr>
      <w:r>
        <w:rPr>
          <w:rFonts w:ascii="黑体" w:hAnsi="黑体" w:eastAsia="黑体"/>
          <w:sz w:val="32"/>
        </w:rPr>
        <w:t>第一部分 部门概况</w:t>
      </w:r>
    </w:p>
    <w:p w14:paraId="726A0443">
      <w:pPr>
        <w:spacing w:line="640" w:lineRule="exact"/>
        <w:ind w:firstLine="640"/>
        <w:jc w:val="both"/>
        <w:outlineLvl w:val="2"/>
      </w:pPr>
      <w:r>
        <w:rPr>
          <w:rFonts w:ascii="黑体" w:hAnsi="黑体" w:eastAsia="黑体"/>
          <w:sz w:val="32"/>
        </w:rPr>
        <w:t>一、主要职能</w:t>
      </w:r>
    </w:p>
    <w:p w14:paraId="18B62381">
      <w:pPr>
        <w:spacing w:line="580" w:lineRule="exact"/>
        <w:ind w:firstLine="640"/>
        <w:jc w:val="both"/>
      </w:pPr>
      <w:r>
        <w:rPr>
          <w:rFonts w:ascii="仿宋_GB2312" w:hAnsi="仿宋_GB2312" w:eastAsia="仿宋_GB2312"/>
          <w:sz w:val="32"/>
        </w:rPr>
        <w:t>（一）牵头负责自治州临空经济建设相关工作。指导监督自治州临空经济政策体系、服务支撑体系建设和各县（市）航空枢纽功能区建设。推动各县（市）临空核心产业加速集聚，现代高新产业体系加速构建，临空经济相关产业协调发展。</w:t>
      </w:r>
    </w:p>
    <w:p w14:paraId="2A539BE0">
      <w:pPr>
        <w:spacing w:line="580" w:lineRule="exact"/>
        <w:ind w:firstLine="640"/>
        <w:jc w:val="both"/>
      </w:pPr>
      <w:r>
        <w:rPr>
          <w:rFonts w:ascii="仿宋_GB2312" w:hAnsi="仿宋_GB2312" w:eastAsia="仿宋_GB2312"/>
          <w:sz w:val="32"/>
        </w:rPr>
        <w:t>（二）依据自治州社会经济</w:t>
      </w:r>
      <w:r>
        <w:rPr>
          <w:rFonts w:hint="eastAsia" w:ascii="仿宋_GB2312" w:hAnsi="仿宋_GB2312" w:eastAsia="仿宋_GB2312"/>
          <w:sz w:val="32"/>
          <w:lang w:eastAsia="zh-CN"/>
        </w:rPr>
        <w:t>中长期</w:t>
      </w:r>
      <w:r>
        <w:rPr>
          <w:rFonts w:ascii="仿宋_GB2312" w:hAnsi="仿宋_GB2312" w:eastAsia="仿宋_GB2312"/>
          <w:sz w:val="32"/>
        </w:rPr>
        <w:t>发展规划，安排自治州临空经济建设发展规划与年度计划的编制、审定和组织落实。</w:t>
      </w:r>
    </w:p>
    <w:p w14:paraId="100F2190">
      <w:pPr>
        <w:spacing w:line="580" w:lineRule="exact"/>
        <w:ind w:firstLine="640"/>
        <w:jc w:val="both"/>
      </w:pPr>
      <w:r>
        <w:rPr>
          <w:rFonts w:ascii="仿宋_GB2312" w:hAnsi="仿宋_GB2312" w:eastAsia="仿宋_GB2312"/>
          <w:sz w:val="32"/>
        </w:rPr>
        <w:t>（三）做好自治州临空经济建设发展重大投资项目规划，相关政策的引用、研究，加强项目的管理，推动落实项目用地、选址、环评等相关工作。</w:t>
      </w:r>
    </w:p>
    <w:p w14:paraId="01537B36">
      <w:pPr>
        <w:spacing w:line="580" w:lineRule="exact"/>
        <w:ind w:firstLine="640"/>
        <w:jc w:val="both"/>
      </w:pPr>
      <w:r>
        <w:rPr>
          <w:rFonts w:ascii="仿宋_GB2312" w:hAnsi="仿宋_GB2312" w:eastAsia="仿宋_GB2312"/>
          <w:sz w:val="32"/>
        </w:rPr>
        <w:t>（四）负责协调自治州临空经济建设重大投资项目的</w:t>
      </w:r>
      <w:r>
        <w:rPr>
          <w:rFonts w:hint="eastAsia" w:ascii="仿宋_GB2312" w:hAnsi="仿宋_GB2312" w:eastAsia="仿宋_GB2312"/>
          <w:sz w:val="32"/>
          <w:lang w:eastAsia="zh-CN"/>
        </w:rPr>
        <w:t>招商引资</w:t>
      </w:r>
      <w:r>
        <w:rPr>
          <w:rFonts w:ascii="仿宋_GB2312" w:hAnsi="仿宋_GB2312" w:eastAsia="仿宋_GB2312"/>
          <w:sz w:val="32"/>
        </w:rPr>
        <w:t>和经济运行工作；做好对外经济协作、协调和组织实施临空经济国内外交流与合作事务。</w:t>
      </w:r>
    </w:p>
    <w:p w14:paraId="3B67F508">
      <w:pPr>
        <w:spacing w:line="580" w:lineRule="exact"/>
        <w:ind w:firstLine="640"/>
        <w:jc w:val="both"/>
      </w:pPr>
      <w:r>
        <w:rPr>
          <w:rFonts w:ascii="仿宋_GB2312" w:hAnsi="仿宋_GB2312" w:eastAsia="仿宋_GB2312"/>
          <w:sz w:val="32"/>
        </w:rPr>
        <w:t>（五）协调自治州临空经济建设方面的有关工作，根据有关法规制定自治州临空经济建设发展的相关管理制度和工作规范。</w:t>
      </w:r>
    </w:p>
    <w:p w14:paraId="3E16A46D">
      <w:pPr>
        <w:spacing w:line="580" w:lineRule="exact"/>
        <w:ind w:firstLine="640"/>
        <w:jc w:val="both"/>
      </w:pPr>
      <w:r>
        <w:rPr>
          <w:rFonts w:ascii="仿宋_GB2312" w:hAnsi="仿宋_GB2312" w:eastAsia="仿宋_GB2312"/>
          <w:sz w:val="32"/>
        </w:rPr>
        <w:t>（六）培育和发展自治州航线、货运、物流等相关工作，推动自治州的航空枢纽优势转化为高质量发展的航空经济。</w:t>
      </w:r>
    </w:p>
    <w:p w14:paraId="0C42D3B0">
      <w:pPr>
        <w:spacing w:line="580" w:lineRule="exact"/>
        <w:ind w:firstLine="640"/>
        <w:jc w:val="both"/>
      </w:pPr>
      <w:r>
        <w:rPr>
          <w:rFonts w:ascii="仿宋_GB2312" w:hAnsi="仿宋_GB2312" w:eastAsia="仿宋_GB2312"/>
          <w:sz w:val="32"/>
        </w:rPr>
        <w:t>（七）按照全州航空航天产业布局发展要求，抓好巴州航天科技产业园发展建设。</w:t>
      </w:r>
    </w:p>
    <w:p w14:paraId="1741DFBA">
      <w:pPr>
        <w:spacing w:line="580" w:lineRule="exact"/>
        <w:ind w:firstLine="640"/>
        <w:jc w:val="both"/>
      </w:pPr>
      <w:r>
        <w:rPr>
          <w:rFonts w:ascii="仿宋_GB2312" w:hAnsi="仿宋_GB2312" w:eastAsia="仿宋_GB2312"/>
          <w:sz w:val="32"/>
        </w:rPr>
        <w:t>（八）依据自治州城市总体规划，编制巴州航天科技产业园规划和经济发展，环境保护等各类专项规划，经批准后组织实施。</w:t>
      </w:r>
    </w:p>
    <w:p w14:paraId="600EE869">
      <w:pPr>
        <w:spacing w:line="580" w:lineRule="exact"/>
        <w:ind w:firstLine="640"/>
        <w:jc w:val="both"/>
      </w:pPr>
      <w:r>
        <w:rPr>
          <w:rFonts w:ascii="仿宋_GB2312" w:hAnsi="仿宋_GB2312" w:eastAsia="仿宋_GB2312"/>
          <w:sz w:val="32"/>
        </w:rPr>
        <w:t>（九）联络协调库尔勒经济技术开发区、库尔勒市人民政府、阿瓦提农场、新疆机场（集团）有限公司库尔勒机场共同推进巴州航天科技产业园建设，并在以上单位充分授权下，负责巴州航天科技产业园内基础设施建设及土地开发、资源整合，</w:t>
      </w:r>
      <w:r>
        <w:rPr>
          <w:rFonts w:hint="eastAsia" w:ascii="仿宋_GB2312" w:hAnsi="仿宋_GB2312" w:eastAsia="仿宋_GB2312"/>
          <w:sz w:val="32"/>
          <w:lang w:eastAsia="zh-CN"/>
        </w:rPr>
        <w:t>招</w:t>
      </w:r>
      <w:r>
        <w:rPr>
          <w:rFonts w:ascii="仿宋_GB2312" w:hAnsi="仿宋_GB2312" w:eastAsia="仿宋_GB2312"/>
          <w:sz w:val="32"/>
        </w:rPr>
        <w:t>商引资、项目落地。</w:t>
      </w:r>
    </w:p>
    <w:p w14:paraId="11D6ECC4">
      <w:pPr>
        <w:spacing w:line="580" w:lineRule="exact"/>
        <w:ind w:firstLine="640"/>
        <w:jc w:val="both"/>
      </w:pPr>
      <w:r>
        <w:rPr>
          <w:rFonts w:ascii="仿宋_GB2312" w:hAnsi="仿宋_GB2312" w:eastAsia="仿宋_GB2312"/>
          <w:sz w:val="32"/>
        </w:rPr>
        <w:t>（十）确保自治州临空经济建设资金和国有资产的管理，提出预算内投资、自治州财政性资金安排建议。</w:t>
      </w:r>
    </w:p>
    <w:p w14:paraId="055F2D21">
      <w:pPr>
        <w:spacing w:line="580" w:lineRule="exact"/>
        <w:ind w:firstLine="640"/>
        <w:jc w:val="both"/>
      </w:pPr>
      <w:r>
        <w:rPr>
          <w:rFonts w:ascii="仿宋_GB2312" w:hAnsi="仿宋_GB2312" w:eastAsia="仿宋_GB2312"/>
          <w:sz w:val="32"/>
        </w:rPr>
        <w:t>（十一）承担自治州临空经济服务中心党的建设、党风廉政建设和反腐败、精神文明、维护稳定、“</w:t>
      </w:r>
      <w:r>
        <w:rPr>
          <w:rFonts w:hint="eastAsia" w:ascii="仿宋_GB2312" w:hAnsi="仿宋_GB2312" w:eastAsia="仿宋_GB2312"/>
          <w:sz w:val="32"/>
          <w:lang w:eastAsia="zh-CN"/>
        </w:rPr>
        <w:t>为民办实事</w:t>
      </w:r>
      <w:r>
        <w:rPr>
          <w:rFonts w:ascii="仿宋_GB2312" w:hAnsi="仿宋_GB2312" w:eastAsia="仿宋_GB2312"/>
          <w:sz w:val="32"/>
        </w:rPr>
        <w:t>”、综合治理、民族团结、“两个全覆盖”、安全生产、扶贫等工作。</w:t>
      </w:r>
    </w:p>
    <w:p w14:paraId="41ED26BC">
      <w:pPr>
        <w:spacing w:line="580" w:lineRule="exact"/>
        <w:ind w:firstLine="640"/>
        <w:jc w:val="both"/>
      </w:pPr>
      <w:r>
        <w:rPr>
          <w:rFonts w:ascii="仿宋_GB2312" w:hAnsi="仿宋_GB2312" w:eastAsia="仿宋_GB2312"/>
          <w:sz w:val="32"/>
        </w:rPr>
        <w:t>（十二）完成自治州党委、自治州人民政府交办的其他任务。</w:t>
      </w:r>
    </w:p>
    <w:p w14:paraId="09D0F03C">
      <w:pPr>
        <w:spacing w:line="640" w:lineRule="exact"/>
        <w:ind w:firstLine="640"/>
        <w:jc w:val="both"/>
        <w:outlineLvl w:val="2"/>
      </w:pPr>
      <w:r>
        <w:rPr>
          <w:rFonts w:ascii="黑体" w:hAnsi="黑体" w:eastAsia="黑体"/>
          <w:sz w:val="32"/>
        </w:rPr>
        <w:t>二、机构设置及人员情况</w:t>
      </w:r>
    </w:p>
    <w:p w14:paraId="06E700D2">
      <w:pPr>
        <w:spacing w:line="580" w:lineRule="exact"/>
        <w:ind w:firstLine="640"/>
        <w:jc w:val="both"/>
      </w:pPr>
      <w:r>
        <w:rPr>
          <w:rFonts w:ascii="仿宋_GB2312" w:hAnsi="仿宋_GB2312" w:eastAsia="仿宋_GB2312"/>
          <w:sz w:val="32"/>
        </w:rPr>
        <w:t>新疆巴音郭楞蒙古自治州临空经济服务中心2024年度，实有人数3人，其中：在职人员2人，减少9人；离休人员0人，增加0人；退休人员1人,增加1人。</w:t>
      </w:r>
    </w:p>
    <w:p w14:paraId="5509958C">
      <w:pPr>
        <w:spacing w:line="580" w:lineRule="exact"/>
        <w:ind w:firstLine="640"/>
        <w:jc w:val="both"/>
      </w:pPr>
      <w:r>
        <w:rPr>
          <w:rFonts w:ascii="仿宋_GB2312" w:hAnsi="仿宋_GB2312" w:eastAsia="仿宋_GB2312"/>
          <w:sz w:val="32"/>
        </w:rPr>
        <w:t>新疆巴音郭楞蒙古自治州临空经济服务中心无下属预算单位，下设4个科室，分别是：综合科、规划建设科、经济发展科、航空航天科。</w:t>
      </w:r>
    </w:p>
    <w:p w14:paraId="6592C110">
      <w:r>
        <w:br w:type="page"/>
      </w:r>
    </w:p>
    <w:p w14:paraId="51DDC736">
      <w:pPr>
        <w:spacing w:line="240" w:lineRule="auto"/>
        <w:jc w:val="center"/>
        <w:outlineLvl w:val="1"/>
      </w:pPr>
      <w:r>
        <w:rPr>
          <w:rFonts w:ascii="黑体" w:hAnsi="黑体" w:eastAsia="黑体"/>
          <w:sz w:val="32"/>
        </w:rPr>
        <w:t>第二部分 部门决算情况说明</w:t>
      </w:r>
    </w:p>
    <w:p w14:paraId="3DCF48B4">
      <w:pPr>
        <w:spacing w:line="640" w:lineRule="exact"/>
        <w:ind w:firstLine="640"/>
        <w:jc w:val="both"/>
        <w:outlineLvl w:val="2"/>
      </w:pPr>
      <w:r>
        <w:rPr>
          <w:rFonts w:ascii="黑体" w:hAnsi="黑体" w:eastAsia="黑体"/>
          <w:sz w:val="32"/>
        </w:rPr>
        <w:t>一、收入支出决算总体情况说明</w:t>
      </w:r>
    </w:p>
    <w:p w14:paraId="0346D352">
      <w:pPr>
        <w:spacing w:line="580" w:lineRule="exact"/>
        <w:ind w:firstLine="640"/>
        <w:jc w:val="both"/>
      </w:pPr>
      <w:r>
        <w:rPr>
          <w:rFonts w:ascii="仿宋_GB2312" w:hAnsi="仿宋_GB2312" w:eastAsia="仿宋_GB2312"/>
          <w:b/>
          <w:sz w:val="32"/>
        </w:rPr>
        <w:t>2024年度收入总计125.11万元，</w:t>
      </w:r>
      <w:r>
        <w:rPr>
          <w:rFonts w:ascii="仿宋_GB2312" w:hAnsi="仿宋_GB2312" w:eastAsia="仿宋_GB2312"/>
          <w:b w:val="0"/>
          <w:sz w:val="32"/>
        </w:rPr>
        <w:t>其中：本年收入合计125.11万元，使用非财政拨款结余（含专用结余）0.00万元，年初结转和结余0.00万元。</w:t>
      </w:r>
    </w:p>
    <w:p w14:paraId="68045967">
      <w:pPr>
        <w:spacing w:line="580" w:lineRule="exact"/>
        <w:ind w:firstLine="640"/>
        <w:jc w:val="both"/>
      </w:pPr>
      <w:r>
        <w:rPr>
          <w:rFonts w:ascii="仿宋_GB2312" w:hAnsi="仿宋_GB2312" w:eastAsia="仿宋_GB2312"/>
          <w:b/>
          <w:sz w:val="32"/>
        </w:rPr>
        <w:t>2024年度支出总计125.11万元，</w:t>
      </w:r>
      <w:r>
        <w:rPr>
          <w:rFonts w:ascii="仿宋_GB2312" w:hAnsi="仿宋_GB2312" w:eastAsia="仿宋_GB2312"/>
          <w:b w:val="0"/>
          <w:sz w:val="32"/>
        </w:rPr>
        <w:t>其中：本年支出合计125.11万元，结余分配0.00万元，年末结转和结余0.00万元。</w:t>
      </w:r>
    </w:p>
    <w:p w14:paraId="03AD0C8A">
      <w:pPr>
        <w:spacing w:line="580" w:lineRule="exact"/>
        <w:ind w:firstLine="640"/>
        <w:jc w:val="both"/>
      </w:pPr>
      <w:r>
        <w:rPr>
          <w:rFonts w:ascii="仿宋_GB2312" w:hAnsi="仿宋_GB2312" w:eastAsia="仿宋_GB2312"/>
          <w:b w:val="0"/>
          <w:sz w:val="32"/>
        </w:rPr>
        <w:t>收入支出总体与上年相比，减少106.59万元，下降46.00%，主要原因是：本年度事业单位改革，工作人员陆续转隶至州发改委、商务局、交通局等单位，人员减少，相关人员经费支出减少；</w:t>
      </w:r>
      <w:r>
        <w:rPr>
          <w:rFonts w:hint="eastAsia" w:ascii="仿宋_GB2312" w:hAnsi="仿宋_GB2312" w:eastAsia="仿宋_GB2312"/>
          <w:b w:val="0"/>
          <w:sz w:val="32"/>
          <w:lang w:eastAsia="zh-CN"/>
        </w:rPr>
        <w:t>巴音郭楞蒙古自治州</w:t>
      </w:r>
      <w:r>
        <w:rPr>
          <w:rFonts w:ascii="仿宋_GB2312" w:hAnsi="仿宋_GB2312" w:eastAsia="仿宋_GB2312"/>
          <w:b w:val="0"/>
          <w:sz w:val="32"/>
        </w:rPr>
        <w:t>（库尔勒）国家骨干冷链物流基地项目资金减少，导致经费较上年减少。</w:t>
      </w:r>
    </w:p>
    <w:p w14:paraId="54FDD627">
      <w:pPr>
        <w:spacing w:line="640" w:lineRule="exact"/>
        <w:ind w:firstLine="640"/>
        <w:jc w:val="both"/>
        <w:outlineLvl w:val="2"/>
      </w:pPr>
      <w:r>
        <w:rPr>
          <w:rFonts w:ascii="黑体" w:hAnsi="黑体" w:eastAsia="黑体"/>
          <w:sz w:val="32"/>
        </w:rPr>
        <w:t>二、收入决算情况说明</w:t>
      </w:r>
    </w:p>
    <w:p w14:paraId="45C1E707">
      <w:pPr>
        <w:spacing w:line="580" w:lineRule="exact"/>
        <w:ind w:firstLine="640"/>
        <w:jc w:val="both"/>
      </w:pPr>
      <w:r>
        <w:rPr>
          <w:rFonts w:ascii="仿宋_GB2312" w:hAnsi="仿宋_GB2312" w:eastAsia="仿宋_GB2312"/>
          <w:b/>
          <w:sz w:val="32"/>
        </w:rPr>
        <w:t>本年收入125.11万元，</w:t>
      </w:r>
      <w:r>
        <w:rPr>
          <w:rFonts w:ascii="仿宋_GB2312" w:hAnsi="仿宋_GB2312" w:eastAsia="仿宋_GB2312"/>
          <w:b w:val="0"/>
          <w:sz w:val="32"/>
        </w:rPr>
        <w:t>其中：财政拨款收入125.11万元，占100.00%；上级补助收入0.00万元，占0.00%；事业收入0.00万元，占0.00%；经营收入0.00万元，占0.00%；附属单位上缴收入0.00万元，占0.00%；其他收入0.00万元，占0.00%。</w:t>
      </w:r>
    </w:p>
    <w:p w14:paraId="34B77284">
      <w:pPr>
        <w:spacing w:line="640" w:lineRule="exact"/>
        <w:ind w:firstLine="640"/>
        <w:jc w:val="both"/>
        <w:outlineLvl w:val="2"/>
      </w:pPr>
      <w:r>
        <w:rPr>
          <w:rFonts w:ascii="黑体" w:hAnsi="黑体" w:eastAsia="黑体"/>
          <w:sz w:val="32"/>
        </w:rPr>
        <w:t>三、支出决算情况说明</w:t>
      </w:r>
    </w:p>
    <w:p w14:paraId="6F061ED1">
      <w:pPr>
        <w:spacing w:line="580" w:lineRule="exact"/>
        <w:ind w:firstLine="640"/>
        <w:jc w:val="both"/>
      </w:pPr>
      <w:r>
        <w:rPr>
          <w:rFonts w:ascii="仿宋_GB2312" w:hAnsi="仿宋_GB2312" w:eastAsia="仿宋_GB2312"/>
          <w:b/>
          <w:sz w:val="32"/>
        </w:rPr>
        <w:t>本年支出125.11万元，</w:t>
      </w:r>
      <w:r>
        <w:rPr>
          <w:rFonts w:ascii="仿宋_GB2312" w:hAnsi="仿宋_GB2312" w:eastAsia="仿宋_GB2312"/>
          <w:b w:val="0"/>
          <w:sz w:val="32"/>
        </w:rPr>
        <w:t>其中：基本支出117.30万元，占93.76%；项目支出7.81万元，占6.24%；上缴上级支出0.00万元，占0.00%；经营支出0.00万元，占0.00%；对附属单位补助支出0.00万元，占0.00%。</w:t>
      </w:r>
    </w:p>
    <w:p w14:paraId="7BDD51BC">
      <w:pPr>
        <w:spacing w:line="640" w:lineRule="exact"/>
        <w:ind w:firstLine="640"/>
        <w:jc w:val="both"/>
        <w:outlineLvl w:val="2"/>
      </w:pPr>
      <w:r>
        <w:rPr>
          <w:rFonts w:ascii="黑体" w:hAnsi="黑体" w:eastAsia="黑体"/>
          <w:sz w:val="32"/>
        </w:rPr>
        <w:t>四、财政拨款收入支出决算总体情况说明</w:t>
      </w:r>
    </w:p>
    <w:p w14:paraId="41B9F516">
      <w:pPr>
        <w:spacing w:line="580" w:lineRule="exact"/>
        <w:ind w:firstLine="640"/>
        <w:jc w:val="both"/>
      </w:pPr>
      <w:r>
        <w:rPr>
          <w:rFonts w:ascii="仿宋_GB2312" w:hAnsi="仿宋_GB2312" w:eastAsia="仿宋_GB2312"/>
          <w:b/>
          <w:sz w:val="32"/>
        </w:rPr>
        <w:t>2024年度财政拨款收入总计125.11万元，</w:t>
      </w:r>
      <w:r>
        <w:rPr>
          <w:rFonts w:ascii="仿宋_GB2312" w:hAnsi="仿宋_GB2312" w:eastAsia="仿宋_GB2312"/>
          <w:b w:val="0"/>
          <w:sz w:val="32"/>
        </w:rPr>
        <w:t>其中：年初财政拨款结转和结余0.00万元，本年财政拨款收入125.11万元。</w:t>
      </w:r>
      <w:r>
        <w:rPr>
          <w:rFonts w:ascii="仿宋_GB2312" w:hAnsi="仿宋_GB2312" w:eastAsia="仿宋_GB2312"/>
          <w:b/>
          <w:sz w:val="32"/>
        </w:rPr>
        <w:t>财政拨款支出总计125.11万元，</w:t>
      </w:r>
      <w:r>
        <w:rPr>
          <w:rFonts w:ascii="仿宋_GB2312" w:hAnsi="仿宋_GB2312" w:eastAsia="仿宋_GB2312"/>
          <w:b w:val="0"/>
          <w:sz w:val="32"/>
        </w:rPr>
        <w:t>其中：年末财政拨款结转和结余0.00万元，本年财政拨款支出125.11万元。</w:t>
      </w:r>
    </w:p>
    <w:p w14:paraId="1979D13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减少106.59万元，下降46.00%，主要原因是：本年度事业单位改革，工作人员陆续转隶至州发改委、商务局、交通局等单位，人员减少，相关人员经费支出减少；</w:t>
      </w:r>
      <w:r>
        <w:rPr>
          <w:rFonts w:hint="eastAsia" w:ascii="仿宋_GB2312" w:hAnsi="仿宋_GB2312" w:eastAsia="仿宋_GB2312"/>
          <w:b w:val="0"/>
          <w:sz w:val="32"/>
          <w:lang w:eastAsia="zh-CN"/>
        </w:rPr>
        <w:t>巴音郭楞蒙古自治州</w:t>
      </w:r>
      <w:r>
        <w:rPr>
          <w:rFonts w:ascii="仿宋_GB2312" w:hAnsi="仿宋_GB2312" w:eastAsia="仿宋_GB2312"/>
          <w:b w:val="0"/>
          <w:sz w:val="32"/>
        </w:rPr>
        <w:t>（库尔勒）国家骨干冷链物流基地项目资金减少，导致经费较上年减少。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年初预算数204.71万元，决算数125.11万元，预决算差异率-38.88%，主要原因是：本年在职人员减少，年中调减人员经费，导致预决算存在差异。</w:t>
      </w:r>
    </w:p>
    <w:p w14:paraId="4966D8DE">
      <w:pPr>
        <w:spacing w:line="640" w:lineRule="exact"/>
        <w:ind w:firstLine="640"/>
        <w:jc w:val="both"/>
        <w:outlineLvl w:val="2"/>
      </w:pPr>
      <w:r>
        <w:rPr>
          <w:rFonts w:ascii="黑体" w:hAnsi="黑体" w:eastAsia="黑体"/>
          <w:sz w:val="32"/>
        </w:rPr>
        <w:t>五、一般公共预算财政拨款支出决算情况说明</w:t>
      </w:r>
    </w:p>
    <w:p w14:paraId="5E4D277E">
      <w:pPr>
        <w:spacing w:line="640" w:lineRule="exact"/>
        <w:ind w:firstLine="640"/>
        <w:jc w:val="both"/>
        <w:outlineLvl w:val="3"/>
      </w:pPr>
      <w:r>
        <w:rPr>
          <w:rFonts w:ascii="楷体_GB2312" w:hAnsi="楷体_GB2312" w:eastAsia="楷体_GB2312"/>
          <w:b/>
          <w:sz w:val="32"/>
        </w:rPr>
        <w:t>（一）一般公共预算财政拨款支出决算总体情况</w:t>
      </w:r>
    </w:p>
    <w:p w14:paraId="40BC1703">
      <w:pPr>
        <w:spacing w:line="580" w:lineRule="exact"/>
        <w:ind w:firstLine="640"/>
        <w:jc w:val="both"/>
      </w:pPr>
      <w:r>
        <w:rPr>
          <w:rFonts w:ascii="仿宋_GB2312" w:hAnsi="仿宋_GB2312" w:eastAsia="仿宋_GB2312"/>
          <w:b/>
          <w:sz w:val="32"/>
        </w:rPr>
        <w:t>2024年度一般公共预算财政拨款支出125.11万元，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减少106.59万元，下降46.00%，主要原因是：本年度事业单位改革，工作人员陆续转隶至州发改委、商务局、交通局等单位，人员减少，相关人员经费支出减少；</w:t>
      </w:r>
      <w:r>
        <w:rPr>
          <w:rFonts w:hint="eastAsia" w:ascii="仿宋_GB2312" w:hAnsi="仿宋_GB2312" w:eastAsia="仿宋_GB2312"/>
          <w:b w:val="0"/>
          <w:sz w:val="32"/>
          <w:lang w:eastAsia="zh-CN"/>
        </w:rPr>
        <w:t>巴音郭楞蒙古自治州</w:t>
      </w:r>
      <w:bookmarkStart w:id="0" w:name="_GoBack"/>
      <w:bookmarkEnd w:id="0"/>
      <w:r>
        <w:rPr>
          <w:rFonts w:ascii="仿宋_GB2312" w:hAnsi="仿宋_GB2312" w:eastAsia="仿宋_GB2312"/>
          <w:b w:val="0"/>
          <w:sz w:val="32"/>
        </w:rPr>
        <w:t>（库尔勒）国家骨干冷链物流基地项目资金减少，导致经费较上年减少。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年初预算数204.71万元，决算数125.11万元，预决算差异率-38.88%，主要原因是：本年在职人员减少，年中调减人员经费，导致预决算存在差异。</w:t>
      </w:r>
    </w:p>
    <w:p w14:paraId="1109162B">
      <w:pPr>
        <w:spacing w:line="640" w:lineRule="exact"/>
        <w:ind w:firstLine="640"/>
        <w:jc w:val="both"/>
        <w:outlineLvl w:val="3"/>
      </w:pPr>
      <w:r>
        <w:rPr>
          <w:rFonts w:ascii="楷体_GB2312" w:hAnsi="楷体_GB2312" w:eastAsia="楷体_GB2312"/>
          <w:b/>
          <w:sz w:val="32"/>
        </w:rPr>
        <w:t>（二）一般公共预算财政拨款支出决算结构情况</w:t>
      </w:r>
    </w:p>
    <w:p w14:paraId="03B88079">
      <w:pPr>
        <w:spacing w:line="580" w:lineRule="exact"/>
        <w:ind w:firstLine="640"/>
        <w:jc w:val="both"/>
      </w:pPr>
      <w:r>
        <w:rPr>
          <w:rFonts w:ascii="仿宋_GB2312" w:hAnsi="仿宋_GB2312" w:eastAsia="仿宋_GB2312"/>
          <w:b w:val="0"/>
          <w:sz w:val="32"/>
        </w:rPr>
        <w:t>1.一般公共服务支出(类)99.02万元,占79.15%。</w:t>
      </w:r>
    </w:p>
    <w:p w14:paraId="225259EA">
      <w:pPr>
        <w:spacing w:line="580" w:lineRule="exact"/>
        <w:ind w:firstLine="640"/>
        <w:jc w:val="both"/>
      </w:pPr>
      <w:r>
        <w:rPr>
          <w:rFonts w:ascii="仿宋_GB2312" w:hAnsi="仿宋_GB2312" w:eastAsia="仿宋_GB2312"/>
          <w:b w:val="0"/>
          <w:sz w:val="32"/>
        </w:rPr>
        <w:t>2.教育支出(类)0.69万元,占0.55%。</w:t>
      </w:r>
    </w:p>
    <w:p w14:paraId="09DFACF9">
      <w:pPr>
        <w:spacing w:line="580" w:lineRule="exact"/>
        <w:ind w:firstLine="640"/>
        <w:jc w:val="both"/>
      </w:pPr>
      <w:r>
        <w:rPr>
          <w:rFonts w:ascii="仿宋_GB2312" w:hAnsi="仿宋_GB2312" w:eastAsia="仿宋_GB2312"/>
          <w:b w:val="0"/>
          <w:sz w:val="32"/>
        </w:rPr>
        <w:t>3.社会保障和就业支出(类)11.50万元,占9.19%。</w:t>
      </w:r>
    </w:p>
    <w:p w14:paraId="4F43E410">
      <w:pPr>
        <w:spacing w:line="580" w:lineRule="exact"/>
        <w:ind w:firstLine="640"/>
        <w:jc w:val="both"/>
      </w:pPr>
      <w:r>
        <w:rPr>
          <w:rFonts w:ascii="仿宋_GB2312" w:hAnsi="仿宋_GB2312" w:eastAsia="仿宋_GB2312"/>
          <w:b w:val="0"/>
          <w:sz w:val="32"/>
        </w:rPr>
        <w:t>4.卫生健康支出(类)5.03万元,占4.02%。</w:t>
      </w:r>
    </w:p>
    <w:p w14:paraId="59FAEA36">
      <w:pPr>
        <w:spacing w:line="580" w:lineRule="exact"/>
        <w:ind w:firstLine="640"/>
        <w:jc w:val="both"/>
      </w:pPr>
      <w:r>
        <w:rPr>
          <w:rFonts w:ascii="仿宋_GB2312" w:hAnsi="仿宋_GB2312" w:eastAsia="仿宋_GB2312"/>
          <w:b w:val="0"/>
          <w:sz w:val="32"/>
        </w:rPr>
        <w:t>5.住房保障支出(类)8.86万元,占7.08%。</w:t>
      </w:r>
    </w:p>
    <w:p w14:paraId="7CD79686">
      <w:pPr>
        <w:spacing w:line="640" w:lineRule="exact"/>
        <w:ind w:firstLine="640"/>
        <w:jc w:val="both"/>
        <w:outlineLvl w:val="3"/>
      </w:pPr>
      <w:r>
        <w:rPr>
          <w:rFonts w:ascii="楷体_GB2312" w:hAnsi="楷体_GB2312" w:eastAsia="楷体_GB2312"/>
          <w:b/>
          <w:sz w:val="32"/>
        </w:rPr>
        <w:t>（三）一般公共预算财政拨款支出决算具体情况</w:t>
      </w:r>
    </w:p>
    <w:p w14:paraId="34A921EF">
      <w:pPr>
        <w:spacing w:line="580" w:lineRule="exact"/>
        <w:ind w:firstLine="640"/>
        <w:jc w:val="both"/>
      </w:pPr>
      <w:r>
        <w:rPr>
          <w:rFonts w:ascii="仿宋_GB2312" w:hAnsi="仿宋_GB2312" w:eastAsia="仿宋_GB2312"/>
          <w:b w:val="0"/>
          <w:sz w:val="32"/>
        </w:rPr>
        <w:t>1.一般公共服务支出(类)政府办公厅（室）及相关机构事务(款)事业运行(项):支出决算数为91.22万元，比上年决算减少64.79万元，下降41.53%,主要原因是：本年度事业单位改革，工作人员陆续转隶至州发改委、商务局、交通局等单位，人员减少，相关人员经费支出减少。</w:t>
      </w:r>
    </w:p>
    <w:p w14:paraId="2305CD3E">
      <w:pPr>
        <w:spacing w:line="580" w:lineRule="exact"/>
        <w:ind w:firstLine="640"/>
        <w:jc w:val="both"/>
      </w:pPr>
      <w:r>
        <w:rPr>
          <w:rFonts w:ascii="仿宋_GB2312" w:hAnsi="仿宋_GB2312" w:eastAsia="仿宋_GB2312"/>
          <w:b w:val="0"/>
          <w:sz w:val="32"/>
        </w:rPr>
        <w:t>2.一般公共服务支出(类)政府办公厅（室）及相关机构事务(款)其他政府办公厅（室）及相关机构事务支出(项):支出决算数为7.81万元，比上年决算减少17.19万元，下降68.76%,主要原因是：本年减少巴音郭楞（库尔勒）国家骨干冷链物流基地项目资金，相关支出减少。</w:t>
      </w:r>
    </w:p>
    <w:p w14:paraId="08E57A90">
      <w:pPr>
        <w:spacing w:line="580" w:lineRule="exact"/>
        <w:ind w:firstLine="640"/>
        <w:jc w:val="both"/>
      </w:pPr>
      <w:r>
        <w:rPr>
          <w:rFonts w:ascii="仿宋_GB2312" w:hAnsi="仿宋_GB2312" w:eastAsia="仿宋_GB2312"/>
          <w:b w:val="0"/>
          <w:sz w:val="32"/>
        </w:rPr>
        <w:t>3.教育支出(类)进修及培训(款)培训支出(项):支出决算数为0.69万元，比上年决算增加0.11万元，增长18.97%,主要原因是：本年度培训人数增加，培训费增加。</w:t>
      </w:r>
    </w:p>
    <w:p w14:paraId="4CD7205C">
      <w:pPr>
        <w:spacing w:line="580" w:lineRule="exact"/>
        <w:ind w:firstLine="640"/>
        <w:jc w:val="both"/>
      </w:pPr>
      <w:r>
        <w:rPr>
          <w:rFonts w:ascii="仿宋_GB2312" w:hAnsi="仿宋_GB2312" w:eastAsia="仿宋_GB2312"/>
          <w:b w:val="0"/>
          <w:sz w:val="32"/>
        </w:rPr>
        <w:t>4.社会保障和就业支出(类)行政事业单位养老支出(款)事业单位离退休(项):支出决算数为0.41万元，比上年决算增加0.41万元，增长100.00%,主要原因是：本年退休人员增加，退休费支出增加。</w:t>
      </w:r>
    </w:p>
    <w:p w14:paraId="0CC25159">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11.09万元，比上年决算减少7.90万元，下降41.60%,主要原因是：本年度事业单位改革，工作人员陆续转隶至州发改委、商务局、交通局等单位，在职人员减少，单位基本养老保险缴费较上年减少。</w:t>
      </w:r>
    </w:p>
    <w:p w14:paraId="67FFCE76">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0.00万元，比上年决算减少8.39万元，下降100.00%,主要原因是：本年新增退休人员的职业年金未做实，职业年金缴费较上年减少。</w:t>
      </w:r>
    </w:p>
    <w:p w14:paraId="0484C16C">
      <w:pPr>
        <w:spacing w:line="580" w:lineRule="exact"/>
        <w:ind w:firstLine="640"/>
        <w:jc w:val="both"/>
      </w:pPr>
      <w:r>
        <w:rPr>
          <w:rFonts w:ascii="仿宋_GB2312" w:hAnsi="仿宋_GB2312" w:eastAsia="仿宋_GB2312"/>
          <w:b w:val="0"/>
          <w:sz w:val="32"/>
        </w:rPr>
        <w:t>7.卫生健康支出(类)行政事业单位医疗(款)事业单位医疗(项):支出决算数为4.85万元，比上年决算减少2.49万元，下降33.92%,主要原因是：本年度事业单位改革，工作人员陆续转隶至州发改委、商务局、交通局等单位，在职人员减少，事业单位医疗支出较上年减少。</w:t>
      </w:r>
    </w:p>
    <w:p w14:paraId="1D955EAB">
      <w:pPr>
        <w:spacing w:line="580" w:lineRule="exact"/>
        <w:ind w:firstLine="640"/>
        <w:jc w:val="both"/>
      </w:pPr>
      <w:r>
        <w:rPr>
          <w:rFonts w:ascii="仿宋_GB2312" w:hAnsi="仿宋_GB2312" w:eastAsia="仿宋_GB2312"/>
          <w:b w:val="0"/>
          <w:sz w:val="32"/>
        </w:rPr>
        <w:t>8.卫生健康支出(类)行政事业单位医疗(款)其他行政事业单位医疗支出(项):支出决算数为0.18万元，比上年决算减少0.13万元，下降41.94%,主要原因是：本年度事业单位改革，工作人员陆续转隶至州发改委、商务局、交通局等单位，在职人员减少，其他行政事业单位医疗支出较上年减少。</w:t>
      </w:r>
    </w:p>
    <w:p w14:paraId="63AA91FD">
      <w:pPr>
        <w:spacing w:line="580" w:lineRule="exact"/>
        <w:ind w:firstLine="640"/>
        <w:jc w:val="both"/>
      </w:pPr>
      <w:r>
        <w:rPr>
          <w:rFonts w:ascii="仿宋_GB2312" w:hAnsi="仿宋_GB2312" w:eastAsia="仿宋_GB2312"/>
          <w:b w:val="0"/>
          <w:sz w:val="32"/>
        </w:rPr>
        <w:t>9.住房保障支出(类)住房改革支出(款)住房公积金(项):支出决算数为8.86万元，比上年决算减少6.22万元，下降41.25%,主要原因是：本年度事业单位改革，工作人员陆续转隶至州发改委、商务局、交通局等单位，在职人员减少，住房公积金缴费较上年减少。</w:t>
      </w:r>
    </w:p>
    <w:p w14:paraId="19D783FE">
      <w:pPr>
        <w:spacing w:line="640" w:lineRule="exact"/>
        <w:ind w:firstLine="640"/>
        <w:jc w:val="both"/>
        <w:outlineLvl w:val="2"/>
      </w:pPr>
      <w:r>
        <w:rPr>
          <w:rFonts w:ascii="黑体" w:hAnsi="黑体" w:eastAsia="黑体"/>
          <w:sz w:val="32"/>
        </w:rPr>
        <w:t>六、一般公共预算财政拨款基本支出决算情况说明</w:t>
      </w:r>
    </w:p>
    <w:p w14:paraId="32A769AF">
      <w:pPr>
        <w:spacing w:line="580" w:lineRule="exact"/>
        <w:ind w:firstLine="640"/>
        <w:jc w:val="both"/>
      </w:pPr>
      <w:r>
        <w:rPr>
          <w:rFonts w:ascii="仿宋_GB2312" w:hAnsi="仿宋_GB2312" w:eastAsia="仿宋_GB2312"/>
          <w:b w:val="0"/>
          <w:sz w:val="32"/>
        </w:rPr>
        <w:t>2024年度一般公共预算财政拨款基本支出117.30万元，其中：</w:t>
      </w:r>
      <w:r>
        <w:rPr>
          <w:rFonts w:ascii="仿宋_GB2312" w:hAnsi="仿宋_GB2312" w:eastAsia="仿宋_GB2312"/>
          <w:b/>
          <w:sz w:val="32"/>
        </w:rPr>
        <w:t>人员经费109.98万元，</w:t>
      </w:r>
      <w:r>
        <w:rPr>
          <w:rFonts w:ascii="仿宋_GB2312" w:hAnsi="仿宋_GB2312" w:eastAsia="仿宋_GB2312"/>
          <w:b w:val="0"/>
          <w:sz w:val="32"/>
        </w:rPr>
        <w:t>包括：基本工资、津贴补贴、奖金、伙食补助费、机关事业单位基本养老保险缴费、职工基本医疗保险缴费、其他社会保障缴费、住房公积金、医疗费、退休费、奖励金。</w:t>
      </w:r>
    </w:p>
    <w:p w14:paraId="13188C30">
      <w:pPr>
        <w:spacing w:line="580" w:lineRule="exact"/>
        <w:ind w:firstLine="640"/>
        <w:jc w:val="both"/>
      </w:pPr>
      <w:r>
        <w:rPr>
          <w:rFonts w:ascii="仿宋_GB2312" w:hAnsi="仿宋_GB2312" w:eastAsia="仿宋_GB2312"/>
          <w:b/>
          <w:sz w:val="32"/>
        </w:rPr>
        <w:t>公用经费7.33万元，</w:t>
      </w:r>
      <w:r>
        <w:rPr>
          <w:rFonts w:ascii="仿宋_GB2312" w:hAnsi="仿宋_GB2312" w:eastAsia="仿宋_GB2312"/>
          <w:b w:val="0"/>
          <w:sz w:val="32"/>
        </w:rPr>
        <w:t>包括：办公费、印刷费、邮电费、差旅费、培训费、公务接待费、劳务费、工会经费、福利费、公务用车运行维护费、其他商品和服务支出。</w:t>
      </w:r>
    </w:p>
    <w:p w14:paraId="6E50B37F">
      <w:pPr>
        <w:spacing w:line="640" w:lineRule="exact"/>
        <w:ind w:firstLine="640"/>
        <w:jc w:val="both"/>
        <w:outlineLvl w:val="2"/>
      </w:pPr>
      <w:r>
        <w:rPr>
          <w:rFonts w:ascii="黑体" w:hAnsi="黑体" w:eastAsia="黑体"/>
          <w:sz w:val="32"/>
        </w:rPr>
        <w:t>七、政府性基金预算财政拨款收入支出决算情况说明</w:t>
      </w:r>
    </w:p>
    <w:p w14:paraId="0E65CC8E">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6AFC9E27">
      <w:pPr>
        <w:spacing w:line="640" w:lineRule="exact"/>
        <w:ind w:firstLine="640"/>
        <w:jc w:val="both"/>
        <w:outlineLvl w:val="2"/>
      </w:pPr>
      <w:r>
        <w:rPr>
          <w:rFonts w:ascii="黑体" w:hAnsi="黑体" w:eastAsia="黑体"/>
          <w:sz w:val="32"/>
        </w:rPr>
        <w:t>八、国有资本经营预算财政拨款收入支出决算情况说明</w:t>
      </w:r>
    </w:p>
    <w:p w14:paraId="719F7D0A">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0301D176">
      <w:pPr>
        <w:spacing w:line="640" w:lineRule="exact"/>
        <w:ind w:firstLine="640"/>
        <w:jc w:val="both"/>
        <w:outlineLvl w:val="2"/>
      </w:pPr>
      <w:r>
        <w:rPr>
          <w:rFonts w:ascii="黑体" w:hAnsi="黑体" w:eastAsia="黑体"/>
          <w:sz w:val="32"/>
        </w:rPr>
        <w:t>九、财政拨款“三公”经费支出决算情况说明</w:t>
      </w:r>
    </w:p>
    <w:p w14:paraId="0872C37C">
      <w:pPr>
        <w:spacing w:line="580" w:lineRule="exact"/>
        <w:ind w:firstLine="640"/>
        <w:jc w:val="both"/>
      </w:pPr>
      <w:r>
        <w:rPr>
          <w:rFonts w:ascii="仿宋_GB2312" w:hAnsi="仿宋_GB2312" w:eastAsia="仿宋_GB2312"/>
          <w:b/>
          <w:sz w:val="32"/>
        </w:rPr>
        <w:t>2024年度财政拨款“三公”经费支出3.12万元，</w:t>
      </w:r>
      <w:r>
        <w:rPr>
          <w:rFonts w:ascii="仿宋_GB2312" w:hAnsi="仿宋_GB2312" w:eastAsia="仿宋_GB2312"/>
          <w:b w:val="0"/>
          <w:sz w:val="32"/>
        </w:rPr>
        <w:t>比上年减少1.63万元，下降34.32%，主要原因是：严格落实中央八项规定精神，厉行节约，减少公务接待费。其中：因公出国（境）费支出0.00万元，占0.00%，比上年增加0.00万元，增长0.00%，主要原因是：2023年与2024年均未安排因公出国（境）费支出。公务用车购置及运行维护费支出2.80万元，占89.74%，比上年增加0.00万元，增长0.00%，主要原因是：本年公务用车运行维护费与上年一致无变化。公务接待费支出0.32万元，占10.26%，比上年减少1.63万元，下降83.59%，主要原因是：严格落实中央八项规定精神，厉行节约，减少公务接待费。</w:t>
      </w:r>
    </w:p>
    <w:p w14:paraId="060F7703">
      <w:pPr>
        <w:spacing w:line="580" w:lineRule="exact"/>
        <w:ind w:firstLine="640"/>
        <w:jc w:val="both"/>
      </w:pPr>
      <w:r>
        <w:rPr>
          <w:rFonts w:ascii="仿宋_GB2312" w:hAnsi="仿宋_GB2312" w:eastAsia="仿宋_GB2312"/>
          <w:b/>
          <w:sz w:val="32"/>
        </w:rPr>
        <w:t>具体情况如下：</w:t>
      </w:r>
    </w:p>
    <w:p w14:paraId="1C66B1A5">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07F5D10F">
      <w:pPr>
        <w:spacing w:line="580" w:lineRule="exact"/>
        <w:ind w:firstLine="640"/>
        <w:jc w:val="both"/>
      </w:pPr>
      <w:r>
        <w:rPr>
          <w:rFonts w:ascii="仿宋_GB2312" w:hAnsi="仿宋_GB2312" w:eastAsia="仿宋_GB2312"/>
          <w:b w:val="0"/>
          <w:sz w:val="32"/>
        </w:rPr>
        <w:t>公务用车购置及运行维护费2.80万元，其中：公务用车购置费0.00万元，公务用车运行维护费2.80万元。公务用车运行维护费开支内容包括车辆加油费、保险费、维修费。公务用车购置数0辆，公务用车保有量1辆。国有资产占用情况中固定资产车辆1辆，与公务用车保有量差异原因是：本部门固定资产车辆与公务用车保有量一致无差异。</w:t>
      </w:r>
    </w:p>
    <w:p w14:paraId="34DEAED4">
      <w:pPr>
        <w:spacing w:line="580" w:lineRule="exact"/>
        <w:ind w:firstLine="640"/>
        <w:jc w:val="both"/>
      </w:pPr>
      <w:r>
        <w:rPr>
          <w:rFonts w:ascii="仿宋_GB2312" w:hAnsi="仿宋_GB2312" w:eastAsia="仿宋_GB2312"/>
          <w:b w:val="0"/>
          <w:sz w:val="32"/>
        </w:rPr>
        <w:t>公务接待费0.32万元，开支内容包括因接待上级领导检查工作时产生的餐费。部门全年安排的国内公务接待6批次，43人次。</w:t>
      </w:r>
    </w:p>
    <w:p w14:paraId="03131F0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3.12万元，决算数3.12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2.80万元，决算数2.80万元，预决算差异率0.00%，主要原因是：严格按照预算执行，预决算无差异。公务接待费全年预算数0.32万元，决算数0.32万元，预决算差异率0.00%，主要原因是：严格按照预算执行，预决算无差异。</w:t>
      </w:r>
    </w:p>
    <w:p w14:paraId="2B1C2420">
      <w:pPr>
        <w:spacing w:line="640" w:lineRule="exact"/>
        <w:ind w:firstLine="640"/>
        <w:jc w:val="both"/>
        <w:outlineLvl w:val="2"/>
      </w:pPr>
      <w:r>
        <w:rPr>
          <w:rFonts w:ascii="黑体" w:hAnsi="黑体" w:eastAsia="黑体"/>
          <w:sz w:val="32"/>
        </w:rPr>
        <w:t>十、其他重要事项的情况说明</w:t>
      </w:r>
    </w:p>
    <w:p w14:paraId="36F18816">
      <w:pPr>
        <w:spacing w:line="640" w:lineRule="exact"/>
        <w:ind w:firstLine="640"/>
        <w:jc w:val="both"/>
        <w:outlineLvl w:val="3"/>
      </w:pPr>
      <w:r>
        <w:rPr>
          <w:rFonts w:ascii="楷体_GB2312" w:hAnsi="楷体_GB2312" w:eastAsia="楷体_GB2312"/>
          <w:b/>
          <w:sz w:val="32"/>
        </w:rPr>
        <w:t>（一）机关运行经费及公用经费支出情况</w:t>
      </w:r>
    </w:p>
    <w:p w14:paraId="73C8B946">
      <w:pPr>
        <w:spacing w:line="580" w:lineRule="exact"/>
        <w:ind w:firstLine="640"/>
        <w:jc w:val="both"/>
      </w:pPr>
      <w:r>
        <w:rPr>
          <w:rFonts w:ascii="仿宋_GB2312" w:hAnsi="仿宋_GB2312" w:eastAsia="仿宋_GB2312"/>
          <w:b w:val="0"/>
          <w:sz w:val="32"/>
        </w:rPr>
        <w:t>2024年度新疆巴音郭楞蒙古自治州临空经济服务中心（事业单位）公用经费支出7.33万元，比上年减少2.91万元，下降28.42%，主要原因是：本年减少差旅费、办公费、租赁费等经费，公用经费支出减少。</w:t>
      </w:r>
    </w:p>
    <w:p w14:paraId="0C8D6FC0">
      <w:pPr>
        <w:spacing w:line="640" w:lineRule="exact"/>
        <w:ind w:firstLine="640"/>
        <w:jc w:val="both"/>
        <w:outlineLvl w:val="3"/>
      </w:pPr>
      <w:r>
        <w:rPr>
          <w:rFonts w:ascii="楷体_GB2312" w:hAnsi="楷体_GB2312" w:eastAsia="楷体_GB2312"/>
          <w:b/>
          <w:sz w:val="32"/>
        </w:rPr>
        <w:t>（二）政府采购情况</w:t>
      </w:r>
    </w:p>
    <w:p w14:paraId="0592C8CE">
      <w:pPr>
        <w:spacing w:line="580" w:lineRule="exact"/>
        <w:ind w:firstLine="640"/>
        <w:jc w:val="both"/>
      </w:pPr>
      <w:r>
        <w:rPr>
          <w:rFonts w:ascii="仿宋_GB2312" w:hAnsi="仿宋_GB2312" w:eastAsia="仿宋_GB2312"/>
          <w:b w:val="0"/>
          <w:sz w:val="32"/>
        </w:rPr>
        <w:t>2024年度政府采购支出总额1.98万元，其中：政府采购货物支出0.19万元、政府采购工程支出0.00万元、政府采购服务支出1.80万元。</w:t>
      </w:r>
    </w:p>
    <w:p w14:paraId="49D4C12E">
      <w:pPr>
        <w:spacing w:line="580" w:lineRule="exact"/>
        <w:ind w:firstLine="640"/>
        <w:jc w:val="both"/>
      </w:pPr>
      <w:r>
        <w:rPr>
          <w:rFonts w:ascii="仿宋_GB2312" w:hAnsi="仿宋_GB2312" w:eastAsia="仿宋_GB2312"/>
          <w:b w:val="0"/>
          <w:sz w:val="32"/>
        </w:rPr>
        <w:t>授予中小企业合同金额1.98万元，占政府采购支出总额的100.00%，其中：授予小微企业合同金额1.98万元，占政府采购支出总额的100.00%。</w:t>
      </w:r>
    </w:p>
    <w:p w14:paraId="3C49F97E">
      <w:pPr>
        <w:spacing w:line="640" w:lineRule="exact"/>
        <w:ind w:firstLine="640"/>
        <w:jc w:val="both"/>
        <w:outlineLvl w:val="3"/>
      </w:pPr>
      <w:r>
        <w:rPr>
          <w:rFonts w:ascii="楷体_GB2312" w:hAnsi="楷体_GB2312" w:eastAsia="楷体_GB2312"/>
          <w:b/>
          <w:sz w:val="32"/>
        </w:rPr>
        <w:t>（三）国有资产占用情况说明</w:t>
      </w:r>
    </w:p>
    <w:p w14:paraId="7048C667">
      <w:pPr>
        <w:spacing w:line="580" w:lineRule="exact"/>
        <w:ind w:firstLine="640"/>
        <w:jc w:val="both"/>
      </w:pPr>
      <w:r>
        <w:rPr>
          <w:rFonts w:ascii="仿宋_GB2312" w:hAnsi="仿宋_GB2312" w:eastAsia="仿宋_GB2312"/>
          <w:b w:val="0"/>
          <w:sz w:val="32"/>
        </w:rPr>
        <w:t>截至2024年12月31日，房屋0.00平方米，价值0.00万元。车辆1辆，价值27.96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54114907">
      <w:pPr>
        <w:spacing w:line="640" w:lineRule="exact"/>
        <w:ind w:firstLine="640"/>
        <w:jc w:val="both"/>
        <w:outlineLvl w:val="2"/>
      </w:pPr>
      <w:r>
        <w:rPr>
          <w:rFonts w:ascii="黑体" w:hAnsi="黑体" w:eastAsia="黑体"/>
          <w:sz w:val="32"/>
        </w:rPr>
        <w:t>十一、预算绩效的情况说明</w:t>
      </w:r>
    </w:p>
    <w:p w14:paraId="7A299812">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125.11万元，实际执行总额125.11万元；预算绩效评价项目1个，全年预算数10.00万元，全年执行数7.80万元。预算绩效管理取得的成效：一是开展绩效评价，提高了绩效工作管理水平；二是科学制定目标，促进了绩效目标顺利实现；三是提高项目资金使用的绩效意识，以便项目实施完成，进行跟踪问效评价，对下一年此类项目预算编制提供参考。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三是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部门整体支出绩效自评表，项目支出绩效自评表和部门评价报告。</w:t>
      </w:r>
    </w:p>
    <w:p w14:paraId="0E233F4E">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5281BCC5">
        <w:tblPrEx>
          <w:tblCellMar>
            <w:top w:w="0" w:type="dxa"/>
            <w:left w:w="108" w:type="dxa"/>
            <w:bottom w:w="0" w:type="dxa"/>
            <w:right w:w="108" w:type="dxa"/>
          </w:tblCellMar>
        </w:tblPrEx>
        <w:tc>
          <w:tcPr>
            <w:tcW w:w="8840" w:type="dxa"/>
            <w:gridSpan w:val="8"/>
            <w:vAlign w:val="center"/>
          </w:tcPr>
          <w:p w14:paraId="5CB6AF68">
            <w:pPr>
              <w:jc w:val="center"/>
            </w:pPr>
            <w:r>
              <w:rPr>
                <w:rFonts w:ascii="宋体" w:hAnsi="宋体" w:eastAsia="宋体"/>
                <w:sz w:val="24"/>
              </w:rPr>
              <w:t>部门整体支出绩效自评表</w:t>
            </w:r>
          </w:p>
        </w:tc>
      </w:tr>
      <w:tr w14:paraId="4F837FF1">
        <w:tblPrEx>
          <w:tblCellMar>
            <w:top w:w="0" w:type="dxa"/>
            <w:left w:w="108" w:type="dxa"/>
            <w:bottom w:w="0" w:type="dxa"/>
            <w:right w:w="108" w:type="dxa"/>
          </w:tblCellMar>
        </w:tblPrEx>
        <w:tc>
          <w:tcPr>
            <w:tcW w:w="8840" w:type="dxa"/>
            <w:gridSpan w:val="8"/>
            <w:vAlign w:val="center"/>
          </w:tcPr>
          <w:p w14:paraId="0713680B">
            <w:pPr>
              <w:jc w:val="center"/>
            </w:pPr>
            <w:r>
              <w:rPr>
                <w:rFonts w:ascii="宋体" w:hAnsi="宋体" w:eastAsia="宋体"/>
                <w:sz w:val="24"/>
              </w:rPr>
              <w:t>（2024年度）</w:t>
            </w:r>
          </w:p>
        </w:tc>
      </w:tr>
      <w:tr w14:paraId="46E50EF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D7CF35">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EF9E85">
            <w:pPr>
              <w:jc w:val="center"/>
            </w:pPr>
            <w:r>
              <w:rPr>
                <w:rFonts w:ascii="宋体" w:hAnsi="宋体" w:eastAsia="宋体"/>
                <w:sz w:val="16"/>
              </w:rPr>
              <w:t>新疆巴音郭楞蒙古自治州临空经济服务中心</w:t>
            </w:r>
          </w:p>
        </w:tc>
      </w:tr>
      <w:tr w14:paraId="2A1A5C5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0FF349">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36A85B">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9BE18F">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8DB2F9">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C5C782">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BEB0D1">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B92215">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0B1FA2">
            <w:pPr>
              <w:jc w:val="center"/>
            </w:pPr>
            <w:r>
              <w:rPr>
                <w:rFonts w:ascii="宋体" w:hAnsi="宋体" w:eastAsia="宋体"/>
                <w:sz w:val="16"/>
              </w:rPr>
              <w:t>得分</w:t>
            </w:r>
          </w:p>
        </w:tc>
      </w:tr>
      <w:tr w14:paraId="71886BA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62D05C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929ACE">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99013B">
            <w:pPr>
              <w:jc w:val="center"/>
            </w:pPr>
            <w:r>
              <w:rPr>
                <w:rFonts w:ascii="宋体" w:hAnsi="宋体" w:eastAsia="宋体"/>
                <w:sz w:val="16"/>
              </w:rPr>
              <w:t>204.71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86F261">
            <w:pPr>
              <w:jc w:val="center"/>
            </w:pPr>
            <w:r>
              <w:rPr>
                <w:rFonts w:ascii="宋体" w:hAnsi="宋体" w:eastAsia="宋体"/>
                <w:sz w:val="16"/>
              </w:rPr>
              <w:t>125.11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8D8695">
            <w:pPr>
              <w:jc w:val="center"/>
            </w:pPr>
            <w:r>
              <w:rPr>
                <w:rFonts w:ascii="宋体" w:hAnsi="宋体" w:eastAsia="宋体"/>
                <w:sz w:val="16"/>
              </w:rPr>
              <w:t>125.11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CB0D3B">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2EC613">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222F62">
            <w:pPr>
              <w:jc w:val="center"/>
            </w:pPr>
            <w:r>
              <w:rPr>
                <w:rFonts w:ascii="宋体" w:hAnsi="宋体" w:eastAsia="宋体"/>
                <w:sz w:val="16"/>
              </w:rPr>
              <w:t>10</w:t>
            </w:r>
          </w:p>
        </w:tc>
      </w:tr>
      <w:tr w14:paraId="4AD26FC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8B28F8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8FF4FD">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636A8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79E813">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06C38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EEF84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AE519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091C60">
            <w:pPr>
              <w:jc w:val="center"/>
            </w:pPr>
            <w:r>
              <w:rPr>
                <w:rFonts w:ascii="宋体" w:hAnsi="宋体" w:eastAsia="宋体"/>
                <w:sz w:val="16"/>
              </w:rPr>
              <w:t>-</w:t>
            </w:r>
          </w:p>
        </w:tc>
      </w:tr>
      <w:tr w14:paraId="6907CC5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27191C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B351EB">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4D2A19">
            <w:pPr>
              <w:jc w:val="center"/>
            </w:pPr>
            <w:r>
              <w:rPr>
                <w:rFonts w:ascii="宋体" w:hAnsi="宋体" w:eastAsia="宋体"/>
                <w:sz w:val="16"/>
              </w:rPr>
              <w:t>204.71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C3ECF7">
            <w:pPr>
              <w:jc w:val="center"/>
            </w:pPr>
            <w:r>
              <w:rPr>
                <w:rFonts w:ascii="宋体" w:hAnsi="宋体" w:eastAsia="宋体"/>
                <w:sz w:val="16"/>
              </w:rPr>
              <w:t>125.11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29156C">
            <w:pPr>
              <w:jc w:val="center"/>
            </w:pPr>
            <w:r>
              <w:rPr>
                <w:rFonts w:ascii="宋体" w:hAnsi="宋体" w:eastAsia="宋体"/>
                <w:sz w:val="16"/>
              </w:rPr>
              <w:t>125.11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045C6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88359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32B956">
            <w:pPr>
              <w:jc w:val="center"/>
            </w:pPr>
            <w:r>
              <w:rPr>
                <w:rFonts w:ascii="宋体" w:hAnsi="宋体" w:eastAsia="宋体"/>
                <w:sz w:val="16"/>
              </w:rPr>
              <w:t>-</w:t>
            </w:r>
          </w:p>
        </w:tc>
      </w:tr>
      <w:tr w14:paraId="688CE41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A2701F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E8A057">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A03AF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26B679">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68538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7363D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16AB8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7E1716">
            <w:pPr>
              <w:jc w:val="center"/>
            </w:pPr>
            <w:r>
              <w:rPr>
                <w:rFonts w:ascii="宋体" w:hAnsi="宋体" w:eastAsia="宋体"/>
                <w:sz w:val="16"/>
              </w:rPr>
              <w:t>-</w:t>
            </w:r>
          </w:p>
        </w:tc>
      </w:tr>
      <w:tr w14:paraId="14FA85E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8D7ADC">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411D488">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4B4EAC4">
            <w:pPr>
              <w:jc w:val="center"/>
            </w:pPr>
            <w:r>
              <w:rPr>
                <w:rFonts w:ascii="宋体" w:hAnsi="宋体" w:eastAsia="宋体"/>
                <w:sz w:val="16"/>
              </w:rPr>
              <w:t>实际完成情况</w:t>
            </w:r>
          </w:p>
        </w:tc>
      </w:tr>
      <w:tr w14:paraId="41FF2FF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8EAEB30"/>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7A3B9C">
            <w:pPr>
              <w:jc w:val="both"/>
            </w:pPr>
            <w:r>
              <w:rPr>
                <w:rFonts w:ascii="宋体" w:hAnsi="宋体" w:eastAsia="宋体"/>
                <w:sz w:val="16"/>
              </w:rPr>
              <w:t>库尔勒冷链基地由库东冷链物流区和阿瓦提冷链物流区组成。本年计划积极争取项目资金，优化整合骨干冷链存量资源，组织14家联盟运营单位，加快市场扩建、智能立体冷库、多层冷库、交易展示中心等项目建设，协同推进升级改造冷藏、保鲜库等配套设施，运用市场手段加强资源整合，搭建冷链物流服务平台，切实改变冷链主体小散弱的问题。建设年产10万吨香梨精深加工生产基地和益生菌香梨果汁设备生产线，香梨深加工生产基地包含新建和改建香梨精深加工车间、清洗车间、灌装车间、成品仓库、冷藏库及其附属设施。扶持新疆天苗农业集团公司开发建设巴州农业冷链物流数字化信息平台，汇集国家骨干冷链物流基地联盟企业数据，形成农产品原产地追溯、运输路径全过程跟踪、市场价格信息反馈，冷链业态全流程覆盖的综合信息网络，力争2024年初将巴州（库尔勒）国家骨干冷链物流基地项目纳入国家建设名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EBB0F4">
            <w:pPr>
              <w:jc w:val="both"/>
            </w:pPr>
            <w:r>
              <w:rPr>
                <w:rFonts w:ascii="宋体" w:hAnsi="宋体" w:eastAsia="宋体"/>
                <w:sz w:val="16"/>
              </w:rPr>
              <w:t>优化整合骨干冷链存量资源，组织14家联盟运营单位，加快市场扩建、智能立体冷库、多层冷库、交易展示中心等项目建设，协同推进升级改造冷藏、保鲜库等配套设施，运用市场手段加强资源整合，搭建冷链物流服务平台，切实改变冷链主体小散弱的问题。建设年产10万吨香梨精深加工生产基地和益生菌香梨果汁设备生产线，香梨深加工生产基地包含新建和改建香梨精深加工车间、清洗车间、灌装车间、成品仓库、冷藏库及其附属设施。扶持新疆天苗农业集团公司开发建设巴州农业冷链物流数字化信息平台，汇集国家骨干冷链物流基地联盟企业数据，形成农产品原产地追溯、运输路径全过程跟踪、市场价格信息反馈，冷链业态全流程覆盖的综合信息网络，2024年6月，巴州（库尔勒）国家骨干冷链物流基地项目顺利纳入国家建设名单。</w:t>
            </w:r>
          </w:p>
        </w:tc>
      </w:tr>
      <w:tr w14:paraId="17AD213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951007">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45FC90">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EA329A">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BB47F3">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2B190A">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F1E6F4">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3FB79B">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D23846">
            <w:pPr>
              <w:jc w:val="center"/>
            </w:pPr>
            <w:r>
              <w:rPr>
                <w:rFonts w:ascii="宋体" w:hAnsi="宋体" w:eastAsia="宋体"/>
                <w:sz w:val="16"/>
              </w:rPr>
              <w:t>得分</w:t>
            </w:r>
          </w:p>
        </w:tc>
      </w:tr>
      <w:tr w14:paraId="0A6AA2D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FE064B">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8FBF80">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CCECCD">
            <w:pPr>
              <w:jc w:val="center"/>
            </w:pPr>
            <w:r>
              <w:rPr>
                <w:rFonts w:ascii="宋体" w:hAnsi="宋体" w:eastAsia="宋体"/>
                <w:sz w:val="16"/>
              </w:rPr>
              <w:t>协助骨干冷链物流基地（库东核心区）新建冷库验收数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2772FA">
            <w:pPr>
              <w:jc w:val="center"/>
            </w:pPr>
            <w:r>
              <w:rPr>
                <w:rFonts w:ascii="宋体" w:hAnsi="宋体" w:eastAsia="宋体"/>
                <w:sz w:val="16"/>
              </w:rPr>
              <w:t>=6000㎡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EEF789">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09F813">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E83FCE">
            <w:pPr>
              <w:jc w:val="center"/>
            </w:pPr>
            <w:r>
              <w:rPr>
                <w:rFonts w:ascii="宋体" w:hAnsi="宋体" w:eastAsia="宋体"/>
                <w:sz w:val="16"/>
              </w:rPr>
              <w:t>6714.15㎡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BDB3CD">
            <w:pPr>
              <w:jc w:val="center"/>
            </w:pPr>
            <w:r>
              <w:rPr>
                <w:rFonts w:ascii="宋体" w:hAnsi="宋体" w:eastAsia="宋体"/>
                <w:sz w:val="16"/>
              </w:rPr>
              <w:t>30</w:t>
            </w:r>
          </w:p>
        </w:tc>
      </w:tr>
      <w:tr w14:paraId="0C38E66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346138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5AB759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0B7E75">
            <w:pPr>
              <w:jc w:val="center"/>
            </w:pPr>
            <w:r>
              <w:rPr>
                <w:rFonts w:ascii="宋体" w:hAnsi="宋体" w:eastAsia="宋体"/>
                <w:sz w:val="16"/>
              </w:rPr>
              <w:t>编制巴音郭楞（库尔勒）国家骨干冷链物流基地建设方案数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965DD5">
            <w:pPr>
              <w:jc w:val="center"/>
            </w:pPr>
            <w:r>
              <w:rPr>
                <w:rFonts w:ascii="宋体" w:hAnsi="宋体" w:eastAsia="宋体"/>
                <w:sz w:val="16"/>
              </w:rPr>
              <w:t>=1本</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7820B9">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D8B913">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48F261">
            <w:pPr>
              <w:jc w:val="center"/>
            </w:pPr>
            <w:r>
              <w:rPr>
                <w:rFonts w:ascii="宋体" w:hAnsi="宋体" w:eastAsia="宋体"/>
                <w:sz w:val="16"/>
              </w:rPr>
              <w:t>1本</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B998AC">
            <w:pPr>
              <w:jc w:val="center"/>
            </w:pPr>
            <w:r>
              <w:rPr>
                <w:rFonts w:ascii="宋体" w:hAnsi="宋体" w:eastAsia="宋体"/>
                <w:sz w:val="16"/>
              </w:rPr>
              <w:t>20</w:t>
            </w:r>
          </w:p>
        </w:tc>
      </w:tr>
      <w:tr w14:paraId="066D17F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63A905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9DB0AB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D7BB22">
            <w:pPr>
              <w:jc w:val="center"/>
            </w:pPr>
            <w:r>
              <w:rPr>
                <w:rFonts w:ascii="宋体" w:hAnsi="宋体" w:eastAsia="宋体"/>
                <w:sz w:val="16"/>
              </w:rPr>
              <w:t>协同推进建设香梨精深加工生产线数量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8DF0C0">
            <w:pPr>
              <w:jc w:val="center"/>
            </w:pPr>
            <w:r>
              <w:rPr>
                <w:rFonts w:ascii="宋体" w:hAnsi="宋体" w:eastAsia="宋体"/>
                <w:sz w:val="16"/>
              </w:rPr>
              <w:t>&gt;=1条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BA128A">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93BB16">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38DD62">
            <w:pPr>
              <w:jc w:val="center"/>
            </w:pPr>
            <w:r>
              <w:rPr>
                <w:rFonts w:ascii="宋体" w:hAnsi="宋体" w:eastAsia="宋体"/>
                <w:sz w:val="16"/>
              </w:rPr>
              <w:t>1条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CA28B4">
            <w:pPr>
              <w:jc w:val="center"/>
            </w:pPr>
            <w:r>
              <w:rPr>
                <w:rFonts w:ascii="宋体" w:hAnsi="宋体" w:eastAsia="宋体"/>
                <w:sz w:val="16"/>
              </w:rPr>
              <w:t>20</w:t>
            </w:r>
          </w:p>
        </w:tc>
      </w:tr>
      <w:tr w14:paraId="21F8C6A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F0FF77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A33BC7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614D44">
            <w:pPr>
              <w:jc w:val="center"/>
            </w:pPr>
            <w:r>
              <w:rPr>
                <w:rFonts w:ascii="宋体" w:hAnsi="宋体" w:eastAsia="宋体"/>
                <w:sz w:val="16"/>
              </w:rPr>
              <w:t>协同推进建设中央厨房流水线数量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E9774A">
            <w:pPr>
              <w:jc w:val="center"/>
            </w:pPr>
            <w:r>
              <w:rPr>
                <w:rFonts w:ascii="宋体" w:hAnsi="宋体" w:eastAsia="宋体"/>
                <w:sz w:val="16"/>
              </w:rPr>
              <w:t>&gt;=2条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BA0C4A">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8917EA">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8CA592">
            <w:pPr>
              <w:jc w:val="center"/>
            </w:pPr>
            <w:r>
              <w:rPr>
                <w:rFonts w:ascii="宋体" w:hAnsi="宋体" w:eastAsia="宋体"/>
                <w:sz w:val="16"/>
              </w:rPr>
              <w:t>0条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CD76B4">
            <w:pPr>
              <w:jc w:val="center"/>
            </w:pPr>
            <w:r>
              <w:rPr>
                <w:rFonts w:ascii="宋体" w:hAnsi="宋体" w:eastAsia="宋体"/>
                <w:sz w:val="16"/>
              </w:rPr>
              <w:t>0</w:t>
            </w:r>
          </w:p>
        </w:tc>
      </w:tr>
    </w:tbl>
    <w:p w14:paraId="0D30D1F6">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696"/>
        <w:gridCol w:w="625"/>
        <w:gridCol w:w="625"/>
        <w:gridCol w:w="627"/>
        <w:gridCol w:w="625"/>
        <w:gridCol w:w="625"/>
        <w:gridCol w:w="776"/>
        <w:gridCol w:w="696"/>
        <w:gridCol w:w="632"/>
        <w:gridCol w:w="629"/>
      </w:tblGrid>
      <w:tr w14:paraId="74AC73F7">
        <w:tblPrEx>
          <w:tblCellMar>
            <w:top w:w="0" w:type="dxa"/>
            <w:left w:w="108" w:type="dxa"/>
            <w:bottom w:w="0" w:type="dxa"/>
            <w:right w:w="108" w:type="dxa"/>
          </w:tblCellMar>
        </w:tblPrEx>
        <w:tc>
          <w:tcPr>
            <w:tcW w:w="8848" w:type="dxa"/>
            <w:gridSpan w:val="14"/>
            <w:vAlign w:val="center"/>
          </w:tcPr>
          <w:p w14:paraId="0CA625E9">
            <w:pPr>
              <w:jc w:val="center"/>
            </w:pPr>
            <w:r>
              <w:rPr>
                <w:rFonts w:ascii="宋体" w:hAnsi="宋体" w:eastAsia="宋体"/>
                <w:sz w:val="24"/>
              </w:rPr>
              <w:t>项目支出绩效自评表</w:t>
            </w:r>
          </w:p>
        </w:tc>
      </w:tr>
      <w:tr w14:paraId="723A5387">
        <w:tblPrEx>
          <w:tblCellMar>
            <w:top w:w="0" w:type="dxa"/>
            <w:left w:w="108" w:type="dxa"/>
            <w:bottom w:w="0" w:type="dxa"/>
            <w:right w:w="108" w:type="dxa"/>
          </w:tblCellMar>
        </w:tblPrEx>
        <w:tc>
          <w:tcPr>
            <w:tcW w:w="8848" w:type="dxa"/>
            <w:gridSpan w:val="14"/>
            <w:vAlign w:val="center"/>
          </w:tcPr>
          <w:p w14:paraId="127FEEA6">
            <w:pPr>
              <w:jc w:val="center"/>
            </w:pPr>
            <w:r>
              <w:rPr>
                <w:rFonts w:ascii="宋体" w:hAnsi="宋体" w:eastAsia="宋体"/>
                <w:sz w:val="24"/>
              </w:rPr>
              <w:t>(2024年度)</w:t>
            </w:r>
          </w:p>
        </w:tc>
      </w:tr>
      <w:tr w14:paraId="16388C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D838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3F864B">
            <w:pPr>
              <w:jc w:val="center"/>
            </w:pPr>
            <w:r>
              <w:rPr>
                <w:rFonts w:ascii="宋体" w:hAnsi="宋体" w:eastAsia="宋体"/>
                <w:sz w:val="16"/>
              </w:rPr>
              <w:t>巴音郭楞（库尔勒）国家骨干冷链物流基地项目</w:t>
            </w:r>
          </w:p>
        </w:tc>
      </w:tr>
      <w:tr w14:paraId="6EA4EA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2399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D8B88D">
            <w:pPr>
              <w:jc w:val="center"/>
            </w:pPr>
            <w:r>
              <w:rPr>
                <w:rFonts w:ascii="宋体" w:hAnsi="宋体" w:eastAsia="宋体"/>
                <w:sz w:val="16"/>
              </w:rPr>
              <w:t>新疆巴音郭楞蒙古自治州临空经济服务中心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96AE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900C97">
            <w:pPr>
              <w:jc w:val="center"/>
            </w:pPr>
            <w:r>
              <w:rPr>
                <w:rFonts w:ascii="宋体" w:hAnsi="宋体" w:eastAsia="宋体"/>
                <w:sz w:val="16"/>
              </w:rPr>
              <w:t>新疆巴音郭楞蒙古自治州临空经济服务中心</w:t>
            </w:r>
          </w:p>
        </w:tc>
      </w:tr>
      <w:tr w14:paraId="3B5709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B05B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B2BA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C7C1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643A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8122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BC36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84CB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FDDF1">
            <w:pPr>
              <w:jc w:val="center"/>
            </w:pPr>
            <w:r>
              <w:rPr>
                <w:rFonts w:ascii="宋体" w:hAnsi="宋体" w:eastAsia="宋体"/>
                <w:sz w:val="16"/>
              </w:rPr>
              <w:t>得分</w:t>
            </w:r>
          </w:p>
        </w:tc>
      </w:tr>
      <w:tr w14:paraId="244A79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5F73C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33AA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F94B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4CD0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36C21">
            <w:pPr>
              <w:jc w:val="center"/>
            </w:pPr>
            <w:r>
              <w:rPr>
                <w:rFonts w:ascii="宋体" w:hAnsi="宋体" w:eastAsia="宋体"/>
                <w:sz w:val="16"/>
              </w:rPr>
              <w:t>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FD2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77E9E">
            <w:pPr>
              <w:jc w:val="center"/>
            </w:pPr>
            <w:r>
              <w:rPr>
                <w:rFonts w:ascii="宋体" w:hAnsi="宋体" w:eastAsia="宋体"/>
                <w:sz w:val="16"/>
              </w:rPr>
              <w:t>78.00%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7CE1C">
            <w:pPr>
              <w:jc w:val="center"/>
            </w:pPr>
            <w:r>
              <w:rPr>
                <w:rFonts w:ascii="宋体" w:hAnsi="宋体" w:eastAsia="宋体"/>
                <w:sz w:val="16"/>
              </w:rPr>
              <w:t>4.50</w:t>
            </w:r>
          </w:p>
        </w:tc>
      </w:tr>
      <w:tr w14:paraId="4EF455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927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A30F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1C103">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C520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5F10C">
            <w:pPr>
              <w:jc w:val="center"/>
            </w:pPr>
            <w:r>
              <w:rPr>
                <w:rFonts w:ascii="宋体" w:hAnsi="宋体" w:eastAsia="宋体"/>
                <w:sz w:val="16"/>
              </w:rPr>
              <w:t>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697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947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78766">
            <w:pPr>
              <w:jc w:val="center"/>
            </w:pPr>
            <w:r>
              <w:rPr>
                <w:rFonts w:ascii="宋体" w:hAnsi="宋体" w:eastAsia="宋体"/>
                <w:sz w:val="16"/>
              </w:rPr>
              <w:t>-</w:t>
            </w:r>
          </w:p>
        </w:tc>
      </w:tr>
      <w:tr w14:paraId="435576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809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4534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474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199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F45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44A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E6D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74332">
            <w:pPr>
              <w:jc w:val="center"/>
            </w:pPr>
            <w:r>
              <w:rPr>
                <w:rFonts w:ascii="宋体" w:hAnsi="宋体" w:eastAsia="宋体"/>
                <w:sz w:val="16"/>
              </w:rPr>
              <w:t>-</w:t>
            </w:r>
          </w:p>
        </w:tc>
      </w:tr>
      <w:tr w14:paraId="53840D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F6C66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DD06D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A21A37">
            <w:pPr>
              <w:jc w:val="center"/>
            </w:pPr>
            <w:r>
              <w:rPr>
                <w:rFonts w:ascii="宋体" w:hAnsi="宋体" w:eastAsia="宋体"/>
                <w:sz w:val="16"/>
              </w:rPr>
              <w:t>总体目标完成情况</w:t>
            </w:r>
          </w:p>
        </w:tc>
      </w:tr>
      <w:tr w14:paraId="39DADF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425A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BC1540">
            <w:pPr>
              <w:jc w:val="both"/>
            </w:pPr>
            <w:r>
              <w:rPr>
                <w:rFonts w:ascii="宋体" w:hAnsi="宋体" w:eastAsia="宋体"/>
                <w:sz w:val="16"/>
              </w:rPr>
              <w:t>扶持新疆天苗农业集团公司开发建设巴州农业冷链物流数字化信息平台，汇集国家骨干冷链物流基地联盟企业数据，形成农产品原产地追溯、运输路径全过程跟踪、市场价格信息反馈，冷链业态全流程覆盖的综合信息网络。租赁房屋1间，保障13个办公人员正常运转，提升工作效率，组织5名相关人员协调跑办骨干冷链物流项目，力争2024年初将巴州（库尔勒）国家骨干冷链物流基地项目纳入国家建设名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1E947A">
            <w:pPr>
              <w:jc w:val="both"/>
            </w:pPr>
            <w:r>
              <w:rPr>
                <w:rFonts w:ascii="宋体" w:hAnsi="宋体" w:eastAsia="宋体"/>
                <w:sz w:val="16"/>
              </w:rPr>
              <w:t>组织5名相关人员协调跑办骨干冷链物流项目，依托新疆天苗农业集团有限公司、新疆拓普农业股份有限公司等15家企业组成联合运营体，2024年6月，巴音郭楞（库尔勒）国家骨干冷链物流基地顺利纳入国家建设名单。</w:t>
            </w:r>
          </w:p>
        </w:tc>
      </w:tr>
      <w:tr w14:paraId="04A583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EF95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9E3B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415B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FB6F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2696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41E5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9762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8A06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CEF9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304B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0E68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936A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9B83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C4590">
            <w:pPr>
              <w:jc w:val="center"/>
            </w:pPr>
            <w:r>
              <w:rPr>
                <w:rFonts w:ascii="宋体" w:hAnsi="宋体" w:eastAsia="宋体"/>
                <w:sz w:val="16"/>
              </w:rPr>
              <w:t>偏差原因分析及改进措施</w:t>
            </w:r>
          </w:p>
        </w:tc>
      </w:tr>
      <w:tr w14:paraId="36E77C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73DE4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419AF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38645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CAE5F">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5DE27">
            <w:pPr>
              <w:jc w:val="center"/>
            </w:pPr>
            <w:r>
              <w:rPr>
                <w:rFonts w:ascii="宋体" w:hAnsi="宋体" w:eastAsia="宋体"/>
                <w:sz w:val="16"/>
              </w:rPr>
              <w:t>&gt;=13人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C14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2FE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EE8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8BB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D77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0A8A4">
            <w:pPr>
              <w:jc w:val="center"/>
            </w:pPr>
            <w:r>
              <w:rPr>
                <w:rFonts w:ascii="宋体" w:hAnsi="宋体" w:eastAsia="宋体"/>
                <w:sz w:val="16"/>
              </w:rPr>
              <w: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B73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F8A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2A519">
            <w:pPr>
              <w:jc w:val="center"/>
            </w:pPr>
          </w:p>
        </w:tc>
      </w:tr>
      <w:tr w14:paraId="382E9C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3DA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226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D81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E045E">
            <w:pPr>
              <w:jc w:val="center"/>
            </w:pPr>
            <w:r>
              <w:rPr>
                <w:rFonts w:ascii="宋体" w:hAnsi="宋体" w:eastAsia="宋体"/>
                <w:sz w:val="16"/>
              </w:rPr>
              <w:t>跑办项目出差人数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AA54C">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820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3B0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49A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3B6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185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DBCF2">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881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E60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C626F">
            <w:pPr>
              <w:jc w:val="center"/>
            </w:pPr>
          </w:p>
        </w:tc>
      </w:tr>
      <w:tr w14:paraId="491738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A87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2FB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42E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6391D">
            <w:pPr>
              <w:jc w:val="center"/>
            </w:pPr>
            <w:r>
              <w:rPr>
                <w:rFonts w:ascii="宋体" w:hAnsi="宋体" w:eastAsia="宋体"/>
                <w:sz w:val="16"/>
              </w:rPr>
              <w:t>房屋租赁数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FDC77">
            <w:pPr>
              <w:jc w:val="center"/>
            </w:pPr>
            <w:r>
              <w:rPr>
                <w:rFonts w:ascii="宋体" w:hAnsi="宋体" w:eastAsia="宋体"/>
                <w:sz w:val="16"/>
              </w:rPr>
              <w:t>&gt;=1间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ECF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946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6DD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A05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16B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BE8E7">
            <w:pPr>
              <w:jc w:val="center"/>
            </w:pPr>
            <w:r>
              <w:rPr>
                <w:rFonts w:ascii="宋体" w:hAnsi="宋体" w:eastAsia="宋体"/>
                <w:sz w:val="16"/>
              </w:rPr>
              <w: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EC2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AB5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E0583">
            <w:pPr>
              <w:jc w:val="center"/>
            </w:pPr>
          </w:p>
        </w:tc>
      </w:tr>
      <w:tr w14:paraId="3E3091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F25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99C4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F6569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28856">
            <w:pPr>
              <w:jc w:val="center"/>
            </w:pPr>
            <w:r>
              <w:rPr>
                <w:rFonts w:ascii="宋体" w:hAnsi="宋体" w:eastAsia="宋体"/>
                <w:sz w:val="16"/>
              </w:rPr>
              <w:t>公用经费保障率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31EB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150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9FB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077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E93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40F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546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912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017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7AFB1">
            <w:pPr>
              <w:jc w:val="center"/>
            </w:pPr>
            <w:r>
              <w:rPr>
                <w:rFonts w:ascii="宋体" w:hAnsi="宋体" w:eastAsia="宋体"/>
                <w:sz w:val="16"/>
              </w:rPr>
              <w:t>年初设置值偏低，实际完成较好</w:t>
            </w:r>
          </w:p>
        </w:tc>
      </w:tr>
      <w:tr w14:paraId="2367A5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DC1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4D6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1A5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C2122">
            <w:pPr>
              <w:jc w:val="center"/>
            </w:pPr>
            <w:r>
              <w:rPr>
                <w:rFonts w:ascii="宋体" w:hAnsi="宋体" w:eastAsia="宋体"/>
                <w:sz w:val="16"/>
              </w:rPr>
              <w:t>支付房屋租赁费准确率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B0A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7D2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9C1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05E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B64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EAF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F62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84B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F9A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32E7B">
            <w:pPr>
              <w:jc w:val="center"/>
            </w:pPr>
          </w:p>
        </w:tc>
      </w:tr>
      <w:tr w14:paraId="61BEED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777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A44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53324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DF481">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459E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73E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E88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EBD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77A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E23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E83A5">
            <w:pPr>
              <w:jc w:val="center"/>
            </w:pPr>
            <w:r>
              <w:rPr>
                <w:rFonts w:ascii="宋体" w:hAnsi="宋体" w:eastAsia="宋体"/>
                <w:sz w:val="16"/>
              </w:rPr>
              <w:t>=54.17%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61E36">
            <w:pPr>
              <w:jc w:val="center"/>
            </w:pPr>
            <w:r>
              <w:rPr>
                <w:rFonts w:ascii="宋体" w:hAnsi="宋体" w:eastAsia="宋体"/>
                <w:sz w:val="16"/>
              </w:rPr>
              <w:t>57.02%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F394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7B5E2">
            <w:pPr>
              <w:jc w:val="center"/>
            </w:pPr>
            <w:r>
              <w:rPr>
                <w:rFonts w:ascii="宋体" w:hAnsi="宋体" w:eastAsia="宋体"/>
                <w:sz w:val="16"/>
              </w:rPr>
              <w:t>由于机构改革，4月份人员分至发改委、商务局等单位，导致人均运转经费降低。改进措施：做好后期资金节约使用。</w:t>
            </w:r>
          </w:p>
        </w:tc>
      </w:tr>
      <w:tr w14:paraId="409BB5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D4A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015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D6D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ED692">
            <w:pPr>
              <w:jc w:val="center"/>
            </w:pPr>
            <w:r>
              <w:rPr>
                <w:rFonts w:ascii="宋体" w:hAnsi="宋体" w:eastAsia="宋体"/>
                <w:sz w:val="16"/>
              </w:rPr>
              <w:t>房屋租赁费支付及时率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C5CA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C33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E38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6CC9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648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04F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8BF18">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666C8">
            <w:pPr>
              <w:jc w:val="center"/>
            </w:pPr>
            <w:r>
              <w:rPr>
                <w:rFonts w:ascii="宋体" w:hAnsi="宋体" w:eastAsia="宋体"/>
                <w:sz w:val="16"/>
              </w:rPr>
              <w:t>70.18%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21F91">
            <w:pPr>
              <w:jc w:val="center"/>
            </w:pPr>
            <w:r>
              <w:rPr>
                <w:rFonts w:ascii="宋体" w:hAnsi="宋体" w:eastAsia="宋体"/>
                <w:sz w:val="16"/>
              </w:rPr>
              <w:t>1.27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010DA">
            <w:pPr>
              <w:jc w:val="center"/>
            </w:pPr>
            <w:r>
              <w:rPr>
                <w:rFonts w:ascii="宋体" w:hAnsi="宋体" w:eastAsia="宋体"/>
                <w:sz w:val="16"/>
              </w:rPr>
              <w:t>由于机构改革，5月份开始，志愿者到州团委开展工作，后期不再租赁房屋。改进措施：做好后期资金节约使用。</w:t>
            </w:r>
          </w:p>
        </w:tc>
      </w:tr>
      <w:tr w14:paraId="7F3DB3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F20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ED1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F7F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C73DA">
            <w:pPr>
              <w:jc w:val="center"/>
            </w:pPr>
            <w:r>
              <w:rPr>
                <w:rFonts w:ascii="宋体" w:hAnsi="宋体" w:eastAsia="宋体"/>
                <w:sz w:val="16"/>
              </w:rPr>
              <w:t>人员出差经费报销及时率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2DE4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2F7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F1A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A8A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CF3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350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A4398">
            <w:pPr>
              <w:jc w:val="center"/>
            </w:pPr>
            <w:r>
              <w:rPr>
                <w:rFonts w:ascii="宋体" w:hAnsi="宋体" w:eastAsia="宋体"/>
                <w:sz w:val="16"/>
              </w:rPr>
              <w:t>=97.2%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53C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45A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55A14">
            <w:pPr>
              <w:jc w:val="center"/>
            </w:pPr>
            <w:r>
              <w:rPr>
                <w:rFonts w:ascii="宋体" w:hAnsi="宋体" w:eastAsia="宋体"/>
                <w:sz w:val="16"/>
              </w:rPr>
              <w:t>由于机构改革，4月份人员分至发改委、商务局等单位，导致人均运转经费降低。改进措施：做好后期资金节约使用。</w:t>
            </w:r>
          </w:p>
        </w:tc>
      </w:tr>
      <w:tr w14:paraId="411B09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64C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89A52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57A8D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357B8">
            <w:pPr>
              <w:jc w:val="center"/>
            </w:pPr>
            <w:r>
              <w:rPr>
                <w:rFonts w:ascii="宋体" w:hAnsi="宋体" w:eastAsia="宋体"/>
                <w:sz w:val="16"/>
              </w:rPr>
              <w:t>人均运转经费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86E74">
            <w:pPr>
              <w:jc w:val="center"/>
            </w:pPr>
            <w:r>
              <w:rPr>
                <w:rFonts w:ascii="宋体" w:hAnsi="宋体" w:eastAsia="宋体"/>
                <w:sz w:val="16"/>
              </w:rPr>
              <w:t>&lt;=0.24万元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B6E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3F6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1701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3DB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F39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AB2EC">
            <w:pPr>
              <w:jc w:val="center"/>
            </w:pPr>
            <w:r>
              <w:rPr>
                <w:rFonts w:ascii="宋体" w:hAnsi="宋体" w:eastAsia="宋体"/>
                <w:sz w:val="16"/>
              </w:rPr>
              <w:t>=0.13万元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20F72">
            <w:pPr>
              <w:jc w:val="center"/>
            </w:pPr>
            <w:r>
              <w:rPr>
                <w:rFonts w:ascii="宋体" w:hAnsi="宋体" w:eastAsia="宋体"/>
                <w:sz w:val="16"/>
              </w:rPr>
              <w:t>54.17%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EEC0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DFF6F">
            <w:pPr>
              <w:jc w:val="center"/>
            </w:pPr>
            <w:r>
              <w:rPr>
                <w:rFonts w:ascii="宋体" w:hAnsi="宋体" w:eastAsia="宋体"/>
                <w:sz w:val="16"/>
              </w:rPr>
              <w:t>由于机构改革，4月份人员分至发改委、商务局等单位，导致人均运转经费降低。改进措施：做好后期资金节约使用。</w:t>
            </w:r>
          </w:p>
        </w:tc>
      </w:tr>
      <w:tr w14:paraId="584E67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902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1E1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D7E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158FF">
            <w:pPr>
              <w:jc w:val="center"/>
            </w:pPr>
            <w:r>
              <w:rPr>
                <w:rFonts w:ascii="宋体" w:hAnsi="宋体" w:eastAsia="宋体"/>
                <w:sz w:val="16"/>
              </w:rPr>
              <w:t>人员出差经费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B87B9">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0C7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087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E847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D38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B62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7BCD2">
            <w:pPr>
              <w:jc w:val="center"/>
            </w:pPr>
            <w:r>
              <w:rPr>
                <w:rFonts w:ascii="宋体" w:hAnsi="宋体" w:eastAsia="宋体"/>
                <w:sz w:val="16"/>
              </w:rPr>
              <w:t>=4.86万元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1DC75">
            <w:pPr>
              <w:jc w:val="center"/>
            </w:pPr>
            <w:r>
              <w:rPr>
                <w:rFonts w:ascii="宋体" w:hAnsi="宋体" w:eastAsia="宋体"/>
                <w:sz w:val="16"/>
              </w:rPr>
              <w:t>97.2%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026E1">
            <w:pPr>
              <w:jc w:val="center"/>
            </w:pPr>
            <w:r>
              <w:rPr>
                <w:rFonts w:ascii="宋体" w:hAnsi="宋体" w:eastAsia="宋体"/>
                <w:sz w:val="16"/>
              </w:rPr>
              <w:t>6.51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56479">
            <w:pPr>
              <w:jc w:val="center"/>
            </w:pPr>
            <w:r>
              <w:rPr>
                <w:rFonts w:ascii="宋体" w:hAnsi="宋体" w:eastAsia="宋体"/>
                <w:sz w:val="16"/>
              </w:rPr>
              <w:t>由于机构改革，4月份人员分至发改委、商务局等单位，导致人均运转经费降低。改进措施：做好后期资金节约使用。</w:t>
            </w:r>
          </w:p>
        </w:tc>
      </w:tr>
      <w:tr w14:paraId="074B20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65D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5BD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D46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07D93">
            <w:pPr>
              <w:jc w:val="center"/>
            </w:pPr>
            <w:r>
              <w:rPr>
                <w:rFonts w:ascii="宋体" w:hAnsi="宋体" w:eastAsia="宋体"/>
                <w:sz w:val="16"/>
              </w:rPr>
              <w:t>房屋租赁费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94465">
            <w:pPr>
              <w:jc w:val="center"/>
            </w:pPr>
            <w:r>
              <w:rPr>
                <w:rFonts w:ascii="宋体" w:hAnsi="宋体" w:eastAsia="宋体"/>
                <w:sz w:val="16"/>
              </w:rPr>
              <w:t>&lt;=1.8万元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775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673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598E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9B1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698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F9BBA">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4D7EE">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DA7EE">
            <w:pPr>
              <w:jc w:val="center"/>
            </w:pPr>
            <w:r>
              <w:rPr>
                <w:rFonts w:ascii="宋体" w:hAnsi="宋体" w:eastAsia="宋体"/>
                <w:sz w:val="16"/>
              </w:rPr>
              <w:t>1.17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7747B">
            <w:pPr>
              <w:jc w:val="center"/>
            </w:pPr>
            <w:r>
              <w:rPr>
                <w:rFonts w:ascii="宋体" w:hAnsi="宋体" w:eastAsia="宋体"/>
                <w:sz w:val="16"/>
              </w:rPr>
              <w:t>由于机构改革，5月份开始，志愿者到州团委开展工作，后期不再租赁房屋。改进措施：做好后期资金节约使用。</w:t>
            </w:r>
          </w:p>
        </w:tc>
      </w:tr>
      <w:tr w14:paraId="51776C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A33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9D5D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BC03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55BA8">
            <w:pPr>
              <w:jc w:val="center"/>
            </w:pPr>
            <w:r>
              <w:rPr>
                <w:rFonts w:ascii="宋体" w:hAnsi="宋体" w:eastAsia="宋体"/>
                <w:sz w:val="16"/>
              </w:rPr>
              <w:t>有效提升冷链基地存量资源整合能力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25F59">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7D0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32C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366A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2AE4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124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551F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804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87A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98C29">
            <w:pPr>
              <w:jc w:val="center"/>
            </w:pPr>
          </w:p>
        </w:tc>
      </w:tr>
      <w:tr w14:paraId="0579A0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472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8D41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935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89F82">
            <w:pPr>
              <w:jc w:val="center"/>
            </w:pPr>
            <w:r>
              <w:rPr>
                <w:rFonts w:ascii="宋体" w:hAnsi="宋体" w:eastAsia="宋体"/>
                <w:sz w:val="16"/>
              </w:rPr>
              <w:t>单位人员满意度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9A90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4DB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F51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9E9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96FD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6DA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774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097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C2D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50443">
            <w:pPr>
              <w:jc w:val="center"/>
            </w:pPr>
            <w:r>
              <w:rPr>
                <w:rFonts w:ascii="宋体" w:hAnsi="宋体" w:eastAsia="宋体"/>
                <w:sz w:val="16"/>
              </w:rPr>
              <w:t>偏差原因：年初设置值偏低，改进措施：从严从高设置指标</w:t>
            </w:r>
          </w:p>
        </w:tc>
      </w:tr>
      <w:tr w14:paraId="57162EE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6E5620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07F2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DDD0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A4D8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147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1EF3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7169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FFB3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705E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3056B">
            <w:pPr>
              <w:jc w:val="center"/>
            </w:pPr>
            <w:r>
              <w:rPr>
                <w:rFonts w:ascii="宋体" w:hAnsi="宋体" w:eastAsia="宋体"/>
                <w:sz w:val="16"/>
              </w:rPr>
              <w:t>73.45分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5983C4"/>
        </w:tc>
      </w:tr>
    </w:tbl>
    <w:p w14:paraId="2B241FBF">
      <w:r>
        <w:br w:type="page"/>
      </w:r>
    </w:p>
    <w:p w14:paraId="7D618C12">
      <w:pPr>
        <w:spacing w:line="640" w:lineRule="exact"/>
        <w:ind w:firstLine="640"/>
        <w:jc w:val="both"/>
        <w:outlineLvl w:val="2"/>
      </w:pPr>
      <w:r>
        <w:rPr>
          <w:rFonts w:ascii="黑体" w:hAnsi="黑体" w:eastAsia="黑体"/>
          <w:sz w:val="32"/>
        </w:rPr>
        <w:t>十二、其他需说明的事项</w:t>
      </w:r>
    </w:p>
    <w:p w14:paraId="05B27E81">
      <w:pPr>
        <w:spacing w:line="580" w:lineRule="exact"/>
        <w:ind w:firstLine="640"/>
        <w:jc w:val="both"/>
      </w:pPr>
      <w:r>
        <w:rPr>
          <w:rFonts w:ascii="仿宋_GB2312" w:hAnsi="仿宋_GB2312" w:eastAsia="仿宋_GB2312"/>
          <w:b w:val="0"/>
          <w:sz w:val="32"/>
        </w:rPr>
        <w:t>本部门无其他需说明的事项。</w:t>
      </w:r>
    </w:p>
    <w:p w14:paraId="2219CDF6">
      <w:r>
        <w:br w:type="page"/>
      </w:r>
    </w:p>
    <w:p w14:paraId="124FCFEB">
      <w:pPr>
        <w:spacing w:line="240" w:lineRule="auto"/>
        <w:jc w:val="center"/>
        <w:outlineLvl w:val="1"/>
      </w:pPr>
      <w:r>
        <w:rPr>
          <w:rFonts w:ascii="黑体" w:hAnsi="黑体" w:eastAsia="黑体"/>
          <w:sz w:val="32"/>
        </w:rPr>
        <w:t>第三部分 专业名词解释</w:t>
      </w:r>
    </w:p>
    <w:p w14:paraId="498DA38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C56614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E55A6A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540782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28C5AF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5B892E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A09A6D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376476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C17630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438494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0E7ECE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0C2295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113E6F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B57242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ADFF42A">
      <w:r>
        <w:br w:type="page"/>
      </w:r>
    </w:p>
    <w:p w14:paraId="17DC0A49">
      <w:pPr>
        <w:spacing w:line="240" w:lineRule="auto"/>
        <w:jc w:val="center"/>
        <w:outlineLvl w:val="1"/>
      </w:pPr>
      <w:r>
        <w:rPr>
          <w:rFonts w:ascii="黑体" w:hAnsi="黑体" w:eastAsia="黑体"/>
          <w:sz w:val="32"/>
        </w:rPr>
        <w:t>第四部分 部门决算报表（见附表）</w:t>
      </w:r>
    </w:p>
    <w:p w14:paraId="55D0838E">
      <w:pPr>
        <w:spacing w:line="240" w:lineRule="auto"/>
        <w:ind w:firstLine="640"/>
        <w:jc w:val="both"/>
      </w:pPr>
      <w:r>
        <w:rPr>
          <w:rFonts w:ascii="仿宋_GB2312" w:hAnsi="仿宋_GB2312" w:eastAsia="仿宋_GB2312"/>
          <w:b w:val="0"/>
          <w:sz w:val="32"/>
        </w:rPr>
        <w:t>一、《收入支出决算总表》</w:t>
      </w:r>
    </w:p>
    <w:p w14:paraId="36DD192B">
      <w:pPr>
        <w:spacing w:line="240" w:lineRule="auto"/>
        <w:ind w:firstLine="640"/>
        <w:jc w:val="both"/>
      </w:pPr>
      <w:r>
        <w:rPr>
          <w:rFonts w:ascii="仿宋_GB2312" w:hAnsi="仿宋_GB2312" w:eastAsia="仿宋_GB2312"/>
          <w:b w:val="0"/>
          <w:sz w:val="32"/>
        </w:rPr>
        <w:t>二、《收入决算表》</w:t>
      </w:r>
    </w:p>
    <w:p w14:paraId="7CF3946F">
      <w:pPr>
        <w:spacing w:line="240" w:lineRule="auto"/>
        <w:ind w:firstLine="640"/>
        <w:jc w:val="both"/>
      </w:pPr>
      <w:r>
        <w:rPr>
          <w:rFonts w:ascii="仿宋_GB2312" w:hAnsi="仿宋_GB2312" w:eastAsia="仿宋_GB2312"/>
          <w:b w:val="0"/>
          <w:sz w:val="32"/>
        </w:rPr>
        <w:t>三、《支出决算表》</w:t>
      </w:r>
    </w:p>
    <w:p w14:paraId="568DD117">
      <w:pPr>
        <w:spacing w:line="240" w:lineRule="auto"/>
        <w:ind w:firstLine="640"/>
        <w:jc w:val="both"/>
      </w:pPr>
      <w:r>
        <w:rPr>
          <w:rFonts w:ascii="仿宋_GB2312" w:hAnsi="仿宋_GB2312" w:eastAsia="仿宋_GB2312"/>
          <w:b w:val="0"/>
          <w:sz w:val="32"/>
        </w:rPr>
        <w:t>四、《财政拨款收入支出决算总表》</w:t>
      </w:r>
    </w:p>
    <w:p w14:paraId="63B42C99">
      <w:pPr>
        <w:spacing w:line="240" w:lineRule="auto"/>
        <w:ind w:firstLine="640"/>
        <w:jc w:val="both"/>
      </w:pPr>
      <w:r>
        <w:rPr>
          <w:rFonts w:ascii="仿宋_GB2312" w:hAnsi="仿宋_GB2312" w:eastAsia="仿宋_GB2312"/>
          <w:b w:val="0"/>
          <w:sz w:val="32"/>
        </w:rPr>
        <w:t>五、《一般公共预算财政拨款支出决算表》</w:t>
      </w:r>
    </w:p>
    <w:p w14:paraId="61BB8417">
      <w:pPr>
        <w:spacing w:line="240" w:lineRule="auto"/>
        <w:ind w:firstLine="640"/>
        <w:jc w:val="both"/>
      </w:pPr>
      <w:r>
        <w:rPr>
          <w:rFonts w:ascii="仿宋_GB2312" w:hAnsi="仿宋_GB2312" w:eastAsia="仿宋_GB2312"/>
          <w:b w:val="0"/>
          <w:sz w:val="32"/>
        </w:rPr>
        <w:t>六、《一般公共预算财政拨款基本支出决算表》</w:t>
      </w:r>
    </w:p>
    <w:p w14:paraId="7FB76DAA">
      <w:pPr>
        <w:spacing w:line="240" w:lineRule="auto"/>
        <w:ind w:firstLine="640"/>
        <w:jc w:val="both"/>
      </w:pPr>
      <w:r>
        <w:rPr>
          <w:rFonts w:ascii="仿宋_GB2312" w:hAnsi="仿宋_GB2312" w:eastAsia="仿宋_GB2312"/>
          <w:b w:val="0"/>
          <w:sz w:val="32"/>
        </w:rPr>
        <w:t>七、《政府性基金预算财政拨款收入支出决算表》</w:t>
      </w:r>
    </w:p>
    <w:p w14:paraId="0291BD51">
      <w:pPr>
        <w:spacing w:line="240" w:lineRule="auto"/>
        <w:ind w:firstLine="640"/>
        <w:jc w:val="both"/>
      </w:pPr>
      <w:r>
        <w:rPr>
          <w:rFonts w:ascii="仿宋_GB2312" w:hAnsi="仿宋_GB2312" w:eastAsia="仿宋_GB2312"/>
          <w:b w:val="0"/>
          <w:sz w:val="32"/>
        </w:rPr>
        <w:t>八、《国有资本经营预算财政拨款收入支出决算表》</w:t>
      </w:r>
    </w:p>
    <w:p w14:paraId="126D8A57">
      <w:pPr>
        <w:spacing w:line="240" w:lineRule="auto"/>
        <w:ind w:firstLine="640"/>
        <w:jc w:val="both"/>
      </w:pPr>
      <w:r>
        <w:rPr>
          <w:rFonts w:ascii="仿宋_GB2312" w:hAnsi="仿宋_GB2312" w:eastAsia="仿宋_GB2312"/>
          <w:b w:val="0"/>
          <w:sz w:val="32"/>
        </w:rPr>
        <w:t>九、《财政拨款“三公”经费支出决算表》</w:t>
      </w:r>
    </w:p>
    <w:p w14:paraId="3D44AC8A">
      <w:pPr>
        <w:spacing w:line="240" w:lineRule="auto"/>
        <w:ind w:firstLine="640"/>
        <w:jc w:val="both"/>
      </w:pPr>
    </w:p>
    <w:p w14:paraId="19A636CB">
      <w:pPr>
        <w:spacing w:line="240" w:lineRule="auto"/>
        <w:ind w:firstLine="640"/>
        <w:jc w:val="both"/>
      </w:pPr>
    </w:p>
    <w:p w14:paraId="4375D4CD">
      <w:pPr>
        <w:spacing w:line="240" w:lineRule="auto"/>
        <w:ind w:firstLine="640"/>
        <w:jc w:val="both"/>
      </w:pPr>
    </w:p>
    <w:p w14:paraId="106D24E5">
      <w:pPr>
        <w:spacing w:line="240" w:lineRule="auto"/>
        <w:ind w:firstLine="640"/>
        <w:jc w:val="both"/>
      </w:pPr>
    </w:p>
    <w:p w14:paraId="71EE48D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6F9E547-2DBC-4C8B-9292-0681FA25F2B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22D78415-7E87-46F9-8D3E-E62757B4F31C}"/>
  </w:font>
  <w:font w:name="仿宋_GB2312">
    <w:altName w:val="仿宋"/>
    <w:panose1 w:val="02010609030101010101"/>
    <w:charset w:val="86"/>
    <w:family w:val="modern"/>
    <w:pitch w:val="default"/>
    <w:sig w:usb0="00000000" w:usb1="00000000" w:usb2="00000000" w:usb3="00000000" w:csb0="00040000" w:csb1="00000000"/>
    <w:embedRegular r:id="rId3" w:fontKey="{449D4965-9792-4E25-892B-EC01C8FF4187}"/>
  </w:font>
  <w:font w:name="楷体_GB2312">
    <w:altName w:val="楷体"/>
    <w:panose1 w:val="02010609030101010101"/>
    <w:charset w:val="86"/>
    <w:family w:val="auto"/>
    <w:pitch w:val="default"/>
    <w:sig w:usb0="00000000" w:usb1="00000000" w:usb2="00000000" w:usb3="00000000" w:csb0="00040000" w:csb1="00000000"/>
    <w:embedRegular r:id="rId4" w:fontKey="{46BA272A-B36D-4C03-B19C-BE8E6557F0ED}"/>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4303E2"/>
    <w:rsid w:val="318029AB"/>
    <w:rsid w:val="31C63837"/>
    <w:rsid w:val="326F0A17"/>
    <w:rsid w:val="3277581B"/>
    <w:rsid w:val="38006E2C"/>
    <w:rsid w:val="3914510A"/>
    <w:rsid w:val="3B1220C9"/>
    <w:rsid w:val="3D5275AC"/>
    <w:rsid w:val="3EA7725F"/>
    <w:rsid w:val="3EC014A1"/>
    <w:rsid w:val="40834692"/>
    <w:rsid w:val="41D012BD"/>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C700CF8"/>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5692</Words>
  <Characters>6349</Characters>
  <Lines>0</Lines>
  <Paragraphs>0</Paragraphs>
  <TotalTime>6</TotalTime>
  <ScaleCrop>false</ScaleCrop>
  <LinksUpToDate>false</LinksUpToDate>
  <CharactersWithSpaces>6357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Qxb</cp:lastModifiedBy>
  <cp:lastPrinted>2024-07-22T11:58:00Z</cp:lastPrinted>
  <dcterms:modified xsi:type="dcterms:W3CDTF">2025-09-22T03:22:19Z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eyJoZGlkIjoiNjhiMzgzMWJiNDVmMjc4YmZhYzYxZmZlMGEwZTI0MDIiLCJ1c2VySWQiOiIxMDczMzg0NjQwIn0=</vt:lpwstr>
  </property>
</Properties>
</file>