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巴音郭楞蒙古自治州交通运输局2024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9814386">
      <w:r>
        <w:br w:type="page"/>
      </w:r>
    </w:p>
    <w:p w14:paraId="0245B2D6">
      <w:pPr>
        <w:spacing w:line="640" w:lineRule="exact"/>
        <w:jc w:val="center"/>
        <w:outlineLvl w:val="1"/>
      </w:pPr>
      <w:r>
        <w:rPr>
          <w:rFonts w:ascii="黑体" w:hAnsi="黑体" w:eastAsia="黑体"/>
          <w:sz w:val="32"/>
        </w:rPr>
        <w:t>第一部分 单位概况</w:t>
      </w:r>
    </w:p>
    <w:p w14:paraId="5FE5CCDB">
      <w:pPr>
        <w:spacing w:line="640" w:lineRule="exact"/>
        <w:ind w:firstLine="640"/>
        <w:jc w:val="both"/>
        <w:outlineLvl w:val="2"/>
      </w:pPr>
      <w:r>
        <w:rPr>
          <w:rFonts w:ascii="黑体" w:hAnsi="黑体" w:eastAsia="黑体"/>
          <w:sz w:val="32"/>
        </w:rPr>
        <w:t>一、主要职能</w:t>
      </w:r>
    </w:p>
    <w:p w14:paraId="14B6B8A6">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贯彻执行国家、自治区有关公路交通运输行业的法规、政策，拟订自治州相关政策并组织实施和监督检查。</w:t>
      </w:r>
    </w:p>
    <w:p w14:paraId="059B34AF">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拟订自治州公路交通运输发展规划、中长期计划并监督实施；会同有关部门组织编制自治州综合交通运输体系规划；参与拟订自治州物流业发展战略与规划。</w:t>
      </w:r>
    </w:p>
    <w:p w14:paraId="243BEA05">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指导城乡客运及有关设施规划、管理和出租汽车行业管理，承担渔业船舶的检验和监督管理工作。</w:t>
      </w:r>
    </w:p>
    <w:p w14:paraId="05E14F79">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提出公路固定资产投资规模和方向、财政性资金安排意见，按规定权限审批、核准规划内和年度计划规模内固定资产投资项目。会同有关部门制定交通运输行业价格，对涉及财政、土地、价格等方面的问题提出政策建议。</w:t>
      </w:r>
    </w:p>
    <w:p w14:paraId="122122DD">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承担农村公路建设市场监管责任，拟订自治州农村公路相关政策、制度和技术标准并监督实施。组织协调重点农村公路工程建设和工程质量、安全生产监督管理工作。指导交通基础设施管理和维护，承担重要设施的管理和维护。负责农村公路及管辖范围内专用公路的建设、养护和路政综合管理。指导管辖范围内县道、乡道的建设、养护和管理工作。</w:t>
      </w:r>
    </w:p>
    <w:p w14:paraId="1B355418">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指导自治州交通运输行业体制改革，会同有关部门培育、管理交通基础设施建设、运输市场，维护自治州交通运输行业的平等竞争秩序，引导交通运输行业优化、协调发展。</w:t>
      </w:r>
    </w:p>
    <w:p w14:paraId="308976DF">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会同有关部门指导自治州公路交通运输安全生产和应急管理工作。组织协调自治州重点物资和紧急客货运输。承担自治州交通战备工作。</w:t>
      </w:r>
    </w:p>
    <w:p w14:paraId="46073C7E">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贯彻执行交通行业科技政策、技术标准和规范；组织实施交通行业科研项目和科技成果的推广应用；指导交通运输行业信息化建设，监测分析运行情况，开展相关统计工作，发布有关信息；指导自治州交通运输行业环境保护和节能减排工作。</w:t>
      </w:r>
    </w:p>
    <w:p w14:paraId="36CFD50A">
      <w:pPr>
        <w:spacing w:line="580" w:lineRule="exact"/>
        <w:ind w:firstLine="640"/>
        <w:jc w:val="both"/>
      </w:pPr>
      <w:r>
        <w:rPr>
          <w:rFonts w:hint="eastAsia" w:ascii="仿宋_GB2312" w:hAnsi="仿宋_GB2312" w:eastAsia="仿宋_GB2312"/>
          <w:sz w:val="32"/>
          <w:lang w:eastAsia="zh-CN"/>
        </w:rPr>
        <w:t>9.</w:t>
      </w:r>
      <w:r>
        <w:rPr>
          <w:rFonts w:ascii="仿宋_GB2312" w:hAnsi="仿宋_GB2312" w:eastAsia="仿宋_GB2312"/>
          <w:sz w:val="32"/>
        </w:rPr>
        <w:t>会同有关部门开展交通运输行业的法治宣传、行政复议、行政应诉、行政执法和监督工作。</w:t>
      </w:r>
    </w:p>
    <w:p w14:paraId="25EA9B29">
      <w:pPr>
        <w:spacing w:line="580" w:lineRule="exact"/>
        <w:ind w:firstLine="640"/>
        <w:jc w:val="both"/>
      </w:pPr>
      <w:r>
        <w:rPr>
          <w:rFonts w:hint="eastAsia" w:ascii="仿宋_GB2312" w:hAnsi="仿宋_GB2312" w:eastAsia="仿宋_GB2312"/>
          <w:sz w:val="32"/>
          <w:lang w:eastAsia="zh-CN"/>
        </w:rPr>
        <w:t>10.</w:t>
      </w:r>
      <w:r>
        <w:rPr>
          <w:rFonts w:ascii="仿宋_GB2312" w:hAnsi="仿宋_GB2312" w:eastAsia="仿宋_GB2312"/>
          <w:sz w:val="32"/>
        </w:rPr>
        <w:t>指导交通运输行业开展区域性经济技术交流与合作及利用外资工作。</w:t>
      </w:r>
    </w:p>
    <w:p w14:paraId="1618D95A">
      <w:pPr>
        <w:spacing w:line="580" w:lineRule="exact"/>
        <w:ind w:firstLine="640"/>
        <w:jc w:val="both"/>
      </w:pPr>
      <w:r>
        <w:rPr>
          <w:rFonts w:hint="eastAsia" w:ascii="仿宋_GB2312" w:hAnsi="仿宋_GB2312" w:eastAsia="仿宋_GB2312"/>
          <w:sz w:val="32"/>
          <w:lang w:eastAsia="zh-CN"/>
        </w:rPr>
        <w:t>11.</w:t>
      </w:r>
      <w:r>
        <w:rPr>
          <w:rFonts w:ascii="仿宋_GB2312" w:hAnsi="仿宋_GB2312" w:eastAsia="仿宋_GB2312"/>
          <w:sz w:val="32"/>
        </w:rPr>
        <w:t>承担交通科技项目管理，指导交通运输行业信息化建设。指导交通运输行业环境保护和节能减排工作。组织交通运输行业统计、运行分析工作。贯彻国家有关技术标准，执行相关地方技术规范并监督实施。承担交通运输行业标准化协调工作。</w:t>
      </w:r>
    </w:p>
    <w:p w14:paraId="1D6D4D71">
      <w:pPr>
        <w:spacing w:line="580" w:lineRule="exact"/>
        <w:ind w:firstLine="640"/>
        <w:jc w:val="both"/>
      </w:pPr>
      <w:r>
        <w:rPr>
          <w:rFonts w:hint="eastAsia" w:ascii="仿宋_GB2312" w:hAnsi="仿宋_GB2312" w:eastAsia="仿宋_GB2312"/>
          <w:sz w:val="32"/>
          <w:lang w:eastAsia="zh-CN"/>
        </w:rPr>
        <w:t>12.</w:t>
      </w:r>
      <w:r>
        <w:rPr>
          <w:rFonts w:ascii="仿宋_GB2312" w:hAnsi="仿宋_GB2312" w:eastAsia="仿宋_GB2312"/>
          <w:sz w:val="32"/>
        </w:rPr>
        <w:t>负责党的建设、党风廉政建设和反腐败工作、精神文明、维护稳定、安全生产、“</w:t>
      </w:r>
      <w:r>
        <w:rPr>
          <w:rFonts w:hint="eastAsia" w:ascii="仿宋_GB2312" w:hAnsi="仿宋_GB2312" w:eastAsia="仿宋_GB2312"/>
          <w:sz w:val="32"/>
          <w:lang w:eastAsia="zh-CN"/>
        </w:rPr>
        <w:t>为民办实事</w:t>
      </w:r>
      <w:r>
        <w:rPr>
          <w:rFonts w:ascii="仿宋_GB2312" w:hAnsi="仿宋_GB2312" w:eastAsia="仿宋_GB2312"/>
          <w:sz w:val="32"/>
        </w:rPr>
        <w:t>”、综合治理、民族团结、两个全覆盖、脱贫攻坚、绩效等工作。</w:t>
      </w:r>
    </w:p>
    <w:p w14:paraId="053FC500">
      <w:pPr>
        <w:spacing w:line="580" w:lineRule="exact"/>
        <w:ind w:firstLine="640"/>
        <w:jc w:val="both"/>
      </w:pPr>
      <w:r>
        <w:rPr>
          <w:rFonts w:hint="eastAsia" w:ascii="仿宋_GB2312" w:hAnsi="仿宋_GB2312" w:eastAsia="仿宋_GB2312"/>
          <w:sz w:val="32"/>
          <w:lang w:eastAsia="zh-CN"/>
        </w:rPr>
        <w:t>13.</w:t>
      </w:r>
      <w:r>
        <w:rPr>
          <w:rFonts w:ascii="仿宋_GB2312" w:hAnsi="仿宋_GB2312" w:eastAsia="仿宋_GB2312"/>
          <w:sz w:val="32"/>
        </w:rPr>
        <w:t>完成自治州党委、自治州人民政府交办的其他任务。</w:t>
      </w:r>
    </w:p>
    <w:p w14:paraId="497C580A">
      <w:pPr>
        <w:spacing w:line="640" w:lineRule="exact"/>
        <w:ind w:firstLine="640"/>
        <w:jc w:val="both"/>
        <w:outlineLvl w:val="2"/>
      </w:pPr>
      <w:r>
        <w:rPr>
          <w:rFonts w:ascii="黑体" w:hAnsi="黑体" w:eastAsia="黑体"/>
          <w:sz w:val="32"/>
        </w:rPr>
        <w:t>二、机构设置及人员情况</w:t>
      </w:r>
    </w:p>
    <w:p w14:paraId="1E6AEEAD">
      <w:pPr>
        <w:spacing w:line="580" w:lineRule="exact"/>
        <w:ind w:firstLine="640"/>
        <w:jc w:val="both"/>
      </w:pPr>
      <w:r>
        <w:rPr>
          <w:rFonts w:ascii="仿宋_GB2312" w:hAnsi="仿宋_GB2312" w:eastAsia="仿宋_GB2312"/>
          <w:sz w:val="32"/>
        </w:rPr>
        <w:t>巴音郭楞蒙古自治州交通运输局2024年度，实有人数53人，其中：在职人员27人，增加1人；离休人员0人，增加0人；退休人员26人,增加0人。</w:t>
      </w:r>
    </w:p>
    <w:p w14:paraId="764F289E">
      <w:pPr>
        <w:spacing w:line="580" w:lineRule="exact"/>
        <w:ind w:firstLine="640"/>
        <w:jc w:val="both"/>
      </w:pPr>
      <w:r>
        <w:rPr>
          <w:rFonts w:ascii="仿宋_GB2312" w:hAnsi="仿宋_GB2312" w:eastAsia="仿宋_GB2312"/>
          <w:sz w:val="32"/>
        </w:rPr>
        <w:t>巴音郭楞蒙古自治州交通运输局无下属预算单位，下设7个科室，分别是：办公室、公路科、运输管理科、财务审计科、安全监督科、巴州农村公路路政管理站、巴州公路工程质量保障中心（邮政业安全中心）。</w:t>
      </w:r>
    </w:p>
    <w:p w14:paraId="1302E178">
      <w:r>
        <w:br w:type="page"/>
      </w:r>
    </w:p>
    <w:p w14:paraId="66AF1E15">
      <w:pPr>
        <w:spacing w:line="240" w:lineRule="auto"/>
        <w:jc w:val="center"/>
        <w:outlineLvl w:val="1"/>
      </w:pPr>
      <w:r>
        <w:rPr>
          <w:rFonts w:ascii="黑体" w:hAnsi="黑体" w:eastAsia="黑体"/>
          <w:sz w:val="32"/>
        </w:rPr>
        <w:t>第二部分 部门决算情况说明</w:t>
      </w:r>
    </w:p>
    <w:p w14:paraId="5903BEF7">
      <w:pPr>
        <w:spacing w:line="640" w:lineRule="exact"/>
        <w:ind w:firstLine="640"/>
        <w:jc w:val="both"/>
        <w:outlineLvl w:val="2"/>
      </w:pPr>
      <w:r>
        <w:rPr>
          <w:rFonts w:ascii="黑体" w:hAnsi="黑体" w:eastAsia="黑体"/>
          <w:sz w:val="32"/>
        </w:rPr>
        <w:t>一、收入支出决算总体情况说明</w:t>
      </w:r>
    </w:p>
    <w:p w14:paraId="72ABEE12">
      <w:pPr>
        <w:spacing w:line="580" w:lineRule="exact"/>
        <w:ind w:firstLine="640"/>
        <w:jc w:val="both"/>
      </w:pPr>
      <w:r>
        <w:rPr>
          <w:rFonts w:ascii="仿宋_GB2312" w:hAnsi="仿宋_GB2312" w:eastAsia="仿宋_GB2312"/>
          <w:b/>
          <w:sz w:val="32"/>
        </w:rPr>
        <w:t>2024年度收入总计24,573.69万元，</w:t>
      </w:r>
      <w:r>
        <w:rPr>
          <w:rFonts w:ascii="仿宋_GB2312" w:hAnsi="仿宋_GB2312" w:eastAsia="仿宋_GB2312"/>
          <w:b w:val="0"/>
          <w:sz w:val="32"/>
        </w:rPr>
        <w:t>其中：本年收入合计24,573.69万元，使用非财政拨款结余（含专用结余）0.00万元，年初结转和结余0.00万元。</w:t>
      </w:r>
    </w:p>
    <w:p w14:paraId="53BCD6EA">
      <w:pPr>
        <w:spacing w:line="580" w:lineRule="exact"/>
        <w:ind w:firstLine="640"/>
        <w:jc w:val="both"/>
      </w:pPr>
      <w:r>
        <w:rPr>
          <w:rFonts w:ascii="仿宋_GB2312" w:hAnsi="仿宋_GB2312" w:eastAsia="仿宋_GB2312"/>
          <w:b/>
          <w:sz w:val="32"/>
        </w:rPr>
        <w:t>2024年度支出总计24,573.69万元，</w:t>
      </w:r>
      <w:r>
        <w:rPr>
          <w:rFonts w:ascii="仿宋_GB2312" w:hAnsi="仿宋_GB2312" w:eastAsia="仿宋_GB2312"/>
          <w:b w:val="0"/>
          <w:sz w:val="32"/>
        </w:rPr>
        <w:t>其中：本年支出合计24,573.69万元，结余分配0.00万元，年末结转和结余0.00万元。</w:t>
      </w:r>
    </w:p>
    <w:p w14:paraId="36883071">
      <w:pPr>
        <w:spacing w:line="580" w:lineRule="exact"/>
        <w:ind w:firstLine="640"/>
        <w:jc w:val="both"/>
      </w:pPr>
      <w:r>
        <w:rPr>
          <w:rFonts w:ascii="仿宋_GB2312" w:hAnsi="仿宋_GB2312" w:eastAsia="仿宋_GB2312"/>
          <w:b w:val="0"/>
          <w:sz w:val="32"/>
        </w:rPr>
        <w:t>收入支出总体与上年相比，增加3,096.63万元，增长14.42%，主要原因是：本年增加自治州“十五五”规划前期重大研究课题经费、G314乌什塔拉至G218扬水站公路建设项目资金、巴州公路建设项目质量监督经费等项目，导致经费较上年增加。</w:t>
      </w:r>
    </w:p>
    <w:p w14:paraId="32D2EB5C">
      <w:pPr>
        <w:spacing w:line="640" w:lineRule="exact"/>
        <w:ind w:firstLine="640"/>
        <w:jc w:val="both"/>
        <w:outlineLvl w:val="2"/>
      </w:pPr>
      <w:r>
        <w:rPr>
          <w:rFonts w:ascii="黑体" w:hAnsi="黑体" w:eastAsia="黑体"/>
          <w:sz w:val="32"/>
        </w:rPr>
        <w:t>二、收入决算情况说明</w:t>
      </w:r>
    </w:p>
    <w:p w14:paraId="45CA0DC0">
      <w:pPr>
        <w:spacing w:line="580" w:lineRule="exact"/>
        <w:ind w:firstLine="640"/>
        <w:jc w:val="both"/>
      </w:pPr>
      <w:r>
        <w:rPr>
          <w:rFonts w:ascii="仿宋_GB2312" w:hAnsi="仿宋_GB2312" w:eastAsia="仿宋_GB2312"/>
          <w:b/>
          <w:sz w:val="32"/>
        </w:rPr>
        <w:t>本年收入24,573.69万元，</w:t>
      </w:r>
      <w:r>
        <w:rPr>
          <w:rFonts w:ascii="仿宋_GB2312" w:hAnsi="仿宋_GB2312" w:eastAsia="仿宋_GB2312"/>
          <w:b w:val="0"/>
          <w:sz w:val="32"/>
        </w:rPr>
        <w:t>其中：财政拨款收入24,573.69万元，占100.00%；上级补助收入0.00万元，占0.00%；事业收入0.00万元，占0.00%；经营收入0.00万元，占0.00%；附属单位上缴收入0.00万元，占0.00%；其他收入0.00万元，占0.00%。</w:t>
      </w:r>
    </w:p>
    <w:p w14:paraId="757C5839">
      <w:pPr>
        <w:spacing w:line="640" w:lineRule="exact"/>
        <w:ind w:firstLine="640"/>
        <w:jc w:val="both"/>
        <w:outlineLvl w:val="2"/>
      </w:pPr>
      <w:r>
        <w:rPr>
          <w:rFonts w:ascii="黑体" w:hAnsi="黑体" w:eastAsia="黑体"/>
          <w:sz w:val="32"/>
        </w:rPr>
        <w:t>三、支出决算情况说明</w:t>
      </w:r>
    </w:p>
    <w:p w14:paraId="5C510B0D">
      <w:pPr>
        <w:spacing w:line="580" w:lineRule="exact"/>
        <w:ind w:firstLine="640"/>
        <w:jc w:val="both"/>
      </w:pPr>
      <w:r>
        <w:rPr>
          <w:rFonts w:ascii="仿宋_GB2312" w:hAnsi="仿宋_GB2312" w:eastAsia="仿宋_GB2312"/>
          <w:b/>
          <w:sz w:val="32"/>
        </w:rPr>
        <w:t>本年支出24,573.69万元，</w:t>
      </w:r>
      <w:r>
        <w:rPr>
          <w:rFonts w:ascii="仿宋_GB2312" w:hAnsi="仿宋_GB2312" w:eastAsia="仿宋_GB2312"/>
          <w:b w:val="0"/>
          <w:sz w:val="32"/>
        </w:rPr>
        <w:t>其中：基本支出528.65万元，占2.15%；项目支出24,045.04万元，占97.85%；上缴上级支出0.00万元，占0.00%；经营支出0.00万元，占0.00%；对附属单位补助支出0.00万元，占0.00%。</w:t>
      </w:r>
    </w:p>
    <w:p w14:paraId="2170E06E">
      <w:pPr>
        <w:spacing w:line="640" w:lineRule="exact"/>
        <w:ind w:firstLine="640"/>
        <w:jc w:val="both"/>
        <w:outlineLvl w:val="2"/>
      </w:pPr>
      <w:r>
        <w:rPr>
          <w:rFonts w:ascii="黑体" w:hAnsi="黑体" w:eastAsia="黑体"/>
          <w:sz w:val="32"/>
        </w:rPr>
        <w:t>四、财政拨款收入支出决算总体情况说明</w:t>
      </w:r>
    </w:p>
    <w:p w14:paraId="3B8B93CE">
      <w:pPr>
        <w:spacing w:line="580" w:lineRule="exact"/>
        <w:ind w:firstLine="640"/>
        <w:jc w:val="both"/>
      </w:pPr>
      <w:r>
        <w:rPr>
          <w:rFonts w:ascii="仿宋_GB2312" w:hAnsi="仿宋_GB2312" w:eastAsia="仿宋_GB2312"/>
          <w:b/>
          <w:sz w:val="32"/>
        </w:rPr>
        <w:t>2024年度财政拨款收入总计24,573.69万元，</w:t>
      </w:r>
      <w:r>
        <w:rPr>
          <w:rFonts w:ascii="仿宋_GB2312" w:hAnsi="仿宋_GB2312" w:eastAsia="仿宋_GB2312"/>
          <w:b w:val="0"/>
          <w:sz w:val="32"/>
        </w:rPr>
        <w:t>其中：年初财政拨款结转和结余0.00万元，本年财政拨款收入24,573.69万元。</w:t>
      </w:r>
      <w:r>
        <w:rPr>
          <w:rFonts w:ascii="仿宋_GB2312" w:hAnsi="仿宋_GB2312" w:eastAsia="仿宋_GB2312"/>
          <w:b/>
          <w:sz w:val="32"/>
        </w:rPr>
        <w:t>财政拨款支出总计24,573.69万元，</w:t>
      </w:r>
      <w:r>
        <w:rPr>
          <w:rFonts w:ascii="仿宋_GB2312" w:hAnsi="仿宋_GB2312" w:eastAsia="仿宋_GB2312"/>
          <w:b w:val="0"/>
          <w:sz w:val="32"/>
        </w:rPr>
        <w:t>其中：年末财政拨款结转和结余0.00万元，本年财政拨款支出24,573.69万元。</w:t>
      </w:r>
    </w:p>
    <w:p w14:paraId="1FA94F0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5,920.70万元，增长31.74%，主要原因是：本年增加自治州“十五五”规划前期重大研究课题经费、G314乌什塔拉至G218扬水站公路建设项目资金、巴州公路建设项目质量监督经费、农村公路欠款清偿资金、S304线哈尔莫敦至巴音郭愣（霍尔古吐至红旗牧场）公路等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7,850.71万元，决算数24,573.69万元，预决算差异率213.01%，主要原因是：年中追加自治州“十五五”规划前期重大研究课题经费、G314乌什塔拉至G218扬水站公路建设项目资金、巴州公路建设项目质量监督经费、农村公路欠款清偿资金、S304线哈尔莫敦至巴音郭愣（霍尔古吐至红旗牧场）公路等项目，导致预决算存在差异。</w:t>
      </w:r>
    </w:p>
    <w:p w14:paraId="1845CDC6">
      <w:pPr>
        <w:spacing w:line="640" w:lineRule="exact"/>
        <w:ind w:firstLine="640"/>
        <w:jc w:val="both"/>
        <w:outlineLvl w:val="2"/>
      </w:pPr>
      <w:r>
        <w:rPr>
          <w:rFonts w:ascii="黑体" w:hAnsi="黑体" w:eastAsia="黑体"/>
          <w:sz w:val="32"/>
        </w:rPr>
        <w:t>五、一般公共预算财政拨款支出决算情况说明</w:t>
      </w:r>
    </w:p>
    <w:p w14:paraId="3A6CD38A">
      <w:pPr>
        <w:spacing w:line="640" w:lineRule="exact"/>
        <w:ind w:firstLine="640"/>
        <w:jc w:val="both"/>
        <w:outlineLvl w:val="3"/>
      </w:pPr>
      <w:r>
        <w:rPr>
          <w:rFonts w:ascii="楷体_GB2312" w:hAnsi="楷体_GB2312" w:eastAsia="楷体_GB2312"/>
          <w:b/>
          <w:sz w:val="32"/>
        </w:rPr>
        <w:t>（一）一般公共预算财政拨款支出决算总体情况</w:t>
      </w:r>
    </w:p>
    <w:p w14:paraId="1D494FB2">
      <w:pPr>
        <w:spacing w:line="580" w:lineRule="exact"/>
        <w:ind w:firstLine="640"/>
        <w:jc w:val="both"/>
      </w:pPr>
      <w:r>
        <w:rPr>
          <w:rFonts w:ascii="仿宋_GB2312" w:hAnsi="仿宋_GB2312" w:eastAsia="仿宋_GB2312"/>
          <w:b/>
          <w:sz w:val="32"/>
        </w:rPr>
        <w:t>2024年度一般公共预算财政拨款支出24,573.69万元，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5,920.70万元，增长31.74%，主要原因是：本年增加自治州“十五五”规划前期重大研究课题经费、G314乌什塔拉至G218扬水站公路建设项目资金、巴州公路建设项目质量监督经费、农村公路欠款清偿资金、S304线哈尔莫敦至巴音郭愣（霍尔古吐至红旗牧场）公路等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7,850.71万元，决算数24,573.69万元，预决算差异率213.01%，主要原因是：年中追加自治州“十五五”规划前期重大研究课题经费、G314乌什塔拉至G218扬水站公路建设项目资金、巴州公路建设项目质量监督经费、农村公路欠款清偿资金、S304线哈尔莫敦至巴音郭楞（霍尔古吐至红旗牧场）公路等项目，导致预决算存在差异。</w:t>
      </w:r>
    </w:p>
    <w:p w14:paraId="16074122">
      <w:pPr>
        <w:spacing w:line="640" w:lineRule="exact"/>
        <w:ind w:firstLine="640"/>
        <w:jc w:val="both"/>
        <w:outlineLvl w:val="3"/>
      </w:pPr>
      <w:r>
        <w:rPr>
          <w:rFonts w:ascii="楷体_GB2312" w:hAnsi="楷体_GB2312" w:eastAsia="楷体_GB2312"/>
          <w:b/>
          <w:sz w:val="32"/>
        </w:rPr>
        <w:t>（二）一般公共预算财政拨款支出决算结构情况</w:t>
      </w:r>
    </w:p>
    <w:p w14:paraId="0DA83EFA">
      <w:pPr>
        <w:spacing w:line="580" w:lineRule="exact"/>
        <w:ind w:firstLine="640"/>
        <w:jc w:val="both"/>
      </w:pPr>
      <w:r>
        <w:rPr>
          <w:rFonts w:ascii="仿宋_GB2312" w:hAnsi="仿宋_GB2312" w:eastAsia="仿宋_GB2312"/>
          <w:b w:val="0"/>
          <w:sz w:val="32"/>
        </w:rPr>
        <w:t>1.一般公共服务支出(类)9.80万元,占0.04%。</w:t>
      </w:r>
    </w:p>
    <w:p w14:paraId="472088C9">
      <w:pPr>
        <w:spacing w:line="580" w:lineRule="exact"/>
        <w:ind w:firstLine="640"/>
        <w:jc w:val="both"/>
      </w:pPr>
      <w:r>
        <w:rPr>
          <w:rFonts w:ascii="仿宋_GB2312" w:hAnsi="仿宋_GB2312" w:eastAsia="仿宋_GB2312"/>
          <w:b w:val="0"/>
          <w:sz w:val="32"/>
        </w:rPr>
        <w:t>2.教育支出(类)0.94万元,占0.004%。</w:t>
      </w:r>
    </w:p>
    <w:p w14:paraId="38AB3B99">
      <w:pPr>
        <w:spacing w:line="580" w:lineRule="exact"/>
        <w:ind w:firstLine="640"/>
        <w:jc w:val="both"/>
      </w:pPr>
      <w:r>
        <w:rPr>
          <w:rFonts w:ascii="仿宋_GB2312" w:hAnsi="仿宋_GB2312" w:eastAsia="仿宋_GB2312"/>
          <w:b w:val="0"/>
          <w:sz w:val="32"/>
        </w:rPr>
        <w:t>3.社会保障和就业支出(类)74.96万元,占0.31%。</w:t>
      </w:r>
    </w:p>
    <w:p w14:paraId="1C0C37EE">
      <w:pPr>
        <w:spacing w:line="580" w:lineRule="exact"/>
        <w:ind w:firstLine="640"/>
        <w:jc w:val="both"/>
      </w:pPr>
      <w:r>
        <w:rPr>
          <w:rFonts w:ascii="仿宋_GB2312" w:hAnsi="仿宋_GB2312" w:eastAsia="仿宋_GB2312"/>
          <w:b w:val="0"/>
          <w:sz w:val="32"/>
        </w:rPr>
        <w:t>4.卫生健康支出(类)26.72万元,占0.11%。</w:t>
      </w:r>
    </w:p>
    <w:p w14:paraId="3ABB5936">
      <w:pPr>
        <w:spacing w:line="580" w:lineRule="exact"/>
        <w:ind w:firstLine="640"/>
        <w:jc w:val="both"/>
      </w:pPr>
      <w:r>
        <w:rPr>
          <w:rFonts w:ascii="仿宋_GB2312" w:hAnsi="仿宋_GB2312" w:eastAsia="仿宋_GB2312"/>
          <w:b w:val="0"/>
          <w:sz w:val="32"/>
        </w:rPr>
        <w:t>5.交通运输支出(类)24,424.49万元,占99.39%。</w:t>
      </w:r>
    </w:p>
    <w:p w14:paraId="3E3887D3">
      <w:pPr>
        <w:spacing w:line="580" w:lineRule="exact"/>
        <w:ind w:firstLine="640"/>
        <w:jc w:val="both"/>
      </w:pPr>
      <w:r>
        <w:rPr>
          <w:rFonts w:ascii="仿宋_GB2312" w:hAnsi="仿宋_GB2312" w:eastAsia="仿宋_GB2312"/>
          <w:b w:val="0"/>
          <w:sz w:val="32"/>
        </w:rPr>
        <w:t>6.住房保障支出(类)36.78万元,占0.15%。</w:t>
      </w:r>
    </w:p>
    <w:p w14:paraId="74696621">
      <w:pPr>
        <w:spacing w:line="640" w:lineRule="exact"/>
        <w:ind w:firstLine="640"/>
        <w:jc w:val="both"/>
        <w:outlineLvl w:val="3"/>
      </w:pPr>
      <w:r>
        <w:rPr>
          <w:rFonts w:ascii="楷体_GB2312" w:hAnsi="楷体_GB2312" w:eastAsia="楷体_GB2312"/>
          <w:b/>
          <w:sz w:val="32"/>
        </w:rPr>
        <w:t>（三）一般公共预算财政拨款支出决算具体情况</w:t>
      </w:r>
    </w:p>
    <w:p w14:paraId="557FFC35">
      <w:pPr>
        <w:spacing w:line="580" w:lineRule="exact"/>
        <w:ind w:firstLine="640"/>
        <w:jc w:val="both"/>
      </w:pPr>
      <w:r>
        <w:rPr>
          <w:rFonts w:ascii="仿宋_GB2312" w:hAnsi="仿宋_GB2312" w:eastAsia="仿宋_GB2312"/>
          <w:b w:val="0"/>
          <w:sz w:val="32"/>
        </w:rPr>
        <w:t>1.一般公共服务支出(类)发展与改革事务(款)社会事业发展规划(项):支出决算数为9.80万元，比上年决算增加9.80万元，增长100.00%,主要原因是：本年新增自治州“十五五”规划前期重大研究课题经费项目，相关支出增加。</w:t>
      </w:r>
    </w:p>
    <w:p w14:paraId="6B537696">
      <w:pPr>
        <w:spacing w:line="580" w:lineRule="exact"/>
        <w:ind w:firstLine="640"/>
        <w:jc w:val="both"/>
      </w:pPr>
      <w:r>
        <w:rPr>
          <w:rFonts w:ascii="仿宋_GB2312" w:hAnsi="仿宋_GB2312" w:eastAsia="仿宋_GB2312"/>
          <w:b w:val="0"/>
          <w:sz w:val="32"/>
        </w:rPr>
        <w:t>2.教育支出(类)进修及培训(款)培训支出(项):支出决算数为0.94万元，比上年决算增加0.85万元，增长944.44%,主要原因是：本年培训较上年增多，培训费较上年增加。</w:t>
      </w:r>
    </w:p>
    <w:p w14:paraId="73C8FDAF">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3.社会保障和就业支出(类)行政事业单位养老支出(款)行政单位离退休(项):支出决算数为27.45万元，比上年决算增加5.53万元，增长25.23%,主要原因是：本年增加退休人员基础绩效奖，退休费支出增加。</w:t>
      </w:r>
    </w:p>
    <w:p w14:paraId="549FB7B2">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47.51万元，比上年决算增加3.53万元，增长8.03%,主要原因是：本年在职人员工资基数调增，养老缴费基数上涨，相应支出增加。</w:t>
      </w:r>
    </w:p>
    <w:p w14:paraId="648523A8">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0.00万元，比上年决算减少13.90万元，下降100.00%,主要原因是：本年无新增退休人员，职业年金缴费较上年减少。</w:t>
      </w:r>
    </w:p>
    <w:p w14:paraId="292C4CA4">
      <w:pPr>
        <w:spacing w:line="580" w:lineRule="exact"/>
        <w:ind w:firstLine="640"/>
        <w:jc w:val="both"/>
      </w:pPr>
      <w:r>
        <w:rPr>
          <w:rFonts w:ascii="仿宋_GB2312" w:hAnsi="仿宋_GB2312" w:eastAsia="仿宋_GB2312"/>
          <w:b w:val="0"/>
          <w:sz w:val="32"/>
        </w:rPr>
        <w:t>6.卫生健康支出(类)行政事业单位医疗(款)行政单位医疗(项):支出决算数为12.21万元，比上年决算减少1.63万元，下降11.78%,主要原因是：本年在职人员调入调出，人员职级不同，缴费基数不同，导致行政单位医疗较上年减少。</w:t>
      </w:r>
    </w:p>
    <w:p w14:paraId="170785AC">
      <w:pPr>
        <w:spacing w:line="580" w:lineRule="exact"/>
        <w:ind w:firstLine="640"/>
        <w:jc w:val="both"/>
      </w:pPr>
      <w:r>
        <w:rPr>
          <w:rFonts w:ascii="仿宋_GB2312" w:hAnsi="仿宋_GB2312" w:eastAsia="仿宋_GB2312"/>
          <w:b w:val="0"/>
          <w:sz w:val="32"/>
        </w:rPr>
        <w:t>7.卫生健康支出(类)行政事业单位医疗(款)事业单位医疗(项):支出决算数为8.68万元，比上年决算增加2.80万元，增长47.62%,主要原因是：本年在职人员工资基数调增，事业单位医疗缴费基数上涨，相应支出增加。</w:t>
      </w:r>
    </w:p>
    <w:p w14:paraId="67945094">
      <w:pPr>
        <w:spacing w:line="580" w:lineRule="exact"/>
        <w:ind w:firstLine="640"/>
        <w:jc w:val="both"/>
      </w:pPr>
      <w:r>
        <w:rPr>
          <w:rFonts w:ascii="仿宋_GB2312" w:hAnsi="仿宋_GB2312" w:eastAsia="仿宋_GB2312"/>
          <w:b w:val="0"/>
          <w:sz w:val="32"/>
        </w:rPr>
        <w:t>8.卫生健康支出(类)行政事业单位医疗(款)公务员医疗补助(项):支出决算数为5.19万元，比上年决算增加0.14万元，增长2.77%,主要原因是：本年在职人员工资基数调增，公务员医疗补助缴费基数上涨，相应支出增加。</w:t>
      </w:r>
    </w:p>
    <w:p w14:paraId="12C537F5">
      <w:pPr>
        <w:spacing w:line="580" w:lineRule="exact"/>
        <w:ind w:firstLine="640"/>
        <w:jc w:val="both"/>
      </w:pPr>
      <w:r>
        <w:rPr>
          <w:rFonts w:ascii="仿宋_GB2312" w:hAnsi="仿宋_GB2312" w:eastAsia="仿宋_GB2312"/>
          <w:b w:val="0"/>
          <w:sz w:val="32"/>
        </w:rPr>
        <w:t>9.卫生健康支出(类)行政事业单位医疗(款)其他行政事业单位医疗支出(项):支出决算数为0.66万元，比上年决算减少0.59万元，下降47.20%,主要原因是：本年功能科目调整，部分事业编人员失业和工伤保险支出上年在其他行政事业单位医疗支出科目列支，本年调整至其他公路水路运输支出科目列支，导致经费较上年减少。</w:t>
      </w:r>
    </w:p>
    <w:p w14:paraId="2AF1564A">
      <w:pPr>
        <w:spacing w:line="580" w:lineRule="exact"/>
        <w:ind w:firstLine="640"/>
        <w:jc w:val="both"/>
      </w:pPr>
      <w:r>
        <w:rPr>
          <w:rFonts w:ascii="仿宋_GB2312" w:hAnsi="仿宋_GB2312" w:eastAsia="仿宋_GB2312"/>
          <w:b w:val="0"/>
          <w:sz w:val="32"/>
        </w:rPr>
        <w:t>10.交通运输支出(类)公路水路运输(款)行政运行(项):支出决算数为248.63万元，比上年决算减少8.72万元，下降3.39%,主要原因是：本年为民办实事工作经费较上年减少；本年十三月工资未发放，导致奖金较上年减少。</w:t>
      </w:r>
    </w:p>
    <w:p w14:paraId="608CFBDF">
      <w:pPr>
        <w:spacing w:line="580" w:lineRule="exact"/>
        <w:ind w:firstLine="640"/>
        <w:jc w:val="both"/>
      </w:pPr>
      <w:r>
        <w:rPr>
          <w:rFonts w:ascii="仿宋_GB2312" w:hAnsi="仿宋_GB2312" w:eastAsia="仿宋_GB2312"/>
          <w:b w:val="0"/>
          <w:sz w:val="32"/>
        </w:rPr>
        <w:t>11.交通运输支出(类)公路水路运输(款)一般行政管理事务(项):支出决算数为174.80万元，比上年决算减少562.90万元，下降76.30%,主要原因是：本年减少交通“十四五”规划编制及项目前期费、环博斯腾湖旅游公路项目前期费、办公场所搬迁经费项目经费，导致经费较上年减少。</w:t>
      </w:r>
    </w:p>
    <w:p w14:paraId="4827D511">
      <w:pPr>
        <w:spacing w:line="580" w:lineRule="exact"/>
        <w:ind w:firstLine="640"/>
        <w:jc w:val="both"/>
      </w:pPr>
      <w:r>
        <w:rPr>
          <w:rFonts w:ascii="仿宋_GB2312" w:hAnsi="仿宋_GB2312" w:eastAsia="仿宋_GB2312"/>
          <w:b w:val="0"/>
          <w:sz w:val="32"/>
        </w:rPr>
        <w:t>12.交通运输支出(类)公路水路运输(款)公路建设(项):支出决算数为23,860.44万元，比上年决算增加9,151.79万元，增长62.22%,主要原因是：本年增加G314乌什塔拉至G218扬水站公路建设项目资金、巴州公路建设项目质量监督经费、农村公路欠款清偿资金，导致经费支出增加；本年功能科目调整，S304线哈尔莫敦至巴音郭楞（霍尔古吐至红旗牧场）公路项目经费上年在车辆购置税用于农村公路建设支出科目列支，本科目调整至公路建设科目列支，导致经费较上年增加。</w:t>
      </w:r>
    </w:p>
    <w:p w14:paraId="57D8FC74">
      <w:pPr>
        <w:spacing w:line="580" w:lineRule="exact"/>
        <w:ind w:firstLine="640"/>
        <w:jc w:val="both"/>
      </w:pPr>
      <w:r>
        <w:rPr>
          <w:rFonts w:ascii="仿宋_GB2312" w:hAnsi="仿宋_GB2312" w:eastAsia="仿宋_GB2312"/>
          <w:b w:val="0"/>
          <w:sz w:val="32"/>
        </w:rPr>
        <w:t>13.交通运输支出(类)公路水路运输(款)其他公路水路运输支出(项):支出决算数为140.62万元，比上年决算增加5.67万元，增长4.20%,主要原因是：本年在职人员工资调增，相关人员经费增加；本年功能科目调整，部分事业编人员失业和工伤保险支出上年在其他行政事业单位医疗支出科目列支，本年调整至其他公路水路运输支出科目列支，导致经费较上年增加。</w:t>
      </w:r>
    </w:p>
    <w:p w14:paraId="2676ED6B">
      <w:pPr>
        <w:spacing w:line="580" w:lineRule="exact"/>
        <w:ind w:firstLine="640"/>
        <w:jc w:val="both"/>
      </w:pPr>
      <w:r>
        <w:rPr>
          <w:rFonts w:ascii="仿宋_GB2312" w:hAnsi="仿宋_GB2312" w:eastAsia="仿宋_GB2312"/>
          <w:b w:val="0"/>
          <w:sz w:val="32"/>
        </w:rPr>
        <w:t>14.交通运输支出(类)车辆购置税支出(款)车辆购置税用于农村公路建设支出(项):支出决算数为0.00万元，比上年决算减少2,675.00万元，下降100.00%,主要原因是：本年功能科目调整，S304线哈尔莫敦至巴音郭楞（霍尔古吐至红旗牧场）公路项目经费上年在车辆购置税用于农村公路建设支出科目列支，本科目调整至公路建设科目列支，导致经费较上年减少。</w:t>
      </w:r>
    </w:p>
    <w:p w14:paraId="136F69DA">
      <w:pPr>
        <w:spacing w:line="580" w:lineRule="exact"/>
        <w:ind w:firstLine="640"/>
        <w:jc w:val="both"/>
      </w:pPr>
      <w:r>
        <w:rPr>
          <w:rFonts w:ascii="仿宋_GB2312" w:hAnsi="仿宋_GB2312" w:eastAsia="仿宋_GB2312"/>
          <w:b w:val="0"/>
          <w:sz w:val="32"/>
        </w:rPr>
        <w:t>15.住房保障支出(类)住房改革支出(款)住房公积金(项):支出决算数为36.78万元，比上年决算增加3.37万元，增长10.09%,主要原因是：本年在职人员工资基数调增，公积金缴费基数上涨，相应支出增加。</w:t>
      </w:r>
    </w:p>
    <w:p w14:paraId="7F59D820">
      <w:pPr>
        <w:spacing w:line="640" w:lineRule="exact"/>
        <w:ind w:firstLine="640"/>
        <w:jc w:val="both"/>
        <w:outlineLvl w:val="2"/>
      </w:pPr>
      <w:r>
        <w:rPr>
          <w:rFonts w:ascii="黑体" w:hAnsi="黑体" w:eastAsia="黑体"/>
          <w:sz w:val="32"/>
        </w:rPr>
        <w:t>六、一般公共预算财政拨款基本支出决算情况说明</w:t>
      </w:r>
    </w:p>
    <w:p w14:paraId="56DD8B7C">
      <w:pPr>
        <w:spacing w:line="580" w:lineRule="exact"/>
        <w:ind w:firstLine="640"/>
        <w:jc w:val="both"/>
      </w:pPr>
      <w:r>
        <w:rPr>
          <w:rFonts w:ascii="仿宋_GB2312" w:hAnsi="仿宋_GB2312" w:eastAsia="仿宋_GB2312"/>
          <w:b w:val="0"/>
          <w:sz w:val="32"/>
        </w:rPr>
        <w:t>2024年度一般公共预算财政拨款基本支出528.65万元，其中：</w:t>
      </w:r>
      <w:r>
        <w:rPr>
          <w:rFonts w:ascii="仿宋_GB2312" w:hAnsi="仿宋_GB2312" w:eastAsia="仿宋_GB2312"/>
          <w:b/>
          <w:sz w:val="32"/>
        </w:rPr>
        <w:t>人员经费496.24万元，</w:t>
      </w:r>
      <w:r>
        <w:rPr>
          <w:rFonts w:ascii="仿宋_GB2312" w:hAnsi="仿宋_GB2312" w:eastAsia="仿宋_GB2312"/>
          <w:b w:val="0"/>
          <w:sz w:val="32"/>
        </w:rPr>
        <w:t>包括：基本工资、津贴补贴、奖金、伙食补助费、机关事业单位基本养老保险缴费、职工基本医疗保险缴费、公务员医疗补助缴费、其他社会保障缴费、住房公积金、退休费、抚恤金、生活补助、奖励金。</w:t>
      </w:r>
    </w:p>
    <w:p w14:paraId="03EDA58D">
      <w:pPr>
        <w:spacing w:line="580" w:lineRule="exact"/>
        <w:ind w:firstLine="640"/>
        <w:jc w:val="both"/>
      </w:pPr>
      <w:r>
        <w:rPr>
          <w:rFonts w:ascii="仿宋_GB2312" w:hAnsi="仿宋_GB2312" w:eastAsia="仿宋_GB2312"/>
          <w:b/>
          <w:sz w:val="32"/>
        </w:rPr>
        <w:t>公用经费32.41万元，</w:t>
      </w:r>
      <w:r>
        <w:rPr>
          <w:rFonts w:ascii="仿宋_GB2312" w:hAnsi="仿宋_GB2312" w:eastAsia="仿宋_GB2312"/>
          <w:b w:val="0"/>
          <w:sz w:val="32"/>
        </w:rPr>
        <w:t>包括：办公费、水费、电费、邮电费、取暖费、差旅费、培训费、公务接待费、工会经费、福利费、公务用车运行维护费、其他商品和服务支出。</w:t>
      </w:r>
    </w:p>
    <w:p w14:paraId="1EE0CE6C">
      <w:pPr>
        <w:spacing w:line="640" w:lineRule="exact"/>
        <w:ind w:firstLine="640"/>
        <w:jc w:val="both"/>
        <w:outlineLvl w:val="2"/>
      </w:pPr>
      <w:r>
        <w:rPr>
          <w:rFonts w:ascii="黑体" w:hAnsi="黑体" w:eastAsia="黑体"/>
          <w:sz w:val="32"/>
        </w:rPr>
        <w:t>七、政府性基金预算财政拨款收入支出决算情况说明</w:t>
      </w:r>
    </w:p>
    <w:p w14:paraId="421A7448">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35E905B">
      <w:pPr>
        <w:spacing w:line="640" w:lineRule="exact"/>
        <w:ind w:firstLine="640"/>
        <w:jc w:val="both"/>
        <w:outlineLvl w:val="2"/>
      </w:pPr>
      <w:r>
        <w:rPr>
          <w:rFonts w:ascii="黑体" w:hAnsi="黑体" w:eastAsia="黑体"/>
          <w:sz w:val="32"/>
        </w:rPr>
        <w:t>八、国有资本经营预算财政拨款收入支出决算情况说明</w:t>
      </w:r>
    </w:p>
    <w:p w14:paraId="4632AC7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278AC41">
      <w:pPr>
        <w:spacing w:line="640" w:lineRule="exact"/>
        <w:ind w:firstLine="640"/>
        <w:jc w:val="both"/>
        <w:outlineLvl w:val="2"/>
      </w:pPr>
      <w:r>
        <w:rPr>
          <w:rFonts w:ascii="黑体" w:hAnsi="黑体" w:eastAsia="黑体"/>
          <w:sz w:val="32"/>
        </w:rPr>
        <w:t>九、财政拨款“三公”经费支出决算情况说明</w:t>
      </w:r>
    </w:p>
    <w:p w14:paraId="5B8038D2">
      <w:pPr>
        <w:spacing w:line="580" w:lineRule="exact"/>
        <w:ind w:firstLine="640"/>
        <w:jc w:val="both"/>
      </w:pPr>
      <w:r>
        <w:rPr>
          <w:rFonts w:ascii="仿宋_GB2312" w:hAnsi="仿宋_GB2312" w:eastAsia="仿宋_GB2312"/>
          <w:b/>
          <w:sz w:val="32"/>
        </w:rPr>
        <w:t>2024年度财政拨款“三公”经费支出13.35万元，</w:t>
      </w:r>
      <w:r>
        <w:rPr>
          <w:rFonts w:ascii="仿宋_GB2312" w:hAnsi="仿宋_GB2312" w:eastAsia="仿宋_GB2312"/>
          <w:b w:val="0"/>
          <w:sz w:val="32"/>
        </w:rPr>
        <w:t>比上年增加1.50万元，增长12.66%，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12.25万元，占91.76%，比上年增加1.50万元，增长13.95%，主要原因是：本年因业务需求，用车次数增加，燃油费增加，导致公务用车运行维护费较上年增加。公务接待费支出1.10万元，占8.24%，比上年增加0.00万元，增长0.00%，主要原因是：本年公务接待费与上年一致无变化。</w:t>
      </w:r>
    </w:p>
    <w:p w14:paraId="365B54B6">
      <w:pPr>
        <w:spacing w:line="580" w:lineRule="exact"/>
        <w:ind w:firstLine="640"/>
        <w:jc w:val="both"/>
      </w:pPr>
      <w:r>
        <w:rPr>
          <w:rFonts w:ascii="仿宋_GB2312" w:hAnsi="仿宋_GB2312" w:eastAsia="仿宋_GB2312"/>
          <w:b/>
          <w:sz w:val="32"/>
        </w:rPr>
        <w:t>具体情况如下：</w:t>
      </w:r>
    </w:p>
    <w:p w14:paraId="33318E0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D624068">
      <w:pPr>
        <w:spacing w:line="580" w:lineRule="exact"/>
        <w:ind w:firstLine="640"/>
        <w:jc w:val="both"/>
      </w:pPr>
      <w:r>
        <w:rPr>
          <w:rFonts w:ascii="仿宋_GB2312" w:hAnsi="仿宋_GB2312" w:eastAsia="仿宋_GB2312"/>
          <w:b w:val="0"/>
          <w:sz w:val="32"/>
        </w:rPr>
        <w:t>公务用车购置及运行维护费12.25万元，其中：公务用车购置费0.00万元，公务用车运行维护费12.25万元。公务用车运行维护费开支内容包括车辆加油费、维修费、保险费、审车费、过路费。公务用车购置数0辆，公务用车保有量2辆。国有资产占用情况中固定资产车辆2辆，与公务用车保有量差异原因是：本单位固定资产车辆与公务用车保有量一致无差异。</w:t>
      </w:r>
    </w:p>
    <w:p w14:paraId="34901D2C">
      <w:pPr>
        <w:spacing w:line="580" w:lineRule="exact"/>
        <w:ind w:firstLine="640"/>
        <w:jc w:val="both"/>
      </w:pPr>
      <w:r>
        <w:rPr>
          <w:rFonts w:ascii="仿宋_GB2312" w:hAnsi="仿宋_GB2312" w:eastAsia="仿宋_GB2312"/>
          <w:b w:val="0"/>
          <w:sz w:val="32"/>
        </w:rPr>
        <w:t>公务接待费1.10万元，开支内容包括因工作需要，接待上级领导督导检查产生的就餐费。单位全年安排的国内公务接待13批次，104人次。</w:t>
      </w:r>
    </w:p>
    <w:p w14:paraId="16DEA5B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13.35万元，决算数13.35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12.25万元，决算数12.25万元，预决算差异率0.00%，主要原因是：严格按照预算执行，预决算无差异。公务接待费全年预算数1.10万元，决算数1.10万元，预决算差异率0.00%，主要原因是：严格按照预算执行，预决算无差异。</w:t>
      </w:r>
    </w:p>
    <w:p w14:paraId="34A91118">
      <w:pPr>
        <w:spacing w:line="640" w:lineRule="exact"/>
        <w:ind w:firstLine="640"/>
        <w:jc w:val="both"/>
        <w:outlineLvl w:val="2"/>
      </w:pPr>
      <w:r>
        <w:rPr>
          <w:rFonts w:ascii="黑体" w:hAnsi="黑体" w:eastAsia="黑体"/>
          <w:sz w:val="32"/>
        </w:rPr>
        <w:t>十、其他重要事项的情况说明</w:t>
      </w:r>
    </w:p>
    <w:p w14:paraId="70A5A6BA">
      <w:pPr>
        <w:spacing w:line="640" w:lineRule="exact"/>
        <w:ind w:firstLine="640"/>
        <w:jc w:val="both"/>
        <w:outlineLvl w:val="3"/>
      </w:pPr>
      <w:r>
        <w:rPr>
          <w:rFonts w:ascii="楷体_GB2312" w:hAnsi="楷体_GB2312" w:eastAsia="楷体_GB2312"/>
          <w:b/>
          <w:sz w:val="32"/>
        </w:rPr>
        <w:t>（一）机关运行经费及公用经费支出情况</w:t>
      </w:r>
    </w:p>
    <w:p w14:paraId="67E098D8">
      <w:pPr>
        <w:spacing w:line="580" w:lineRule="exact"/>
        <w:ind w:firstLine="640"/>
        <w:jc w:val="both"/>
      </w:pPr>
      <w:r>
        <w:rPr>
          <w:rFonts w:ascii="仿宋_GB2312" w:hAnsi="仿宋_GB2312" w:eastAsia="仿宋_GB2312"/>
          <w:b w:val="0"/>
          <w:sz w:val="32"/>
        </w:rPr>
        <w:t>2024年度巴音郭楞蒙古自治州交通运输局（行政单位和参照公务员法管理事业单位）机关运行经费支出32.41万元，比上年减少0.90万元，下降2.70%，主要原因是：严格控制经费，合理节约办公用品，减少不必要开支。</w:t>
      </w:r>
    </w:p>
    <w:p w14:paraId="6D2BC048">
      <w:pPr>
        <w:spacing w:line="640" w:lineRule="exact"/>
        <w:ind w:firstLine="640"/>
        <w:jc w:val="both"/>
        <w:outlineLvl w:val="3"/>
      </w:pPr>
      <w:r>
        <w:rPr>
          <w:rFonts w:ascii="楷体_GB2312" w:hAnsi="楷体_GB2312" w:eastAsia="楷体_GB2312"/>
          <w:b/>
          <w:sz w:val="32"/>
        </w:rPr>
        <w:t>（二）政府采购情况</w:t>
      </w:r>
    </w:p>
    <w:p w14:paraId="2B49E0FD">
      <w:pPr>
        <w:spacing w:line="580" w:lineRule="exact"/>
        <w:ind w:firstLine="640"/>
        <w:jc w:val="both"/>
      </w:pPr>
      <w:r>
        <w:rPr>
          <w:rFonts w:ascii="仿宋_GB2312" w:hAnsi="仿宋_GB2312" w:eastAsia="仿宋_GB2312"/>
          <w:b w:val="0"/>
          <w:sz w:val="32"/>
        </w:rPr>
        <w:t>2024年度政府采购支出总额50.29万元，其中：政府采购货物支出22.86万元、政府采购工程支出0.00万元、政府采购服务支出27.43万元。</w:t>
      </w:r>
    </w:p>
    <w:p w14:paraId="187A2E0F">
      <w:pPr>
        <w:spacing w:line="580" w:lineRule="exact"/>
        <w:ind w:firstLine="640"/>
        <w:jc w:val="both"/>
      </w:pPr>
      <w:r>
        <w:rPr>
          <w:rFonts w:ascii="仿宋_GB2312" w:hAnsi="仿宋_GB2312" w:eastAsia="仿宋_GB2312"/>
          <w:b w:val="0"/>
          <w:sz w:val="32"/>
        </w:rPr>
        <w:t>授予中小企业合同金额10.14万元，占政府采购支出总额的20.16%，其中：授予小微企业合同金额9.74万元，占政府采购支出总额的19.37%。</w:t>
      </w:r>
    </w:p>
    <w:p w14:paraId="6E9320DC">
      <w:pPr>
        <w:spacing w:line="640" w:lineRule="exact"/>
        <w:ind w:firstLine="640"/>
        <w:jc w:val="both"/>
        <w:outlineLvl w:val="3"/>
      </w:pPr>
      <w:r>
        <w:rPr>
          <w:rFonts w:ascii="楷体_GB2312" w:hAnsi="楷体_GB2312" w:eastAsia="楷体_GB2312"/>
          <w:b/>
          <w:sz w:val="32"/>
        </w:rPr>
        <w:t>（三）国有资产占用情况说明</w:t>
      </w:r>
    </w:p>
    <w:p w14:paraId="26381E7E">
      <w:pPr>
        <w:spacing w:line="580" w:lineRule="exact"/>
        <w:ind w:firstLine="640"/>
        <w:jc w:val="both"/>
      </w:pPr>
      <w:r>
        <w:rPr>
          <w:rFonts w:ascii="仿宋_GB2312" w:hAnsi="仿宋_GB2312" w:eastAsia="仿宋_GB2312"/>
          <w:b w:val="0"/>
          <w:sz w:val="32"/>
        </w:rPr>
        <w:t>截至2024年12月31日，房屋4,794.72平方米，价值250.15万元。车辆2辆，价值97.49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46C0118D">
      <w:pPr>
        <w:spacing w:line="640" w:lineRule="exact"/>
        <w:ind w:firstLine="640"/>
        <w:jc w:val="both"/>
        <w:outlineLvl w:val="2"/>
      </w:pPr>
      <w:r>
        <w:rPr>
          <w:rFonts w:ascii="黑体" w:hAnsi="黑体" w:eastAsia="黑体"/>
          <w:sz w:val="32"/>
        </w:rPr>
        <w:t>十一、预算绩效的情况说明</w:t>
      </w:r>
    </w:p>
    <w:p w14:paraId="0AE1E97B">
      <w:pPr>
        <w:spacing w:line="580" w:lineRule="exact"/>
        <w:ind w:firstLine="640"/>
        <w:jc w:val="both"/>
      </w:pPr>
      <w:r>
        <w:rPr>
          <w:rFonts w:ascii="仿宋_GB2312" w:hAnsi="仿宋_GB2312" w:eastAsia="仿宋_GB2312"/>
          <w:b w:val="0"/>
          <w:sz w:val="32"/>
        </w:rPr>
        <w:t>根据预算绩效管理要求，本单位预算绩效评价项目7个，全年预算数24,073.67万元，全年执行数24,045.04万元。预算绩效管理取得的成效：一是本单位以绩效目标实现为导向，加强制度建设，提升预算执行质量，促进绩效目标顺利实现；二是自落实预算绩效管理工作以来，本单位在项目资金的使用上有了更明确、更清晰地理解和认识。通过实施预算绩效管理，树立了绩效优先的管理理念，也很好地避免了在经费使用上出现违规行为的概率，提升了部门管理水平和资金使用效益，为全面实施绩效管理打下了坚实的基础。发现的问题及原因：一是对绩效目标偏差问题缺乏有效分析，从而导致填报的内容相对简单；二是在部门整体支出的资金安排和使用上仍有不可预见性，在经费支出科学化精细化管理上还有待加强。下一步改进措施：一是加强学习，提高对绩效管理的认识，提高对绩效管理的重视度，对相关人员进行培训与宣传，树立事前、事中、事后全过程的监督评价机制；二是建立明确的绩效管理计划，绩效计划应对执行绩效管理作出深入细致的规划，保证各个环节有人负责，保证整个绩效管理过程可以追踪和考核。具体附项目支出绩效自评表和评价报告。</w:t>
      </w:r>
    </w:p>
    <w:p w14:paraId="779B5C6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776"/>
        <w:gridCol w:w="632"/>
        <w:gridCol w:w="632"/>
      </w:tblGrid>
      <w:tr w14:paraId="51E76842">
        <w:tblPrEx>
          <w:tblCellMar>
            <w:top w:w="0" w:type="dxa"/>
            <w:left w:w="108" w:type="dxa"/>
            <w:bottom w:w="0" w:type="dxa"/>
            <w:right w:w="108" w:type="dxa"/>
          </w:tblCellMar>
        </w:tblPrEx>
        <w:tc>
          <w:tcPr>
            <w:tcW w:w="8848" w:type="dxa"/>
            <w:gridSpan w:val="14"/>
            <w:vAlign w:val="center"/>
          </w:tcPr>
          <w:p w14:paraId="3FD960CA">
            <w:pPr>
              <w:jc w:val="center"/>
            </w:pPr>
            <w:r>
              <w:rPr>
                <w:rFonts w:ascii="宋体" w:hAnsi="宋体" w:eastAsia="宋体"/>
                <w:sz w:val="24"/>
              </w:rPr>
              <w:t>项目支出绩效自评表</w:t>
            </w:r>
          </w:p>
        </w:tc>
      </w:tr>
      <w:tr w14:paraId="5025BBF2">
        <w:tblPrEx>
          <w:tblCellMar>
            <w:top w:w="0" w:type="dxa"/>
            <w:left w:w="108" w:type="dxa"/>
            <w:bottom w:w="0" w:type="dxa"/>
            <w:right w:w="108" w:type="dxa"/>
          </w:tblCellMar>
        </w:tblPrEx>
        <w:tc>
          <w:tcPr>
            <w:tcW w:w="8848" w:type="dxa"/>
            <w:gridSpan w:val="14"/>
            <w:vAlign w:val="center"/>
          </w:tcPr>
          <w:p w14:paraId="1651A633">
            <w:pPr>
              <w:jc w:val="center"/>
            </w:pPr>
            <w:r>
              <w:rPr>
                <w:rFonts w:ascii="宋体" w:hAnsi="宋体" w:eastAsia="宋体"/>
                <w:sz w:val="24"/>
              </w:rPr>
              <w:t>(2024年度)</w:t>
            </w:r>
          </w:p>
        </w:tc>
      </w:tr>
      <w:tr w14:paraId="7894E9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8572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4A2942">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46F897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F5DE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E3034B">
            <w:pPr>
              <w:jc w:val="center"/>
            </w:pPr>
            <w:r>
              <w:rPr>
                <w:rFonts w:ascii="宋体" w:hAnsi="宋体" w:eastAsia="宋体"/>
                <w:sz w:val="16"/>
              </w:rPr>
              <w:t>巴音郭楞蒙古自治州交通运输局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D62F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F6EA73">
            <w:pPr>
              <w:jc w:val="center"/>
            </w:pPr>
            <w:r>
              <w:rPr>
                <w:rFonts w:ascii="宋体" w:hAnsi="宋体" w:eastAsia="宋体"/>
                <w:sz w:val="16"/>
              </w:rPr>
              <w:t>巴音郭楞蒙古自治州交通运输局</w:t>
            </w:r>
          </w:p>
        </w:tc>
      </w:tr>
      <w:tr w14:paraId="41A1AC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F550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DA9B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53CD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9383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3F8B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524C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1FA3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77B82">
            <w:pPr>
              <w:jc w:val="center"/>
            </w:pPr>
            <w:r>
              <w:rPr>
                <w:rFonts w:ascii="宋体" w:hAnsi="宋体" w:eastAsia="宋体"/>
                <w:sz w:val="16"/>
              </w:rPr>
              <w:t>得分</w:t>
            </w:r>
          </w:p>
        </w:tc>
      </w:tr>
      <w:tr w14:paraId="6ED871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E2C45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CD6F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0EAFB">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23C0E">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19A33">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C38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17F0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85EBC">
            <w:pPr>
              <w:jc w:val="center"/>
            </w:pPr>
            <w:r>
              <w:rPr>
                <w:rFonts w:ascii="宋体" w:hAnsi="宋体" w:eastAsia="宋体"/>
                <w:sz w:val="16"/>
              </w:rPr>
              <w:t>10.00</w:t>
            </w:r>
          </w:p>
        </w:tc>
      </w:tr>
      <w:tr w14:paraId="4154AE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EF1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28D6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76A69">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8DA42">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BEF62">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0E0F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0C1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100F7">
            <w:pPr>
              <w:jc w:val="center"/>
            </w:pPr>
            <w:r>
              <w:rPr>
                <w:rFonts w:ascii="宋体" w:hAnsi="宋体" w:eastAsia="宋体"/>
                <w:sz w:val="16"/>
              </w:rPr>
              <w:t>-</w:t>
            </w:r>
          </w:p>
        </w:tc>
      </w:tr>
      <w:tr w14:paraId="675C8F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402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409C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8FF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CF2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C61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2B0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239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558C9">
            <w:pPr>
              <w:jc w:val="center"/>
            </w:pPr>
            <w:r>
              <w:rPr>
                <w:rFonts w:ascii="宋体" w:hAnsi="宋体" w:eastAsia="宋体"/>
                <w:sz w:val="16"/>
              </w:rPr>
              <w:t>-</w:t>
            </w:r>
          </w:p>
        </w:tc>
      </w:tr>
      <w:tr w14:paraId="21DC10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239AA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45EBB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361B4C">
            <w:pPr>
              <w:jc w:val="center"/>
            </w:pPr>
            <w:r>
              <w:rPr>
                <w:rFonts w:ascii="宋体" w:hAnsi="宋体" w:eastAsia="宋体"/>
                <w:sz w:val="16"/>
              </w:rPr>
              <w:t>总体目标完成情况</w:t>
            </w:r>
          </w:p>
        </w:tc>
      </w:tr>
      <w:tr w14:paraId="5E935B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5F97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B5540D">
            <w:pPr>
              <w:jc w:val="both"/>
            </w:pPr>
            <w:r>
              <w:rPr>
                <w:rFonts w:ascii="宋体" w:hAnsi="宋体" w:eastAsia="宋体"/>
                <w:sz w:val="16"/>
              </w:rPr>
              <w:t>根据《关于拨付2024年自治区</w:t>
            </w:r>
            <w:r>
              <w:rPr>
                <w:rFonts w:hint="eastAsia" w:ascii="宋体" w:hAnsi="宋体"/>
                <w:sz w:val="16"/>
                <w:lang w:eastAsia="zh-CN"/>
              </w:rPr>
              <w:t>为民办实事</w:t>
            </w:r>
            <w:r>
              <w:rPr>
                <w:rFonts w:ascii="宋体" w:hAnsi="宋体" w:eastAsia="宋体"/>
                <w:sz w:val="16"/>
              </w:rPr>
              <w:t>工作专项经费的通知》，我局在且末县阿羌镇依山干村</w:t>
            </w:r>
            <w:r>
              <w:rPr>
                <w:rFonts w:hint="eastAsia" w:ascii="宋体" w:hAnsi="宋体"/>
                <w:sz w:val="16"/>
                <w:lang w:eastAsia="zh-CN"/>
              </w:rPr>
              <w:t>派出为民办实事</w:t>
            </w:r>
            <w:r>
              <w:rPr>
                <w:rFonts w:ascii="宋体" w:hAnsi="宋体" w:eastAsia="宋体"/>
                <w:sz w:val="16"/>
              </w:rPr>
              <w:t>工作队，派出第一书记一名，为改善基础设施建设，提高牧民收入，</w:t>
            </w:r>
            <w:r>
              <w:rPr>
                <w:rFonts w:hint="eastAsia" w:ascii="宋体" w:hAnsi="宋体"/>
                <w:sz w:val="16"/>
                <w:lang w:eastAsia="zh-CN"/>
              </w:rPr>
              <w:t>巩固拓展脱贫攻坚成果</w:t>
            </w:r>
            <w:r>
              <w:rPr>
                <w:rFonts w:ascii="宋体" w:hAnsi="宋体" w:eastAsia="宋体"/>
                <w:sz w:val="16"/>
              </w:rPr>
              <w:t>，结合主题教育，深入调查研究，检视问题，狠抓整改落实，着力在转变干部作风，加强民族团结，促进民族团结和谐，保障改善民生，维护社会稳定，强化基层基础等方面取得突破性进展,完成为民办实事工作专项保障。通过访贫问苦，为依山干村村民购买慰问品,为群众送信息、送服务、送温暖；给困难牧民进行房屋修缮、社区辖区绿化、管道维修、井盖更换、办公楼暖气、自来水管维护（维修）等；补充村级组织工作经费，购买办公用品、耗材。</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FD09FE">
            <w:pPr>
              <w:jc w:val="both"/>
            </w:pPr>
            <w:r>
              <w:rPr>
                <w:rFonts w:ascii="宋体" w:hAnsi="宋体" w:eastAsia="宋体"/>
                <w:sz w:val="16"/>
              </w:rPr>
              <w:t>为民办实事工作经费，一部分用于依山干村贫困户、四老人员、残疾人、低保户的访贫问苦慰问活动，一部分用于补贴村民冬季采暖所需电费，一部分用于支持村里各类节日组织开展活动经费和补充村级办公用品经费，年度内全部使用完毕，完成了为民办实事工作的专项保障。</w:t>
            </w:r>
          </w:p>
        </w:tc>
      </w:tr>
      <w:tr w14:paraId="773210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F82F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1483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3426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A511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1630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51AC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31F9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4CFD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3E23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068C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C403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F694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0B1D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722A9">
            <w:pPr>
              <w:jc w:val="center"/>
            </w:pPr>
            <w:r>
              <w:rPr>
                <w:rFonts w:ascii="宋体" w:hAnsi="宋体" w:eastAsia="宋体"/>
                <w:sz w:val="16"/>
              </w:rPr>
              <w:t>偏差原因分析及改进措施</w:t>
            </w:r>
          </w:p>
        </w:tc>
      </w:tr>
      <w:tr w14:paraId="7CB8C4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89B6B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B8996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D8507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A31A9">
            <w:pPr>
              <w:jc w:val="center"/>
            </w:pPr>
            <w:r>
              <w:rPr>
                <w:rFonts w:hint="eastAsia" w:ascii="宋体" w:hAnsi="宋体"/>
                <w:sz w:val="16"/>
                <w:lang w:eastAsia="zh-CN"/>
              </w:rPr>
              <w:t>为民办实事</w:t>
            </w:r>
            <w:r>
              <w:rPr>
                <w:rFonts w:ascii="宋体" w:hAnsi="宋体" w:eastAsia="宋体"/>
                <w:sz w:val="16"/>
              </w:rPr>
              <w:t>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DB5B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B0B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CCE9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658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AAB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246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AB3E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F9A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194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EF76D">
            <w:pPr>
              <w:jc w:val="center"/>
            </w:pPr>
          </w:p>
        </w:tc>
      </w:tr>
      <w:tr w14:paraId="2BBB6E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53C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186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41B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7836F">
            <w:pPr>
              <w:jc w:val="center"/>
            </w:pPr>
            <w:r>
              <w:rPr>
                <w:rFonts w:ascii="宋体" w:hAnsi="宋体" w:eastAsia="宋体"/>
                <w:sz w:val="16"/>
              </w:rPr>
              <w:t>担任第一书记人数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98CBF">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897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8B7EA">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DDB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918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E5F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1E809">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984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55A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04DD2">
            <w:pPr>
              <w:jc w:val="center"/>
            </w:pPr>
          </w:p>
        </w:tc>
      </w:tr>
      <w:tr w14:paraId="79E8C4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47F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8DD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6D79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50542">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20E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84A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7C8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6AB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A44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B6B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CFC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69B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1E4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2DD6C">
            <w:pPr>
              <w:jc w:val="center"/>
            </w:pPr>
          </w:p>
        </w:tc>
      </w:tr>
      <w:tr w14:paraId="2FA5B2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873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9FA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5CAD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BA942">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D72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5AE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B5F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3FD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45A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AEF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142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E2C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A34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9D1AD">
            <w:pPr>
              <w:jc w:val="center"/>
            </w:pPr>
          </w:p>
        </w:tc>
      </w:tr>
      <w:tr w14:paraId="492BDE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5A2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868A4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29BF1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77CEA">
            <w:pPr>
              <w:jc w:val="center"/>
            </w:pPr>
            <w:r>
              <w:rPr>
                <w:rFonts w:hint="eastAsia" w:ascii="宋体" w:hAnsi="宋体"/>
                <w:sz w:val="16"/>
                <w:lang w:eastAsia="zh-CN"/>
              </w:rPr>
              <w:t>为民办实事</w:t>
            </w:r>
            <w:r>
              <w:rPr>
                <w:rFonts w:ascii="宋体" w:hAnsi="宋体" w:eastAsia="宋体"/>
                <w:sz w:val="16"/>
              </w:rPr>
              <w:t>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5376C">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7B9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E75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E6F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F25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FE1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C1EC5">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C53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813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BAC0F">
            <w:pPr>
              <w:jc w:val="center"/>
            </w:pPr>
          </w:p>
        </w:tc>
      </w:tr>
      <w:tr w14:paraId="47149E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590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EDA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7DF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BF8E8">
            <w:pPr>
              <w:jc w:val="center"/>
            </w:pPr>
            <w:r>
              <w:rPr>
                <w:rFonts w:ascii="宋体" w:hAnsi="宋体" w:eastAsia="宋体"/>
                <w:sz w:val="16"/>
              </w:rPr>
              <w:t>第一书记经费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102C4">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8CE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025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D97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4FC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DC9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07F8B">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DC9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0C3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43A7C">
            <w:pPr>
              <w:jc w:val="center"/>
            </w:pPr>
          </w:p>
        </w:tc>
      </w:tr>
      <w:tr w14:paraId="7F01BC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918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76C8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FE6E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D23D6">
            <w:pPr>
              <w:jc w:val="center"/>
            </w:pPr>
            <w:r>
              <w:rPr>
                <w:rFonts w:ascii="宋体" w:hAnsi="宋体" w:eastAsia="宋体"/>
                <w:sz w:val="16"/>
              </w:rPr>
              <w:t>受益村民户数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6D614">
            <w:pPr>
              <w:jc w:val="center"/>
            </w:pPr>
            <w:r>
              <w:rPr>
                <w:rFonts w:ascii="宋体" w:hAnsi="宋体" w:eastAsia="宋体"/>
                <w:sz w:val="16"/>
              </w:rPr>
              <w:t>&gt;=45户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2CD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E67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02DB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ECD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C2A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0821E">
            <w:pPr>
              <w:jc w:val="center"/>
            </w:pPr>
            <w:r>
              <w:rPr>
                <w:rFonts w:ascii="宋体" w:hAnsi="宋体" w:eastAsia="宋体"/>
                <w:sz w:val="16"/>
              </w:rPr>
              <w:t>=49户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EAB53">
            <w:pPr>
              <w:jc w:val="center"/>
            </w:pPr>
            <w:r>
              <w:rPr>
                <w:rFonts w:ascii="宋体" w:hAnsi="宋体" w:eastAsia="宋体"/>
                <w:sz w:val="16"/>
              </w:rPr>
              <w:t>108.89%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01DFD">
            <w:pPr>
              <w:jc w:val="center"/>
            </w:pPr>
            <w:r>
              <w:rPr>
                <w:rFonts w:ascii="宋体" w:hAnsi="宋体" w:eastAsia="宋体"/>
                <w:sz w:val="16"/>
              </w:rPr>
              <w:t>18.22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E00CA">
            <w:pPr>
              <w:jc w:val="center"/>
            </w:pPr>
            <w:r>
              <w:rPr>
                <w:rFonts w:ascii="宋体" w:hAnsi="宋体" w:eastAsia="宋体"/>
                <w:sz w:val="16"/>
              </w:rPr>
              <w:t>偏差原因：年内村名户数增加。改进措施：根据实际情况及时调整绩效目标。</w:t>
            </w:r>
          </w:p>
        </w:tc>
      </w:tr>
      <w:tr w14:paraId="6252B8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411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5109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3E76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FE97F">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5F53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81A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BC2F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2EA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C15A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FBE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A9D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6198D">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A99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B8B9F">
            <w:pPr>
              <w:jc w:val="center"/>
            </w:pPr>
            <w:r>
              <w:rPr>
                <w:rFonts w:ascii="宋体" w:hAnsi="宋体" w:eastAsia="宋体"/>
                <w:sz w:val="16"/>
              </w:rPr>
              <w:t>偏差原因：满意度指标设置较低。改进措施：根据实际情况及时调整绩效目标。</w:t>
            </w:r>
          </w:p>
        </w:tc>
      </w:tr>
      <w:tr w14:paraId="796A55B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5D15D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B6A6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7D26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7FC3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FD9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F2BB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915B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E32F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0F7D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DF282">
            <w:pPr>
              <w:jc w:val="center"/>
            </w:pPr>
            <w:r>
              <w:rPr>
                <w:rFonts w:ascii="宋体" w:hAnsi="宋体" w:eastAsia="宋体"/>
                <w:sz w:val="16"/>
              </w:rPr>
              <w:t>98.22分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0EBDAC"/>
        </w:tc>
      </w:tr>
    </w:tbl>
    <w:p w14:paraId="5E58DF62">
      <w:r>
        <w:br w:type="page"/>
      </w:r>
    </w:p>
    <w:tbl>
      <w:tblPr>
        <w:tblStyle w:val="9"/>
        <w:tblW w:w="0" w:type="auto"/>
        <w:tblInd w:w="0" w:type="dxa"/>
        <w:tblLayout w:type="autofit"/>
        <w:tblCellMar>
          <w:top w:w="0" w:type="dxa"/>
          <w:left w:w="108" w:type="dxa"/>
          <w:bottom w:w="0" w:type="dxa"/>
          <w:right w:w="108" w:type="dxa"/>
        </w:tblCellMar>
      </w:tblPr>
      <w:tblGrid>
        <w:gridCol w:w="621"/>
        <w:gridCol w:w="602"/>
        <w:gridCol w:w="602"/>
        <w:gridCol w:w="602"/>
        <w:gridCol w:w="856"/>
        <w:gridCol w:w="616"/>
        <w:gridCol w:w="610"/>
        <w:gridCol w:w="619"/>
        <w:gridCol w:w="606"/>
        <w:gridCol w:w="602"/>
        <w:gridCol w:w="776"/>
        <w:gridCol w:w="621"/>
        <w:gridCol w:w="696"/>
        <w:gridCol w:w="631"/>
      </w:tblGrid>
      <w:tr w14:paraId="0A028AEC">
        <w:tblPrEx>
          <w:tblCellMar>
            <w:top w:w="0" w:type="dxa"/>
            <w:left w:w="108" w:type="dxa"/>
            <w:bottom w:w="0" w:type="dxa"/>
            <w:right w:w="108" w:type="dxa"/>
          </w:tblCellMar>
        </w:tblPrEx>
        <w:tc>
          <w:tcPr>
            <w:tcW w:w="8848" w:type="dxa"/>
            <w:gridSpan w:val="14"/>
            <w:vAlign w:val="center"/>
          </w:tcPr>
          <w:p w14:paraId="34352EFD">
            <w:pPr>
              <w:jc w:val="center"/>
            </w:pPr>
            <w:r>
              <w:rPr>
                <w:rFonts w:ascii="宋体" w:hAnsi="宋体" w:eastAsia="宋体"/>
                <w:sz w:val="24"/>
              </w:rPr>
              <w:t>项目支出绩效自评表</w:t>
            </w:r>
          </w:p>
        </w:tc>
      </w:tr>
      <w:tr w14:paraId="5FFE4802">
        <w:tblPrEx>
          <w:tblCellMar>
            <w:top w:w="0" w:type="dxa"/>
            <w:left w:w="108" w:type="dxa"/>
            <w:bottom w:w="0" w:type="dxa"/>
            <w:right w:w="108" w:type="dxa"/>
          </w:tblCellMar>
        </w:tblPrEx>
        <w:tc>
          <w:tcPr>
            <w:tcW w:w="8848" w:type="dxa"/>
            <w:gridSpan w:val="14"/>
            <w:vAlign w:val="center"/>
          </w:tcPr>
          <w:p w14:paraId="2EB2581E">
            <w:pPr>
              <w:jc w:val="center"/>
            </w:pPr>
            <w:r>
              <w:rPr>
                <w:rFonts w:ascii="宋体" w:hAnsi="宋体" w:eastAsia="宋体"/>
                <w:sz w:val="24"/>
              </w:rPr>
              <w:t>(2024年度)</w:t>
            </w:r>
          </w:p>
        </w:tc>
      </w:tr>
      <w:tr w14:paraId="3A6CCD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6B5A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7007D26">
            <w:pPr>
              <w:jc w:val="center"/>
            </w:pPr>
            <w:r>
              <w:rPr>
                <w:rFonts w:ascii="宋体" w:hAnsi="宋体" w:eastAsia="宋体"/>
                <w:sz w:val="16"/>
              </w:rPr>
              <w:t>G314乌什塔拉至G218扬水站公路建设</w:t>
            </w:r>
          </w:p>
        </w:tc>
      </w:tr>
      <w:tr w14:paraId="39A8E0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DD3E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1FFEF0">
            <w:pPr>
              <w:jc w:val="center"/>
            </w:pPr>
            <w:bookmarkStart w:id="0" w:name="_GoBack"/>
            <w:r>
              <w:rPr>
                <w:rFonts w:ascii="宋体" w:hAnsi="宋体" w:eastAsia="宋体"/>
                <w:sz w:val="16"/>
              </w:rPr>
              <w:t>巴音郭楞</w:t>
            </w:r>
            <w:bookmarkEnd w:id="0"/>
            <w:r>
              <w:rPr>
                <w:rFonts w:ascii="宋体" w:hAnsi="宋体" w:eastAsia="宋体"/>
                <w:sz w:val="16"/>
              </w:rPr>
              <w:t>蒙古自治州交通运输局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F1F2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0570D8">
            <w:pPr>
              <w:jc w:val="center"/>
            </w:pPr>
            <w:r>
              <w:rPr>
                <w:rFonts w:ascii="宋体" w:hAnsi="宋体" w:eastAsia="宋体"/>
                <w:sz w:val="16"/>
              </w:rPr>
              <w:t>巴音郭楞蒙古自治州交通运输局</w:t>
            </w:r>
          </w:p>
        </w:tc>
      </w:tr>
      <w:tr w14:paraId="3EC82D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09AA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59AB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04AA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2290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BD0C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CE53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00E0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96D63">
            <w:pPr>
              <w:jc w:val="center"/>
            </w:pPr>
            <w:r>
              <w:rPr>
                <w:rFonts w:ascii="宋体" w:hAnsi="宋体" w:eastAsia="宋体"/>
                <w:sz w:val="16"/>
              </w:rPr>
              <w:t>得分</w:t>
            </w:r>
          </w:p>
        </w:tc>
      </w:tr>
      <w:tr w14:paraId="6EBB0D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4B6A0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CB44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0D105">
            <w:pPr>
              <w:jc w:val="center"/>
            </w:pPr>
            <w:r>
              <w:rPr>
                <w:rFonts w:ascii="宋体" w:hAnsi="宋体" w:eastAsia="宋体"/>
                <w:sz w:val="16"/>
              </w:rPr>
              <w:t>4,500.00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02D5D">
            <w:pPr>
              <w:jc w:val="center"/>
            </w:pPr>
            <w:r>
              <w:rPr>
                <w:rFonts w:ascii="宋体" w:hAnsi="宋体" w:eastAsia="宋体"/>
                <w:sz w:val="16"/>
              </w:rPr>
              <w:t>19,593.22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8E529">
            <w:pPr>
              <w:jc w:val="center"/>
            </w:pPr>
            <w:r>
              <w:rPr>
                <w:rFonts w:ascii="宋体" w:hAnsi="宋体" w:eastAsia="宋体"/>
                <w:sz w:val="16"/>
              </w:rPr>
              <w:t>19,593.22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CEC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E3D9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EE153">
            <w:pPr>
              <w:jc w:val="center"/>
            </w:pPr>
            <w:r>
              <w:rPr>
                <w:rFonts w:ascii="宋体" w:hAnsi="宋体" w:eastAsia="宋体"/>
                <w:sz w:val="16"/>
              </w:rPr>
              <w:t>10.00</w:t>
            </w:r>
          </w:p>
        </w:tc>
      </w:tr>
      <w:tr w14:paraId="4209B0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986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E0C5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F291B">
            <w:pPr>
              <w:jc w:val="center"/>
            </w:pPr>
            <w:r>
              <w:rPr>
                <w:rFonts w:ascii="宋体" w:hAnsi="宋体" w:eastAsia="宋体"/>
                <w:sz w:val="16"/>
              </w:rPr>
              <w:t>4,500.00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6113C">
            <w:pPr>
              <w:jc w:val="center"/>
            </w:pPr>
            <w:r>
              <w:rPr>
                <w:rFonts w:ascii="宋体" w:hAnsi="宋体" w:eastAsia="宋体"/>
                <w:sz w:val="16"/>
              </w:rPr>
              <w:t>19,593.22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F0173">
            <w:pPr>
              <w:jc w:val="center"/>
            </w:pPr>
            <w:r>
              <w:rPr>
                <w:rFonts w:ascii="宋体" w:hAnsi="宋体" w:eastAsia="宋体"/>
                <w:sz w:val="16"/>
              </w:rPr>
              <w:t>19,593.22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1CD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F36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27485">
            <w:pPr>
              <w:jc w:val="center"/>
            </w:pPr>
            <w:r>
              <w:rPr>
                <w:rFonts w:ascii="宋体" w:hAnsi="宋体" w:eastAsia="宋体"/>
                <w:sz w:val="16"/>
              </w:rPr>
              <w:t>-</w:t>
            </w:r>
          </w:p>
        </w:tc>
      </w:tr>
      <w:tr w14:paraId="06D69C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D21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8041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249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CCD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574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C67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0F1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44AD2">
            <w:pPr>
              <w:jc w:val="center"/>
            </w:pPr>
            <w:r>
              <w:rPr>
                <w:rFonts w:ascii="宋体" w:hAnsi="宋体" w:eastAsia="宋体"/>
                <w:sz w:val="16"/>
              </w:rPr>
              <w:t>-</w:t>
            </w:r>
          </w:p>
        </w:tc>
      </w:tr>
      <w:tr w14:paraId="13AD6C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F1CE0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B01ED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E6B7DC">
            <w:pPr>
              <w:jc w:val="center"/>
            </w:pPr>
            <w:r>
              <w:rPr>
                <w:rFonts w:ascii="宋体" w:hAnsi="宋体" w:eastAsia="宋体"/>
                <w:sz w:val="16"/>
              </w:rPr>
              <w:t>总体目标完成情况</w:t>
            </w:r>
          </w:p>
        </w:tc>
      </w:tr>
      <w:tr w14:paraId="1D1EFE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80E0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106B4D">
            <w:pPr>
              <w:jc w:val="both"/>
            </w:pPr>
            <w:r>
              <w:rPr>
                <w:rFonts w:ascii="宋体" w:hAnsi="宋体" w:eastAsia="宋体"/>
                <w:sz w:val="16"/>
              </w:rPr>
              <w:t>确保G314乌什塔拉至G218扬水站公路建设项目136.828公里顺利实施，进而完善旅游公路网络，促进旅游产业发展。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8359B7">
            <w:pPr>
              <w:jc w:val="both"/>
            </w:pPr>
            <w:r>
              <w:rPr>
                <w:rFonts w:ascii="宋体" w:hAnsi="宋体" w:eastAsia="宋体"/>
                <w:sz w:val="16"/>
              </w:rPr>
              <w:t>G314乌什塔拉至G218扬水站公路建设项目顺利实施，完成了全线的征地及拆迁范围136公里，完成工程建设编制报告5套，完成路基和桥涵建设里程114公里，资金全部按时合规</w:t>
            </w:r>
            <w:r>
              <w:rPr>
                <w:rFonts w:hint="eastAsia" w:ascii="宋体" w:hAnsi="宋体"/>
                <w:sz w:val="16"/>
                <w:lang w:eastAsia="zh-CN"/>
              </w:rPr>
              <w:t>地支付</w:t>
            </w:r>
            <w:r>
              <w:rPr>
                <w:rFonts w:ascii="宋体" w:hAnsi="宋体" w:eastAsia="宋体"/>
                <w:sz w:val="16"/>
              </w:rPr>
              <w:t>完毕。</w:t>
            </w:r>
          </w:p>
        </w:tc>
      </w:tr>
      <w:tr w14:paraId="0D05D3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B908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2F4F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CED1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3E69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AF61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2EFC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0C6B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E8C7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69B8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023B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2936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E9C6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0BC8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4103B">
            <w:pPr>
              <w:jc w:val="center"/>
            </w:pPr>
            <w:r>
              <w:rPr>
                <w:rFonts w:ascii="宋体" w:hAnsi="宋体" w:eastAsia="宋体"/>
                <w:sz w:val="16"/>
              </w:rPr>
              <w:t>偏差原因分析及改进措施</w:t>
            </w:r>
          </w:p>
        </w:tc>
      </w:tr>
      <w:tr w14:paraId="694FF9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5D2CA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ED0B7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0327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73870">
            <w:pPr>
              <w:jc w:val="center"/>
            </w:pPr>
            <w:r>
              <w:rPr>
                <w:rFonts w:ascii="宋体" w:hAnsi="宋体" w:eastAsia="宋体"/>
                <w:sz w:val="16"/>
              </w:rPr>
              <w:t>完成路基和桥涵建设里程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C441D">
            <w:pPr>
              <w:jc w:val="center"/>
            </w:pPr>
            <w:r>
              <w:rPr>
                <w:rFonts w:ascii="宋体" w:hAnsi="宋体" w:eastAsia="宋体"/>
                <w:sz w:val="16"/>
              </w:rPr>
              <w:t>&gt;=136.82公里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49F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AA3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F103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33C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3B9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E9139">
            <w:pPr>
              <w:jc w:val="center"/>
            </w:pPr>
            <w:r>
              <w:rPr>
                <w:rFonts w:ascii="宋体" w:hAnsi="宋体" w:eastAsia="宋体"/>
                <w:sz w:val="16"/>
              </w:rPr>
              <w:t>=136.82公里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2CE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4699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1965D">
            <w:pPr>
              <w:jc w:val="center"/>
            </w:pPr>
          </w:p>
        </w:tc>
      </w:tr>
      <w:tr w14:paraId="78F36D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74B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AA63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0C56B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B7393">
            <w:pPr>
              <w:jc w:val="center"/>
            </w:pPr>
            <w:r>
              <w:rPr>
                <w:rFonts w:ascii="宋体" w:hAnsi="宋体" w:eastAsia="宋体"/>
                <w:sz w:val="16"/>
              </w:rPr>
              <w:t>路基桥涵质量合格率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C586C">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6E3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A37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41A7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B20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5C9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EEDA6">
            <w:pPr>
              <w:jc w:val="center"/>
            </w:pPr>
            <w:r>
              <w:rPr>
                <w:rFonts w:ascii="宋体" w:hAnsi="宋体" w:eastAsia="宋体"/>
                <w:sz w:val="16"/>
              </w:rPr>
              <w:t>=95.5%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16B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A3DC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E76F8">
            <w:pPr>
              <w:jc w:val="center"/>
            </w:pPr>
          </w:p>
        </w:tc>
      </w:tr>
      <w:tr w14:paraId="247E8E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F0B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169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94D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C87F7">
            <w:pPr>
              <w:jc w:val="center"/>
            </w:pPr>
            <w:r>
              <w:rPr>
                <w:rFonts w:ascii="宋体" w:hAnsi="宋体" w:eastAsia="宋体"/>
                <w:sz w:val="16"/>
              </w:rPr>
              <w:t>项目环评合格率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F962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B6D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534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6B79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73E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A97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4C9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D85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F80A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6E4A0">
            <w:pPr>
              <w:jc w:val="center"/>
            </w:pPr>
          </w:p>
        </w:tc>
      </w:tr>
      <w:tr w14:paraId="78C3F9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8C3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51B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89AC8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DE2DA">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56A6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9E9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577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2E1D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6BE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177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065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8D9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6A49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21562">
            <w:pPr>
              <w:jc w:val="center"/>
            </w:pPr>
          </w:p>
        </w:tc>
      </w:tr>
      <w:tr w14:paraId="5CEA31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201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E58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CF0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3083A">
            <w:pPr>
              <w:jc w:val="center"/>
            </w:pPr>
            <w:r>
              <w:rPr>
                <w:rFonts w:ascii="宋体" w:hAnsi="宋体" w:eastAsia="宋体"/>
                <w:sz w:val="16"/>
              </w:rPr>
              <w:t>项目按计划开工率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8445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EB3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9F3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05D8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EF1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DC6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73D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6C4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1FAE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81930">
            <w:pPr>
              <w:jc w:val="center"/>
            </w:pPr>
          </w:p>
        </w:tc>
      </w:tr>
      <w:tr w14:paraId="3111D1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897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9B4C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CE7B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F3974">
            <w:pPr>
              <w:jc w:val="center"/>
            </w:pPr>
            <w:r>
              <w:rPr>
                <w:rFonts w:ascii="宋体" w:hAnsi="宋体" w:eastAsia="宋体"/>
                <w:sz w:val="16"/>
              </w:rPr>
              <w:t>项目资金使用控制误差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13188">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143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78F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F28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CFA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C8F6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CB5D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488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C837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C1739">
            <w:pPr>
              <w:jc w:val="center"/>
            </w:pPr>
          </w:p>
        </w:tc>
      </w:tr>
      <w:tr w14:paraId="09097D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BB5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3B8E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0EE5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32F43">
            <w:pPr>
              <w:jc w:val="center"/>
            </w:pPr>
            <w:r>
              <w:rPr>
                <w:rFonts w:ascii="宋体" w:hAnsi="宋体" w:eastAsia="宋体"/>
                <w:sz w:val="16"/>
              </w:rPr>
              <w:t>推进博斯腾湖景区的开发利用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8EDBA">
            <w:pPr>
              <w:jc w:val="center"/>
            </w:pPr>
            <w:r>
              <w:rPr>
                <w:rFonts w:ascii="宋体" w:hAnsi="宋体" w:eastAsia="宋体"/>
                <w:sz w:val="16"/>
              </w:rPr>
              <w:t>逐步推进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333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9B4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1A3D5">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C8EC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B18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FEB2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C7A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BE9BF">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BB593">
            <w:pPr>
              <w:jc w:val="center"/>
            </w:pPr>
          </w:p>
        </w:tc>
      </w:tr>
      <w:tr w14:paraId="4AB4233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46242E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3237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D076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FE57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3D0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C44E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7291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1EB5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F1DC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1310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F98420"/>
        </w:tc>
      </w:tr>
    </w:tbl>
    <w:p w14:paraId="114CDD8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96"/>
        <w:gridCol w:w="632"/>
        <w:gridCol w:w="632"/>
      </w:tblGrid>
      <w:tr w14:paraId="4E9F16EA">
        <w:tblPrEx>
          <w:tblCellMar>
            <w:top w:w="0" w:type="dxa"/>
            <w:left w:w="108" w:type="dxa"/>
            <w:bottom w:w="0" w:type="dxa"/>
            <w:right w:w="108" w:type="dxa"/>
          </w:tblCellMar>
        </w:tblPrEx>
        <w:tc>
          <w:tcPr>
            <w:tcW w:w="8848" w:type="dxa"/>
            <w:gridSpan w:val="14"/>
            <w:vAlign w:val="center"/>
          </w:tcPr>
          <w:p w14:paraId="6BF219CA">
            <w:pPr>
              <w:jc w:val="center"/>
            </w:pPr>
            <w:r>
              <w:rPr>
                <w:rFonts w:ascii="宋体" w:hAnsi="宋体" w:eastAsia="宋体"/>
                <w:sz w:val="24"/>
              </w:rPr>
              <w:t>项目支出绩效自评表</w:t>
            </w:r>
          </w:p>
        </w:tc>
      </w:tr>
      <w:tr w14:paraId="0AA7E75B">
        <w:tblPrEx>
          <w:tblCellMar>
            <w:top w:w="0" w:type="dxa"/>
            <w:left w:w="108" w:type="dxa"/>
            <w:bottom w:w="0" w:type="dxa"/>
            <w:right w:w="108" w:type="dxa"/>
          </w:tblCellMar>
        </w:tblPrEx>
        <w:tc>
          <w:tcPr>
            <w:tcW w:w="8848" w:type="dxa"/>
            <w:gridSpan w:val="14"/>
            <w:vAlign w:val="center"/>
          </w:tcPr>
          <w:p w14:paraId="5A67DDCC">
            <w:pPr>
              <w:jc w:val="center"/>
            </w:pPr>
            <w:r>
              <w:rPr>
                <w:rFonts w:ascii="宋体" w:hAnsi="宋体" w:eastAsia="宋体"/>
                <w:sz w:val="24"/>
              </w:rPr>
              <w:t>(2024年度)</w:t>
            </w:r>
          </w:p>
        </w:tc>
      </w:tr>
      <w:tr w14:paraId="0162CE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1478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346E35">
            <w:pPr>
              <w:jc w:val="center"/>
            </w:pPr>
            <w:r>
              <w:rPr>
                <w:rFonts w:ascii="宋体" w:hAnsi="宋体" w:eastAsia="宋体"/>
                <w:sz w:val="16"/>
              </w:rPr>
              <w:t>S340线哈尔莫敦至巴音郭楞（霍尔古吐至红旗牧场）公路建设项目</w:t>
            </w:r>
          </w:p>
        </w:tc>
      </w:tr>
      <w:tr w14:paraId="5B1DEB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0FF9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67D9DB">
            <w:pPr>
              <w:jc w:val="center"/>
            </w:pPr>
            <w:r>
              <w:rPr>
                <w:rFonts w:ascii="宋体" w:hAnsi="宋体" w:eastAsia="宋体"/>
                <w:sz w:val="16"/>
              </w:rPr>
              <w:t>巴音郭楞蒙古自治州交通运输局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6399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424202">
            <w:pPr>
              <w:jc w:val="center"/>
            </w:pPr>
            <w:r>
              <w:rPr>
                <w:rFonts w:ascii="宋体" w:hAnsi="宋体" w:eastAsia="宋体"/>
                <w:sz w:val="16"/>
              </w:rPr>
              <w:t>巴音郭楞蒙古自治州交通运输局</w:t>
            </w:r>
          </w:p>
        </w:tc>
      </w:tr>
      <w:tr w14:paraId="35E332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8B49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2482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AF97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9840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A9F9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FC1C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E9F7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C4AEE">
            <w:pPr>
              <w:jc w:val="center"/>
            </w:pPr>
            <w:r>
              <w:rPr>
                <w:rFonts w:ascii="宋体" w:hAnsi="宋体" w:eastAsia="宋体"/>
                <w:sz w:val="16"/>
              </w:rPr>
              <w:t>得分</w:t>
            </w:r>
          </w:p>
        </w:tc>
      </w:tr>
      <w:tr w14:paraId="79177F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6D5A9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5B0C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5F71A">
            <w:pPr>
              <w:jc w:val="center"/>
            </w:pPr>
            <w:r>
              <w:rPr>
                <w:rFonts w:ascii="宋体" w:hAnsi="宋体" w:eastAsia="宋体"/>
                <w:sz w:val="16"/>
              </w:rPr>
              <w:t>2,738.00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7C34E">
            <w:pPr>
              <w:jc w:val="center"/>
            </w:pPr>
            <w:r>
              <w:rPr>
                <w:rFonts w:ascii="宋体" w:hAnsi="宋体" w:eastAsia="宋体"/>
                <w:sz w:val="16"/>
              </w:rPr>
              <w:t>4,063.00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75A0F">
            <w:pPr>
              <w:jc w:val="center"/>
            </w:pPr>
            <w:r>
              <w:rPr>
                <w:rFonts w:ascii="宋体" w:hAnsi="宋体" w:eastAsia="宋体"/>
                <w:sz w:val="16"/>
              </w:rPr>
              <w:t>4,063.00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D0F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A1D0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EB756">
            <w:pPr>
              <w:jc w:val="center"/>
            </w:pPr>
            <w:r>
              <w:rPr>
                <w:rFonts w:ascii="宋体" w:hAnsi="宋体" w:eastAsia="宋体"/>
                <w:sz w:val="16"/>
              </w:rPr>
              <w:t>10.00</w:t>
            </w:r>
          </w:p>
        </w:tc>
      </w:tr>
      <w:tr w14:paraId="74A65B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724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4747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97E6D">
            <w:pPr>
              <w:jc w:val="center"/>
            </w:pPr>
            <w:r>
              <w:rPr>
                <w:rFonts w:ascii="宋体" w:hAnsi="宋体" w:eastAsia="宋体"/>
                <w:sz w:val="16"/>
              </w:rPr>
              <w:t>2,738.00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64286">
            <w:pPr>
              <w:jc w:val="center"/>
            </w:pPr>
            <w:r>
              <w:rPr>
                <w:rFonts w:ascii="宋体" w:hAnsi="宋体" w:eastAsia="宋体"/>
                <w:sz w:val="16"/>
              </w:rPr>
              <w:t>4,063.00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A4D5B">
            <w:pPr>
              <w:jc w:val="center"/>
            </w:pPr>
            <w:r>
              <w:rPr>
                <w:rFonts w:ascii="宋体" w:hAnsi="宋体" w:eastAsia="宋体"/>
                <w:sz w:val="16"/>
              </w:rPr>
              <w:t>4,063.00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7550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F7B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38A3F">
            <w:pPr>
              <w:jc w:val="center"/>
            </w:pPr>
            <w:r>
              <w:rPr>
                <w:rFonts w:ascii="宋体" w:hAnsi="宋体" w:eastAsia="宋体"/>
                <w:sz w:val="16"/>
              </w:rPr>
              <w:t>-</w:t>
            </w:r>
          </w:p>
        </w:tc>
      </w:tr>
      <w:tr w14:paraId="7FF131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A90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681E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ED7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2A5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7D8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76A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500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492A2">
            <w:pPr>
              <w:jc w:val="center"/>
            </w:pPr>
            <w:r>
              <w:rPr>
                <w:rFonts w:ascii="宋体" w:hAnsi="宋体" w:eastAsia="宋体"/>
                <w:sz w:val="16"/>
              </w:rPr>
              <w:t>-</w:t>
            </w:r>
          </w:p>
        </w:tc>
      </w:tr>
      <w:tr w14:paraId="670B62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C45C0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7B4B4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F131D4">
            <w:pPr>
              <w:jc w:val="center"/>
            </w:pPr>
            <w:r>
              <w:rPr>
                <w:rFonts w:ascii="宋体" w:hAnsi="宋体" w:eastAsia="宋体"/>
                <w:sz w:val="16"/>
              </w:rPr>
              <w:t>总体目标完成情况</w:t>
            </w:r>
          </w:p>
        </w:tc>
      </w:tr>
      <w:tr w14:paraId="7AA47A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406D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A7F3AA">
            <w:pPr>
              <w:jc w:val="both"/>
            </w:pPr>
            <w:r>
              <w:rPr>
                <w:rFonts w:ascii="宋体" w:hAnsi="宋体" w:eastAsia="宋体"/>
                <w:sz w:val="16"/>
              </w:rPr>
              <w:t>根据巴财建</w:t>
            </w:r>
            <w:r>
              <w:rPr>
                <w:rFonts w:hint="eastAsia" w:ascii="宋体" w:hAnsi="宋体"/>
                <w:sz w:val="16"/>
                <w:lang w:eastAsia="zh-CN"/>
              </w:rPr>
              <w:t>〔2023〕137号</w:t>
            </w:r>
            <w:r>
              <w:rPr>
                <w:rFonts w:ascii="宋体" w:hAnsi="宋体" w:eastAsia="宋体"/>
                <w:sz w:val="16"/>
              </w:rPr>
              <w:t>文件要求，通过开展本项目，由中交一公局巴州建设有限公司投资建设，线路全长66.219KM，双向两车道新建二级公路标准建设，2024年计划完成S340哈尔莫墩至巴音郭楞公路项目桥涵、桥梁、路基工程，完成K147-K192 段水稳及路面工程施工。项目总投资10.2亿，运营期30年，PPP融资模式。项目开工至2023年年底累计完成投资4.0432亿元，2024年计划完成总工程量的34%，计划完成投资3.533亿元（财政拨款4063万元）。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489158">
            <w:pPr>
              <w:jc w:val="both"/>
            </w:pPr>
            <w:r>
              <w:rPr>
                <w:rFonts w:ascii="宋体" w:hAnsi="宋体" w:eastAsia="宋体"/>
                <w:sz w:val="16"/>
              </w:rPr>
              <w:t>支持S340线哈尔莫敦至巴音郭楞（霍尔古吐至红旗牧场段）公路普通省道建设项目，按期完成投资，进行质量监督抽检，对经济发展起到促进作用，提升基本公共服务水平及公路安全水平，改善通行服务水平。</w:t>
            </w:r>
          </w:p>
        </w:tc>
      </w:tr>
      <w:tr w14:paraId="4B542E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E581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0629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2ED8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8FFA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4D84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97F1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93FD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672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9D63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3189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62DA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6072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33E3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BB325">
            <w:pPr>
              <w:jc w:val="center"/>
            </w:pPr>
            <w:r>
              <w:rPr>
                <w:rFonts w:ascii="宋体" w:hAnsi="宋体" w:eastAsia="宋体"/>
                <w:sz w:val="16"/>
              </w:rPr>
              <w:t>偏差原因分析及改进措施</w:t>
            </w:r>
          </w:p>
        </w:tc>
      </w:tr>
      <w:tr w14:paraId="1E1E75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7CE2B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7791D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034E0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D0FA0">
            <w:pPr>
              <w:jc w:val="center"/>
            </w:pPr>
            <w:r>
              <w:rPr>
                <w:rFonts w:ascii="宋体" w:hAnsi="宋体" w:eastAsia="宋体"/>
                <w:sz w:val="16"/>
              </w:rPr>
              <w:t>支持普通省道建设项目个数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73A9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C79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E7C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78A8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7D1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7C6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51F4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750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80C5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20AEE">
            <w:pPr>
              <w:jc w:val="center"/>
            </w:pPr>
          </w:p>
        </w:tc>
      </w:tr>
      <w:tr w14:paraId="513197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B4C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4BC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296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C20BA">
            <w:pPr>
              <w:jc w:val="center"/>
            </w:pPr>
            <w:r>
              <w:rPr>
                <w:rFonts w:ascii="宋体" w:hAnsi="宋体" w:eastAsia="宋体"/>
                <w:sz w:val="16"/>
              </w:rPr>
              <w:t>支持普通省道建设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45E2D">
            <w:pPr>
              <w:jc w:val="center"/>
            </w:pPr>
            <w:r>
              <w:rPr>
                <w:rFonts w:ascii="宋体" w:hAnsi="宋体" w:eastAsia="宋体"/>
                <w:sz w:val="16"/>
              </w:rPr>
              <w:t>=66公里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282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BA9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F5F2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A5D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120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C543D">
            <w:pPr>
              <w:jc w:val="center"/>
            </w:pPr>
            <w:r>
              <w:rPr>
                <w:rFonts w:ascii="宋体" w:hAnsi="宋体" w:eastAsia="宋体"/>
                <w:sz w:val="16"/>
              </w:rPr>
              <w:t>=66公里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431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06A4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6970E">
            <w:pPr>
              <w:jc w:val="center"/>
            </w:pPr>
          </w:p>
        </w:tc>
      </w:tr>
      <w:tr w14:paraId="7F7151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384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C904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0FF87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FDAD2">
            <w:pPr>
              <w:jc w:val="center"/>
            </w:pPr>
            <w:r>
              <w:rPr>
                <w:rFonts w:ascii="宋体" w:hAnsi="宋体" w:eastAsia="宋体"/>
                <w:sz w:val="16"/>
              </w:rPr>
              <w:t>资金使用合规性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AB7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CD0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6BF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836A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D46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48F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952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E48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B53E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3B856">
            <w:pPr>
              <w:jc w:val="center"/>
            </w:pPr>
          </w:p>
        </w:tc>
      </w:tr>
      <w:tr w14:paraId="36B6B6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2F9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11F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BE9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354EF">
            <w:pPr>
              <w:jc w:val="center"/>
            </w:pPr>
            <w:r>
              <w:rPr>
                <w:rFonts w:ascii="宋体" w:hAnsi="宋体" w:eastAsia="宋体"/>
                <w:sz w:val="16"/>
              </w:rPr>
              <w:t>完工项目验收合格率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121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6DE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F22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EF43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1CE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6EB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A45BD">
            <w:pPr>
              <w:jc w:val="center"/>
            </w:pPr>
            <w:r>
              <w:rPr>
                <w:rFonts w:ascii="宋体" w:hAnsi="宋体" w:eastAsia="宋体"/>
                <w:sz w:val="16"/>
              </w:rPr>
              <w:t>=91.15%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1CC1B">
            <w:pPr>
              <w:jc w:val="center"/>
            </w:pPr>
            <w:r>
              <w:rPr>
                <w:rFonts w:ascii="宋体" w:hAnsi="宋体" w:eastAsia="宋体"/>
                <w:sz w:val="16"/>
              </w:rPr>
              <w:t>91.15%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83F96">
            <w:pPr>
              <w:jc w:val="center"/>
            </w:pPr>
            <w:r>
              <w:rPr>
                <w:rFonts w:ascii="宋体" w:hAnsi="宋体" w:eastAsia="宋体"/>
                <w:sz w:val="16"/>
              </w:rPr>
              <w:t>5.45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245FB">
            <w:pPr>
              <w:jc w:val="center"/>
            </w:pPr>
            <w:r>
              <w:rPr>
                <w:rFonts w:ascii="宋体" w:hAnsi="宋体" w:eastAsia="宋体"/>
                <w:sz w:val="16"/>
              </w:rPr>
              <w:t>偏差原因：施工方未能严格精准要求，改进措施：已要求施工单位</w:t>
            </w:r>
            <w:r>
              <w:rPr>
                <w:rFonts w:hint="eastAsia" w:ascii="宋体" w:hAnsi="宋体"/>
                <w:sz w:val="16"/>
                <w:lang w:eastAsia="zh-CN"/>
              </w:rPr>
              <w:t>进行</w:t>
            </w:r>
            <w:r>
              <w:rPr>
                <w:rFonts w:ascii="宋体" w:hAnsi="宋体" w:eastAsia="宋体"/>
                <w:sz w:val="16"/>
              </w:rPr>
              <w:t>严肃整改。</w:t>
            </w:r>
          </w:p>
        </w:tc>
      </w:tr>
      <w:tr w14:paraId="46858D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088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66D1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D8FF9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A2AFE">
            <w:pPr>
              <w:jc w:val="center"/>
            </w:pPr>
            <w:r>
              <w:rPr>
                <w:rFonts w:ascii="宋体" w:hAnsi="宋体" w:eastAsia="宋体"/>
                <w:sz w:val="16"/>
              </w:rPr>
              <w:t>按期完成投资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142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FC9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034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FDA3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D00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15E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904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A0A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587C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27BFE">
            <w:pPr>
              <w:jc w:val="center"/>
            </w:pPr>
          </w:p>
        </w:tc>
      </w:tr>
      <w:tr w14:paraId="516F27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F33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C7E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39D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146B8">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AA4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9CC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8CC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9F26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0EB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4A5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74F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205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CF59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6A66D">
            <w:pPr>
              <w:jc w:val="center"/>
            </w:pPr>
          </w:p>
        </w:tc>
      </w:tr>
      <w:tr w14:paraId="421BB2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CDB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1F679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7C156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EE743">
            <w:pPr>
              <w:jc w:val="center"/>
            </w:pPr>
            <w:r>
              <w:rPr>
                <w:rFonts w:ascii="宋体" w:hAnsi="宋体" w:eastAsia="宋体"/>
                <w:sz w:val="16"/>
              </w:rPr>
              <w:t>项目支出符合概算批复的标准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212C5">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B60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08C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160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7864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144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ACFD4">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20B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F2A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C842D">
            <w:pPr>
              <w:jc w:val="center"/>
            </w:pPr>
          </w:p>
        </w:tc>
      </w:tr>
      <w:tr w14:paraId="42FF8C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F51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EBC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FD1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28385">
            <w:pPr>
              <w:jc w:val="center"/>
            </w:pPr>
            <w:r>
              <w:rPr>
                <w:rFonts w:ascii="宋体" w:hAnsi="宋体" w:eastAsia="宋体"/>
                <w:sz w:val="16"/>
              </w:rPr>
              <w:t>项目资金使用控制误差率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250E0">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D2D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F82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F57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BEBA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E8BA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3943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396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D85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40362">
            <w:pPr>
              <w:jc w:val="center"/>
            </w:pPr>
          </w:p>
        </w:tc>
      </w:tr>
      <w:tr w14:paraId="71FE34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742D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3EFAA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9384F">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19109">
            <w:pPr>
              <w:jc w:val="center"/>
            </w:pPr>
            <w:r>
              <w:rPr>
                <w:rFonts w:ascii="宋体" w:hAnsi="宋体" w:eastAsia="宋体"/>
                <w:sz w:val="16"/>
              </w:rPr>
              <w:t>对经济发展的促进作用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48804">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B3A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825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6F50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FF07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ED4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8079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331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1098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C13B2">
            <w:pPr>
              <w:jc w:val="center"/>
            </w:pPr>
          </w:p>
        </w:tc>
      </w:tr>
      <w:tr w14:paraId="7EAE10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669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45E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7C5E5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19982">
            <w:pPr>
              <w:jc w:val="center"/>
            </w:pPr>
            <w:r>
              <w:rPr>
                <w:rFonts w:ascii="宋体" w:hAnsi="宋体" w:eastAsia="宋体"/>
                <w:sz w:val="16"/>
              </w:rPr>
              <w:t>基本公共服务水平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FF917">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875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043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E6BE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6208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E77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BE6C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879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F77A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E29D7">
            <w:pPr>
              <w:jc w:val="center"/>
            </w:pPr>
          </w:p>
        </w:tc>
      </w:tr>
      <w:tr w14:paraId="6813D3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293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37D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1AB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5A4F2">
            <w:pPr>
              <w:jc w:val="center"/>
            </w:pPr>
            <w:r>
              <w:rPr>
                <w:rFonts w:ascii="宋体" w:hAnsi="宋体" w:eastAsia="宋体"/>
                <w:sz w:val="16"/>
              </w:rPr>
              <w:t>公路安全水平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860BF">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7C1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742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B766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4536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1F2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29E54">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431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ACD0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D2337">
            <w:pPr>
              <w:jc w:val="center"/>
            </w:pPr>
          </w:p>
        </w:tc>
      </w:tr>
      <w:tr w14:paraId="44E0B6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896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F23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B88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85111">
            <w:pPr>
              <w:jc w:val="center"/>
            </w:pPr>
            <w:r>
              <w:rPr>
                <w:rFonts w:ascii="宋体" w:hAnsi="宋体" w:eastAsia="宋体"/>
                <w:sz w:val="16"/>
              </w:rPr>
              <w:t>新改建项目适应未来一定时期内交通需求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174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144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A10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CD7B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B5D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925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125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9F5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D988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94224">
            <w:pPr>
              <w:jc w:val="center"/>
            </w:pPr>
          </w:p>
        </w:tc>
      </w:tr>
      <w:tr w14:paraId="6D6EED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EC6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FEA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269B0">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648AE">
            <w:pPr>
              <w:jc w:val="center"/>
            </w:pPr>
            <w:r>
              <w:rPr>
                <w:rFonts w:ascii="宋体" w:hAnsi="宋体" w:eastAsia="宋体"/>
                <w:sz w:val="16"/>
              </w:rPr>
              <w:t>交通建设符合环评审批要求合格率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DC7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4E1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9BB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B016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C5C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DFA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31B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D6B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D8D0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940D3">
            <w:pPr>
              <w:jc w:val="center"/>
            </w:pPr>
          </w:p>
        </w:tc>
      </w:tr>
      <w:tr w14:paraId="5ABB12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31E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2F14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BAA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5AA47">
            <w:pPr>
              <w:jc w:val="center"/>
            </w:pPr>
            <w:r>
              <w:rPr>
                <w:rFonts w:ascii="宋体" w:hAnsi="宋体" w:eastAsia="宋体"/>
                <w:sz w:val="16"/>
              </w:rPr>
              <w:t>改善通行服务水平群众满意度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3B744">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BC0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85C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5F6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CC3C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873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9AB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022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F43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7D430">
            <w:pPr>
              <w:jc w:val="center"/>
            </w:pPr>
            <w:r>
              <w:rPr>
                <w:rFonts w:ascii="宋体" w:hAnsi="宋体" w:eastAsia="宋体"/>
                <w:sz w:val="16"/>
              </w:rPr>
              <w:t>偏差原因：满意度指标设置较低，改进措施：精准设置满意度指标并作出及时调整。</w:t>
            </w:r>
          </w:p>
        </w:tc>
      </w:tr>
      <w:tr w14:paraId="35D94C2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412FB8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CC8C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0B58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FFF2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518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7477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5B3E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74CC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492F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5CBAC">
            <w:pPr>
              <w:jc w:val="center"/>
            </w:pPr>
            <w:r>
              <w:rPr>
                <w:rFonts w:ascii="宋体" w:hAnsi="宋体" w:eastAsia="宋体"/>
                <w:sz w:val="16"/>
              </w:rPr>
              <w:t>98.45分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A98116"/>
        </w:tc>
      </w:tr>
    </w:tbl>
    <w:p w14:paraId="5E11227F">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696"/>
        <w:gridCol w:w="615"/>
        <w:gridCol w:w="615"/>
        <w:gridCol w:w="620"/>
        <w:gridCol w:w="615"/>
        <w:gridCol w:w="615"/>
        <w:gridCol w:w="776"/>
        <w:gridCol w:w="776"/>
        <w:gridCol w:w="631"/>
        <w:gridCol w:w="631"/>
      </w:tblGrid>
      <w:tr w14:paraId="32268A45">
        <w:tblPrEx>
          <w:tblCellMar>
            <w:top w:w="0" w:type="dxa"/>
            <w:left w:w="108" w:type="dxa"/>
            <w:bottom w:w="0" w:type="dxa"/>
            <w:right w:w="108" w:type="dxa"/>
          </w:tblCellMar>
        </w:tblPrEx>
        <w:tc>
          <w:tcPr>
            <w:tcW w:w="8848" w:type="dxa"/>
            <w:gridSpan w:val="14"/>
            <w:vAlign w:val="center"/>
          </w:tcPr>
          <w:p w14:paraId="24E0A3FF">
            <w:pPr>
              <w:jc w:val="center"/>
            </w:pPr>
            <w:r>
              <w:rPr>
                <w:rFonts w:ascii="宋体" w:hAnsi="宋体" w:eastAsia="宋体"/>
                <w:sz w:val="24"/>
              </w:rPr>
              <w:t>项目支出绩效自评表</w:t>
            </w:r>
          </w:p>
        </w:tc>
      </w:tr>
      <w:tr w14:paraId="1EB104EF">
        <w:tblPrEx>
          <w:tblCellMar>
            <w:top w:w="0" w:type="dxa"/>
            <w:left w:w="108" w:type="dxa"/>
            <w:bottom w:w="0" w:type="dxa"/>
            <w:right w:w="108" w:type="dxa"/>
          </w:tblCellMar>
        </w:tblPrEx>
        <w:tc>
          <w:tcPr>
            <w:tcW w:w="8848" w:type="dxa"/>
            <w:gridSpan w:val="14"/>
            <w:vAlign w:val="center"/>
          </w:tcPr>
          <w:p w14:paraId="6BE18245">
            <w:pPr>
              <w:jc w:val="center"/>
            </w:pPr>
            <w:r>
              <w:rPr>
                <w:rFonts w:ascii="宋体" w:hAnsi="宋体" w:eastAsia="宋体"/>
                <w:sz w:val="24"/>
              </w:rPr>
              <w:t>(2024年度)</w:t>
            </w:r>
          </w:p>
        </w:tc>
      </w:tr>
      <w:tr w14:paraId="7839A5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E717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7AB6AA">
            <w:pPr>
              <w:jc w:val="center"/>
            </w:pPr>
            <w:r>
              <w:rPr>
                <w:rFonts w:ascii="宋体" w:hAnsi="宋体" w:eastAsia="宋体"/>
                <w:sz w:val="16"/>
              </w:rPr>
              <w:t>公路路政管理及质量监督</w:t>
            </w:r>
          </w:p>
        </w:tc>
      </w:tr>
      <w:tr w14:paraId="70DF97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0650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93C8B0">
            <w:pPr>
              <w:jc w:val="center"/>
            </w:pPr>
            <w:r>
              <w:rPr>
                <w:rFonts w:ascii="宋体" w:hAnsi="宋体" w:eastAsia="宋体"/>
                <w:sz w:val="16"/>
              </w:rPr>
              <w:t>巴音郭楞蒙古自治州交通运输局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29BD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DFCED5">
            <w:pPr>
              <w:jc w:val="center"/>
            </w:pPr>
            <w:r>
              <w:rPr>
                <w:rFonts w:ascii="宋体" w:hAnsi="宋体" w:eastAsia="宋体"/>
                <w:sz w:val="16"/>
              </w:rPr>
              <w:t>巴音郭楞蒙古自治州交通运输局</w:t>
            </w:r>
          </w:p>
        </w:tc>
      </w:tr>
      <w:tr w14:paraId="780DD1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4ADA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B4DC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5EC2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2C13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BCE5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BABA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CD94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913B2">
            <w:pPr>
              <w:jc w:val="center"/>
            </w:pPr>
            <w:r>
              <w:rPr>
                <w:rFonts w:ascii="宋体" w:hAnsi="宋体" w:eastAsia="宋体"/>
                <w:sz w:val="16"/>
              </w:rPr>
              <w:t>得分</w:t>
            </w:r>
          </w:p>
        </w:tc>
      </w:tr>
      <w:tr w14:paraId="3AE682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B4FC3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B68F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03329">
            <w:pPr>
              <w:jc w:val="center"/>
            </w:pPr>
            <w:r>
              <w:rPr>
                <w:rFonts w:ascii="宋体" w:hAnsi="宋体" w:eastAsia="宋体"/>
                <w:sz w:val="16"/>
              </w:rPr>
              <w:t>62.80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1EF24">
            <w:pPr>
              <w:jc w:val="center"/>
            </w:pPr>
            <w:r>
              <w:rPr>
                <w:rFonts w:ascii="宋体" w:hAnsi="宋体" w:eastAsia="宋体"/>
                <w:sz w:val="16"/>
              </w:rPr>
              <w:t>62.80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7F995">
            <w:pPr>
              <w:jc w:val="center"/>
            </w:pPr>
            <w:r>
              <w:rPr>
                <w:rFonts w:ascii="宋体" w:hAnsi="宋体" w:eastAsia="宋体"/>
                <w:sz w:val="16"/>
              </w:rPr>
              <w:t>62.80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4AA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3764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72E0B">
            <w:pPr>
              <w:jc w:val="center"/>
            </w:pPr>
            <w:r>
              <w:rPr>
                <w:rFonts w:ascii="宋体" w:hAnsi="宋体" w:eastAsia="宋体"/>
                <w:sz w:val="16"/>
              </w:rPr>
              <w:t>10.00</w:t>
            </w:r>
          </w:p>
        </w:tc>
      </w:tr>
      <w:tr w14:paraId="53A2BF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1B9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82DE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57B5A">
            <w:pPr>
              <w:jc w:val="center"/>
            </w:pPr>
            <w:r>
              <w:rPr>
                <w:rFonts w:ascii="宋体" w:hAnsi="宋体" w:eastAsia="宋体"/>
                <w:sz w:val="16"/>
              </w:rPr>
              <w:t>62.80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7447F">
            <w:pPr>
              <w:jc w:val="center"/>
            </w:pPr>
            <w:r>
              <w:rPr>
                <w:rFonts w:ascii="宋体" w:hAnsi="宋体" w:eastAsia="宋体"/>
                <w:sz w:val="16"/>
              </w:rPr>
              <w:t>62.80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0C57A">
            <w:pPr>
              <w:jc w:val="center"/>
            </w:pPr>
            <w:r>
              <w:rPr>
                <w:rFonts w:ascii="宋体" w:hAnsi="宋体" w:eastAsia="宋体"/>
                <w:sz w:val="16"/>
              </w:rPr>
              <w:t>62.80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8586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FF4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F35C4">
            <w:pPr>
              <w:jc w:val="center"/>
            </w:pPr>
            <w:r>
              <w:rPr>
                <w:rFonts w:ascii="宋体" w:hAnsi="宋体" w:eastAsia="宋体"/>
                <w:sz w:val="16"/>
              </w:rPr>
              <w:t>-</w:t>
            </w:r>
          </w:p>
        </w:tc>
      </w:tr>
      <w:tr w14:paraId="029150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969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0804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18D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4AC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DED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B59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D5E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5E572">
            <w:pPr>
              <w:jc w:val="center"/>
            </w:pPr>
            <w:r>
              <w:rPr>
                <w:rFonts w:ascii="宋体" w:hAnsi="宋体" w:eastAsia="宋体"/>
                <w:sz w:val="16"/>
              </w:rPr>
              <w:t>-</w:t>
            </w:r>
          </w:p>
        </w:tc>
      </w:tr>
      <w:tr w14:paraId="37225B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38004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EBCCE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C70210">
            <w:pPr>
              <w:jc w:val="center"/>
            </w:pPr>
            <w:r>
              <w:rPr>
                <w:rFonts w:ascii="宋体" w:hAnsi="宋体" w:eastAsia="宋体"/>
                <w:sz w:val="16"/>
              </w:rPr>
              <w:t>总体目标完成情况</w:t>
            </w:r>
          </w:p>
        </w:tc>
      </w:tr>
      <w:tr w14:paraId="1A68B1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08DA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4A5E88">
            <w:pPr>
              <w:jc w:val="both"/>
            </w:pPr>
            <w:r>
              <w:rPr>
                <w:rFonts w:ascii="宋体" w:hAnsi="宋体" w:eastAsia="宋体"/>
                <w:sz w:val="16"/>
              </w:rPr>
              <w:t>通过20次以上监督检查督促建设单位管理行使职责，监督设计、施工、监理等单位履约，节约交通建设资金，提高项目资金使用效率，规范项目管理，做好公路日常养护各项工作，切实做好路面和桥梁检测工作，保障和促进交通建设项目顺利建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205061">
            <w:pPr>
              <w:jc w:val="both"/>
            </w:pPr>
            <w:r>
              <w:rPr>
                <w:rFonts w:ascii="宋体" w:hAnsi="宋体" w:eastAsia="宋体"/>
                <w:sz w:val="16"/>
              </w:rPr>
              <w:t>通过项目实施，单位各科室业务工作正常运转，保障了监督检查督促建设单位管</w:t>
            </w:r>
            <w:r>
              <w:rPr>
                <w:rFonts w:hint="eastAsia" w:ascii="宋体" w:hAnsi="宋体"/>
                <w:sz w:val="16"/>
                <w:lang w:eastAsia="zh-CN"/>
              </w:rPr>
              <w:t>理和</w:t>
            </w:r>
            <w:r>
              <w:rPr>
                <w:rFonts w:ascii="宋体" w:hAnsi="宋体" w:eastAsia="宋体"/>
                <w:sz w:val="16"/>
              </w:rPr>
              <w:t>行使职责，提升交通运输安全管理能力，强化交通运输应急管理，同时，加快完善公路基础设施网络，提升建设管理水平，强化行业监管力度，落实监管措施，保证各项工作高效有序开展。</w:t>
            </w:r>
          </w:p>
        </w:tc>
      </w:tr>
      <w:tr w14:paraId="6039FB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268B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D5E4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118B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DF70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466C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58A9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D4CC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9601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630C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3173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3D3E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19F8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CF0B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0EE0E">
            <w:pPr>
              <w:jc w:val="center"/>
            </w:pPr>
            <w:r>
              <w:rPr>
                <w:rFonts w:ascii="宋体" w:hAnsi="宋体" w:eastAsia="宋体"/>
                <w:sz w:val="16"/>
              </w:rPr>
              <w:t>偏差原因分析及改进措施</w:t>
            </w:r>
          </w:p>
        </w:tc>
      </w:tr>
      <w:tr w14:paraId="3A7743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F7E49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20C34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135E4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A1F1A">
            <w:pPr>
              <w:jc w:val="center"/>
            </w:pPr>
            <w:r>
              <w:rPr>
                <w:rFonts w:ascii="宋体" w:hAnsi="宋体" w:eastAsia="宋体"/>
                <w:sz w:val="16"/>
              </w:rPr>
              <w:t>项目监督检查频次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47BC0">
            <w:pPr>
              <w:jc w:val="center"/>
            </w:pPr>
            <w:r>
              <w:rPr>
                <w:rFonts w:ascii="宋体" w:hAnsi="宋体" w:eastAsia="宋体"/>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D99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962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9291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8BD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9EE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D2267">
            <w:pPr>
              <w:jc w:val="center"/>
            </w:pPr>
            <w:r>
              <w:rPr>
                <w:rFonts w:ascii="宋体" w:hAnsi="宋体" w:eastAsia="宋体"/>
                <w:sz w:val="16"/>
              </w:rPr>
              <w: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5C2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FD78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8FBE1">
            <w:pPr>
              <w:jc w:val="center"/>
            </w:pPr>
          </w:p>
        </w:tc>
      </w:tr>
      <w:tr w14:paraId="604194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D41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E42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3D2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AED11">
            <w:pPr>
              <w:jc w:val="center"/>
            </w:pPr>
            <w:r>
              <w:rPr>
                <w:rFonts w:ascii="宋体" w:hAnsi="宋体" w:eastAsia="宋体"/>
                <w:sz w:val="16"/>
              </w:rPr>
              <w:t>完成检查报告数量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2CC8A">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9CD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9C1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6EFD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564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0B1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D3925">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734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189C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5A356">
            <w:pPr>
              <w:jc w:val="center"/>
            </w:pPr>
          </w:p>
        </w:tc>
      </w:tr>
      <w:tr w14:paraId="307CAB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EF2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53A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1B4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C3B49">
            <w:pPr>
              <w:jc w:val="center"/>
            </w:pPr>
            <w:r>
              <w:rPr>
                <w:rFonts w:ascii="宋体" w:hAnsi="宋体" w:eastAsia="宋体"/>
                <w:sz w:val="16"/>
              </w:rPr>
              <w:t>公务保障用车数量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BBF95">
            <w:pPr>
              <w:jc w:val="center"/>
            </w:pPr>
            <w:r>
              <w:rPr>
                <w:rFonts w:ascii="宋体" w:hAnsi="宋体" w:eastAsia="宋体"/>
                <w:sz w:val="16"/>
              </w:rPr>
              <w:t>&gt;=2辆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2CA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BAC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582F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F66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9A2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B57E3">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03B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22D7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EC956">
            <w:pPr>
              <w:jc w:val="center"/>
            </w:pPr>
          </w:p>
        </w:tc>
      </w:tr>
      <w:tr w14:paraId="304304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428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614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90D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C032A">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6F964">
            <w:pPr>
              <w:jc w:val="center"/>
            </w:pPr>
            <w:r>
              <w:rPr>
                <w:rFonts w:ascii="宋体" w:hAnsi="宋体" w:eastAsia="宋体"/>
                <w:sz w:val="16"/>
              </w:rPr>
              <w:t>&gt;=26人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995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0FE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D02A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D12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915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AC068">
            <w:pPr>
              <w:jc w:val="center"/>
            </w:pPr>
            <w:r>
              <w:rPr>
                <w:rFonts w:ascii="宋体" w:hAnsi="宋体" w:eastAsia="宋体"/>
                <w:sz w:val="16"/>
              </w:rPr>
              <w:t>=27人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5D6AA">
            <w:pPr>
              <w:jc w:val="center"/>
            </w:pPr>
            <w:r>
              <w:rPr>
                <w:rFonts w:ascii="宋体" w:hAnsi="宋体" w:eastAsia="宋体"/>
                <w:sz w:val="16"/>
              </w:rPr>
              <w:t>103.84%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E4E89">
            <w:pPr>
              <w:jc w:val="center"/>
            </w:pPr>
            <w:r>
              <w:rPr>
                <w:rFonts w:ascii="宋体" w:hAnsi="宋体" w:eastAsia="宋体"/>
                <w:sz w:val="16"/>
              </w:rPr>
              <w:t>3.85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1877C">
            <w:pPr>
              <w:jc w:val="center"/>
            </w:pPr>
            <w:r>
              <w:rPr>
                <w:rFonts w:ascii="宋体" w:hAnsi="宋体" w:eastAsia="宋体"/>
                <w:sz w:val="16"/>
              </w:rPr>
              <w:t>偏差原因：本年年内调入一人。改进措施：绩效目标根据实际情况</w:t>
            </w:r>
            <w:r>
              <w:rPr>
                <w:rFonts w:hint="eastAsia" w:ascii="宋体" w:hAnsi="宋体"/>
                <w:sz w:val="16"/>
                <w:lang w:eastAsia="zh-CN"/>
              </w:rPr>
              <w:t>进行</w:t>
            </w:r>
            <w:r>
              <w:rPr>
                <w:rFonts w:ascii="宋体" w:hAnsi="宋体" w:eastAsia="宋体"/>
                <w:sz w:val="16"/>
              </w:rPr>
              <w:t>调整。</w:t>
            </w:r>
          </w:p>
        </w:tc>
      </w:tr>
      <w:tr w14:paraId="264B5B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23C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FAF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265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7C4AD">
            <w:pPr>
              <w:jc w:val="center"/>
            </w:pPr>
            <w:r>
              <w:rPr>
                <w:rFonts w:ascii="宋体" w:hAnsi="宋体" w:eastAsia="宋体"/>
                <w:sz w:val="16"/>
              </w:rPr>
              <w:t>邮政快递行业监管数量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0B73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D2F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160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4CF1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41F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26E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A847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57E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C4C8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A9521">
            <w:pPr>
              <w:jc w:val="center"/>
            </w:pPr>
          </w:p>
        </w:tc>
      </w:tr>
      <w:tr w14:paraId="56D85E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38F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C4ED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B6F2B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249E1">
            <w:pPr>
              <w:jc w:val="center"/>
            </w:pPr>
            <w:r>
              <w:rPr>
                <w:rFonts w:ascii="宋体" w:hAnsi="宋体" w:eastAsia="宋体"/>
                <w:sz w:val="16"/>
              </w:rPr>
              <w:t>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F8B8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E95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78D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31F6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FFC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A6E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A9B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544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F837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847BF">
            <w:pPr>
              <w:jc w:val="center"/>
            </w:pPr>
          </w:p>
        </w:tc>
      </w:tr>
      <w:tr w14:paraId="17629C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4B2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748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25D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E7D9E">
            <w:pPr>
              <w:jc w:val="center"/>
            </w:pPr>
            <w:r>
              <w:rPr>
                <w:rFonts w:ascii="宋体" w:hAnsi="宋体" w:eastAsia="宋体"/>
                <w:sz w:val="16"/>
              </w:rPr>
              <w:t>邮政快递行业监管费用支付正确率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DBFA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BA4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2B5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B35F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B21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CDB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187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690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76C9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40C2D">
            <w:pPr>
              <w:jc w:val="center"/>
            </w:pPr>
          </w:p>
        </w:tc>
      </w:tr>
      <w:tr w14:paraId="645577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405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DB9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90E9E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B8D46">
            <w:pPr>
              <w:jc w:val="center"/>
            </w:pPr>
            <w:r>
              <w:rPr>
                <w:rFonts w:ascii="宋体" w:hAnsi="宋体" w:eastAsia="宋体"/>
                <w:sz w:val="16"/>
              </w:rPr>
              <w:t>年度检查任务按时完成率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700A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899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A02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EA34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923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814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54B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CC2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C61F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A560F">
            <w:pPr>
              <w:jc w:val="center"/>
            </w:pPr>
          </w:p>
        </w:tc>
      </w:tr>
      <w:tr w14:paraId="26D114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AA5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C0C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BEE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2EB14">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FD1E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3A9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F52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2722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86A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864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B2757">
            <w:pPr>
              <w:jc w:val="center"/>
            </w:pPr>
            <w:r>
              <w:rPr>
                <w:rFonts w:ascii="宋体" w:hAnsi="宋体" w:eastAsia="宋体"/>
                <w:sz w:val="16"/>
              </w:rPr>
              <w:t>=96.64%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890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2F95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28949">
            <w:pPr>
              <w:jc w:val="center"/>
            </w:pPr>
          </w:p>
        </w:tc>
      </w:tr>
      <w:tr w14:paraId="315364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541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BDE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A74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CE7F4">
            <w:pPr>
              <w:jc w:val="center"/>
            </w:pPr>
            <w:r>
              <w:rPr>
                <w:rFonts w:ascii="宋体" w:hAnsi="宋体" w:eastAsia="宋体"/>
                <w:sz w:val="16"/>
              </w:rPr>
              <w:t>邮政快递行业监管费用支付及时率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23B4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A76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2A3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B584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7F8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8C0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F64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3EE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ADFE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3F7FC">
            <w:pPr>
              <w:jc w:val="center"/>
            </w:pPr>
          </w:p>
        </w:tc>
      </w:tr>
      <w:tr w14:paraId="06C021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9B6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96EEA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E40EB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9CE50">
            <w:pPr>
              <w:jc w:val="center"/>
            </w:pPr>
            <w:r>
              <w:rPr>
                <w:rFonts w:ascii="宋体" w:hAnsi="宋体" w:eastAsia="宋体"/>
                <w:sz w:val="16"/>
              </w:rPr>
              <w:t>每次监督检查成本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4869A">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DBF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2FD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C87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BD7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41E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C427C">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477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3F1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01D76">
            <w:pPr>
              <w:jc w:val="center"/>
            </w:pPr>
          </w:p>
        </w:tc>
      </w:tr>
      <w:tr w14:paraId="03F3AE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C90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004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CC6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113E1">
            <w:pPr>
              <w:jc w:val="center"/>
            </w:pPr>
            <w:r>
              <w:rPr>
                <w:rFonts w:ascii="宋体" w:hAnsi="宋体" w:eastAsia="宋体"/>
                <w:sz w:val="16"/>
              </w:rPr>
              <w:t>邮政快递行业监管成本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88BD8">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D82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AF7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850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161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3F5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87E84">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CA5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57F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F445B">
            <w:pPr>
              <w:jc w:val="center"/>
            </w:pPr>
          </w:p>
        </w:tc>
      </w:tr>
      <w:tr w14:paraId="034560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D38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446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006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01C94">
            <w:pPr>
              <w:jc w:val="center"/>
            </w:pPr>
            <w:r>
              <w:rPr>
                <w:rFonts w:ascii="宋体" w:hAnsi="宋体" w:eastAsia="宋体"/>
                <w:sz w:val="16"/>
              </w:rPr>
              <w:t>人均运转经费数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F6DB1">
            <w:pPr>
              <w:jc w:val="center"/>
            </w:pPr>
            <w:r>
              <w:rPr>
                <w:rFonts w:ascii="宋体" w:hAnsi="宋体" w:eastAsia="宋体"/>
                <w:sz w:val="16"/>
              </w:rPr>
              <w:t>&lt;=1.49万元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8C9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21E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1BA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F38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CF1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1FCB7">
            <w:pPr>
              <w:jc w:val="center"/>
            </w:pPr>
            <w:r>
              <w:rPr>
                <w:rFonts w:ascii="宋体" w:hAnsi="宋体" w:eastAsia="宋体"/>
                <w:sz w:val="16"/>
              </w:rPr>
              <w:t>=1.44万元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268CE">
            <w:pPr>
              <w:jc w:val="center"/>
            </w:pPr>
            <w:r>
              <w:rPr>
                <w:rFonts w:ascii="宋体" w:hAnsi="宋体" w:eastAsia="宋体"/>
                <w:sz w:val="16"/>
              </w:rPr>
              <w:t>96.64%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F4B2D">
            <w:pPr>
              <w:jc w:val="center"/>
            </w:pPr>
            <w:r>
              <w:rPr>
                <w:rFonts w:ascii="宋体" w:hAnsi="宋体" w:eastAsia="宋体"/>
                <w:sz w:val="16"/>
              </w:rPr>
              <w:t>9.16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DA97D">
            <w:pPr>
              <w:jc w:val="center"/>
            </w:pPr>
            <w:r>
              <w:rPr>
                <w:rFonts w:ascii="宋体" w:hAnsi="宋体" w:eastAsia="宋体"/>
                <w:sz w:val="16"/>
              </w:rPr>
              <w:t>偏差原因：本年年内调入一人。改进措施：绩效目标根据实际情况</w:t>
            </w:r>
            <w:r>
              <w:rPr>
                <w:rFonts w:hint="eastAsia" w:ascii="宋体" w:hAnsi="宋体"/>
                <w:sz w:val="16"/>
                <w:lang w:eastAsia="zh-CN"/>
              </w:rPr>
              <w:t>进行</w:t>
            </w:r>
            <w:r>
              <w:rPr>
                <w:rFonts w:ascii="宋体" w:hAnsi="宋体" w:eastAsia="宋体"/>
                <w:sz w:val="16"/>
              </w:rPr>
              <w:t>调整。</w:t>
            </w:r>
          </w:p>
        </w:tc>
      </w:tr>
      <w:tr w14:paraId="48BE35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8BD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CBD3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2049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1BC20">
            <w:pPr>
              <w:jc w:val="center"/>
            </w:pPr>
            <w:r>
              <w:rPr>
                <w:rFonts w:ascii="宋体" w:hAnsi="宋体" w:eastAsia="宋体"/>
                <w:sz w:val="16"/>
              </w:rPr>
              <w:t>检查结果公开率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A9A5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F64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8B6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4C8A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B96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B634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07F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45A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90C5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8CC08">
            <w:pPr>
              <w:jc w:val="center"/>
            </w:pPr>
          </w:p>
        </w:tc>
      </w:tr>
      <w:tr w14:paraId="1522AD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F77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FC2C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2E68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20E1E">
            <w:pPr>
              <w:jc w:val="center"/>
            </w:pPr>
            <w:r>
              <w:rPr>
                <w:rFonts w:ascii="宋体" w:hAnsi="宋体" w:eastAsia="宋体"/>
                <w:sz w:val="16"/>
              </w:rPr>
              <w:t>检查人员被投诉次数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21DDD">
            <w:pPr>
              <w:jc w:val="center"/>
            </w:pPr>
            <w:r>
              <w:rPr>
                <w:rFonts w:ascii="宋体" w:hAnsi="宋体" w:eastAsia="宋体"/>
                <w:sz w:val="16"/>
              </w:rPr>
              <w:t>&lt;=1次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F2B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711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3A3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378A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D65F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B45A2">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E4E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EC1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B1979">
            <w:pPr>
              <w:jc w:val="center"/>
            </w:pPr>
          </w:p>
        </w:tc>
      </w:tr>
      <w:tr w14:paraId="232F154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C8E92A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9475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D061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9063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44D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E46B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E8EA1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6520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295D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F036C">
            <w:pPr>
              <w:jc w:val="center"/>
            </w:pPr>
            <w:r>
              <w:rPr>
                <w:rFonts w:ascii="宋体" w:hAnsi="宋体" w:eastAsia="宋体"/>
                <w:sz w:val="16"/>
              </w:rPr>
              <w:t>99.01分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8E4491"/>
        </w:tc>
      </w:tr>
    </w:tbl>
    <w:p w14:paraId="461ACB10">
      <w:r>
        <w:br w:type="page"/>
      </w:r>
    </w:p>
    <w:tbl>
      <w:tblPr>
        <w:tblStyle w:val="9"/>
        <w:tblW w:w="0" w:type="auto"/>
        <w:tblInd w:w="0" w:type="dxa"/>
        <w:tblLayout w:type="autofit"/>
        <w:tblCellMar>
          <w:top w:w="0" w:type="dxa"/>
          <w:left w:w="108" w:type="dxa"/>
          <w:bottom w:w="0" w:type="dxa"/>
          <w:right w:w="108" w:type="dxa"/>
        </w:tblCellMar>
      </w:tblPr>
      <w:tblGrid>
        <w:gridCol w:w="614"/>
        <w:gridCol w:w="583"/>
        <w:gridCol w:w="583"/>
        <w:gridCol w:w="583"/>
        <w:gridCol w:w="856"/>
        <w:gridCol w:w="583"/>
        <w:gridCol w:w="696"/>
        <w:gridCol w:w="599"/>
        <w:gridCol w:w="583"/>
        <w:gridCol w:w="583"/>
        <w:gridCol w:w="776"/>
        <w:gridCol w:w="776"/>
        <w:gridCol w:w="630"/>
        <w:gridCol w:w="615"/>
      </w:tblGrid>
      <w:tr w14:paraId="7232FAD9">
        <w:tblPrEx>
          <w:tblCellMar>
            <w:top w:w="0" w:type="dxa"/>
            <w:left w:w="108" w:type="dxa"/>
            <w:bottom w:w="0" w:type="dxa"/>
            <w:right w:w="108" w:type="dxa"/>
          </w:tblCellMar>
        </w:tblPrEx>
        <w:tc>
          <w:tcPr>
            <w:tcW w:w="8848" w:type="dxa"/>
            <w:gridSpan w:val="14"/>
            <w:vAlign w:val="center"/>
          </w:tcPr>
          <w:p w14:paraId="4AC322A0">
            <w:pPr>
              <w:jc w:val="center"/>
            </w:pPr>
            <w:r>
              <w:rPr>
                <w:rFonts w:ascii="宋体" w:hAnsi="宋体" w:eastAsia="宋体"/>
                <w:sz w:val="24"/>
              </w:rPr>
              <w:t>项目支出绩效自评表</w:t>
            </w:r>
          </w:p>
        </w:tc>
      </w:tr>
      <w:tr w14:paraId="65C31AEF">
        <w:tblPrEx>
          <w:tblCellMar>
            <w:top w:w="0" w:type="dxa"/>
            <w:left w:w="108" w:type="dxa"/>
            <w:bottom w:w="0" w:type="dxa"/>
            <w:right w:w="108" w:type="dxa"/>
          </w:tblCellMar>
        </w:tblPrEx>
        <w:tc>
          <w:tcPr>
            <w:tcW w:w="8848" w:type="dxa"/>
            <w:gridSpan w:val="14"/>
            <w:vAlign w:val="center"/>
          </w:tcPr>
          <w:p w14:paraId="6782D696">
            <w:pPr>
              <w:jc w:val="center"/>
            </w:pPr>
            <w:r>
              <w:rPr>
                <w:rFonts w:ascii="宋体" w:hAnsi="宋体" w:eastAsia="宋体"/>
                <w:sz w:val="24"/>
              </w:rPr>
              <w:t>(2024年度)</w:t>
            </w:r>
          </w:p>
        </w:tc>
      </w:tr>
      <w:tr w14:paraId="13C6D8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D9DE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727BD2">
            <w:pPr>
              <w:jc w:val="center"/>
            </w:pPr>
            <w:r>
              <w:rPr>
                <w:rFonts w:ascii="宋体" w:hAnsi="宋体" w:eastAsia="宋体"/>
                <w:sz w:val="16"/>
              </w:rPr>
              <w:t>农村公路建设项目拖欠资金</w:t>
            </w:r>
          </w:p>
        </w:tc>
      </w:tr>
      <w:tr w14:paraId="0C8A2C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FA7C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130C84">
            <w:pPr>
              <w:jc w:val="center"/>
            </w:pPr>
            <w:r>
              <w:rPr>
                <w:rFonts w:ascii="宋体" w:hAnsi="宋体" w:eastAsia="宋体"/>
                <w:sz w:val="16"/>
              </w:rPr>
              <w:t>巴音郭楞蒙古自治州交通运输局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8613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B67BDC">
            <w:pPr>
              <w:jc w:val="center"/>
            </w:pPr>
            <w:r>
              <w:rPr>
                <w:rFonts w:ascii="宋体" w:hAnsi="宋体" w:eastAsia="宋体"/>
                <w:sz w:val="16"/>
              </w:rPr>
              <w:t>巴音郭楞蒙古自治州交通运输局</w:t>
            </w:r>
          </w:p>
        </w:tc>
      </w:tr>
      <w:tr w14:paraId="64AB8C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7ABA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881A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8911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3A7E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D600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4FCF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E2B7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D31C5">
            <w:pPr>
              <w:jc w:val="center"/>
            </w:pPr>
            <w:r>
              <w:rPr>
                <w:rFonts w:ascii="宋体" w:hAnsi="宋体" w:eastAsia="宋体"/>
                <w:sz w:val="16"/>
              </w:rPr>
              <w:t>得分</w:t>
            </w:r>
          </w:p>
        </w:tc>
      </w:tr>
      <w:tr w14:paraId="4C7DDA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07C76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66BD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4DCF4">
            <w:pPr>
              <w:jc w:val="center"/>
            </w:pPr>
            <w:r>
              <w:rPr>
                <w:rFonts w:ascii="宋体" w:hAnsi="宋体" w:eastAsia="宋体"/>
                <w:sz w:val="16"/>
              </w:rPr>
              <w:t>232.65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F0DFA">
            <w:pPr>
              <w:jc w:val="center"/>
            </w:pPr>
            <w:r>
              <w:rPr>
                <w:rFonts w:ascii="宋体" w:hAnsi="宋体" w:eastAsia="宋体"/>
                <w:sz w:val="16"/>
              </w:rPr>
              <w:t>232.65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2F780">
            <w:pPr>
              <w:jc w:val="center"/>
            </w:pPr>
            <w:r>
              <w:rPr>
                <w:rFonts w:ascii="宋体" w:hAnsi="宋体" w:eastAsia="宋体"/>
                <w:sz w:val="16"/>
              </w:rPr>
              <w:t>204.22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D9B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E519A">
            <w:pPr>
              <w:jc w:val="center"/>
            </w:pPr>
            <w:r>
              <w:rPr>
                <w:rFonts w:ascii="宋体" w:hAnsi="宋体" w:eastAsia="宋体"/>
                <w:sz w:val="16"/>
              </w:rPr>
              <w:t>87.78%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F9C4F">
            <w:pPr>
              <w:jc w:val="center"/>
            </w:pPr>
            <w:r>
              <w:rPr>
                <w:rFonts w:ascii="宋体" w:hAnsi="宋体" w:eastAsia="宋体"/>
                <w:sz w:val="16"/>
              </w:rPr>
              <w:t>6.95</w:t>
            </w:r>
          </w:p>
        </w:tc>
      </w:tr>
      <w:tr w14:paraId="0FD381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FBB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3004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02A09">
            <w:pPr>
              <w:jc w:val="center"/>
            </w:pPr>
            <w:r>
              <w:rPr>
                <w:rFonts w:ascii="宋体" w:hAnsi="宋体" w:eastAsia="宋体"/>
                <w:sz w:val="16"/>
              </w:rPr>
              <w:t>232.65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9AF7E">
            <w:pPr>
              <w:jc w:val="center"/>
            </w:pPr>
            <w:r>
              <w:rPr>
                <w:rFonts w:ascii="宋体" w:hAnsi="宋体" w:eastAsia="宋体"/>
                <w:sz w:val="16"/>
              </w:rPr>
              <w:t>232.65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DEBC4">
            <w:pPr>
              <w:jc w:val="center"/>
            </w:pPr>
            <w:r>
              <w:rPr>
                <w:rFonts w:ascii="宋体" w:hAnsi="宋体" w:eastAsia="宋体"/>
                <w:sz w:val="16"/>
              </w:rPr>
              <w:t>204.22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05F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163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9541A">
            <w:pPr>
              <w:jc w:val="center"/>
            </w:pPr>
            <w:r>
              <w:rPr>
                <w:rFonts w:ascii="宋体" w:hAnsi="宋体" w:eastAsia="宋体"/>
                <w:sz w:val="16"/>
              </w:rPr>
              <w:t>-</w:t>
            </w:r>
          </w:p>
        </w:tc>
      </w:tr>
      <w:tr w14:paraId="0BE2F8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082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AFC2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610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AF2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5BD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5AB5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B76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C53D0">
            <w:pPr>
              <w:jc w:val="center"/>
            </w:pPr>
            <w:r>
              <w:rPr>
                <w:rFonts w:ascii="宋体" w:hAnsi="宋体" w:eastAsia="宋体"/>
                <w:sz w:val="16"/>
              </w:rPr>
              <w:t>-</w:t>
            </w:r>
          </w:p>
        </w:tc>
      </w:tr>
      <w:tr w14:paraId="1D3924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6BB95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49A35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C0D253">
            <w:pPr>
              <w:jc w:val="center"/>
            </w:pPr>
            <w:r>
              <w:rPr>
                <w:rFonts w:ascii="宋体" w:hAnsi="宋体" w:eastAsia="宋体"/>
                <w:sz w:val="16"/>
              </w:rPr>
              <w:t>总体目标完成情况</w:t>
            </w:r>
          </w:p>
        </w:tc>
      </w:tr>
      <w:tr w14:paraId="219B6B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1E26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AA7411">
            <w:pPr>
              <w:jc w:val="both"/>
            </w:pPr>
            <w:r>
              <w:rPr>
                <w:rFonts w:ascii="宋体" w:hAnsi="宋体" w:eastAsia="宋体"/>
                <w:sz w:val="16"/>
              </w:rPr>
              <w:t>根据州工信局要求，完成14家企业，9个项目的清偿工作，清偿金额232.65万元，保障中小企业权益。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EDDB3D">
            <w:pPr>
              <w:jc w:val="both"/>
            </w:pPr>
            <w:r>
              <w:rPr>
                <w:rFonts w:ascii="宋体" w:hAnsi="宋体" w:eastAsia="宋体"/>
                <w:sz w:val="16"/>
              </w:rPr>
              <w:t>及时完成了2010-2012年农村公路欠款清欠企业数量11家，清欠项目数量9个，保障了施工企业的合法权益，逐步减少了拖欠事件，得到了施工企业的大力认可，提高了政府公信力。</w:t>
            </w:r>
          </w:p>
        </w:tc>
      </w:tr>
      <w:tr w14:paraId="771D2A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D1CE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FF4C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791D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E8F8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90A2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D2E4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50A2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C99B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65F4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7C8D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1246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7B48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B6A7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A0FA8">
            <w:pPr>
              <w:jc w:val="center"/>
            </w:pPr>
            <w:r>
              <w:rPr>
                <w:rFonts w:ascii="宋体" w:hAnsi="宋体" w:eastAsia="宋体"/>
                <w:sz w:val="16"/>
              </w:rPr>
              <w:t>偏差原因分析及改进措施</w:t>
            </w:r>
          </w:p>
        </w:tc>
      </w:tr>
      <w:tr w14:paraId="7EBEB2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D8EF6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7305D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F26EE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9A85C">
            <w:pPr>
              <w:jc w:val="center"/>
            </w:pPr>
            <w:r>
              <w:rPr>
                <w:rFonts w:ascii="宋体" w:hAnsi="宋体" w:eastAsia="宋体"/>
                <w:sz w:val="16"/>
              </w:rPr>
              <w:t>完成清欠企业数量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C4775">
            <w:pPr>
              <w:jc w:val="center"/>
            </w:pPr>
            <w:r>
              <w:rPr>
                <w:rFonts w:ascii="宋体" w:hAnsi="宋体" w:eastAsia="宋体"/>
                <w:sz w:val="16"/>
              </w:rPr>
              <w:t>=14家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168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F715D">
            <w:pPr>
              <w:jc w:val="center"/>
            </w:pPr>
            <w:r>
              <w:rPr>
                <w:rFonts w:ascii="宋体" w:hAnsi="宋体" w:eastAsia="宋体"/>
                <w:sz w:val="16"/>
              </w:rPr>
              <w:t>15家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988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16A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363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CB94E">
            <w:pPr>
              <w:jc w:val="center"/>
            </w:pPr>
            <w:r>
              <w:rPr>
                <w:rFonts w:ascii="宋体" w:hAnsi="宋体" w:eastAsia="宋体"/>
                <w:sz w:val="16"/>
              </w:rPr>
              <w:t>=11家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C1A90">
            <w:pPr>
              <w:jc w:val="center"/>
            </w:pPr>
            <w:r>
              <w:rPr>
                <w:rFonts w:ascii="宋体" w:hAnsi="宋体" w:eastAsia="宋体"/>
                <w:sz w:val="16"/>
              </w:rPr>
              <w:t>78.57%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5BBFC">
            <w:pPr>
              <w:jc w:val="center"/>
            </w:pPr>
            <w:r>
              <w:rPr>
                <w:rFonts w:ascii="宋体" w:hAnsi="宋体" w:eastAsia="宋体"/>
                <w:sz w:val="16"/>
              </w:rPr>
              <w:t>4.64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5AD2F">
            <w:pPr>
              <w:jc w:val="center"/>
            </w:pPr>
            <w:r>
              <w:rPr>
                <w:rFonts w:ascii="宋体" w:hAnsi="宋体" w:eastAsia="宋体"/>
                <w:sz w:val="16"/>
              </w:rPr>
              <w:t>偏差原因：已按项目审计价完成清欠企业欠款。改进措施：进一步加强预算绩效管理目标的执行力度，确保科学、合理、严谨</w:t>
            </w:r>
            <w:r>
              <w:rPr>
                <w:rFonts w:hint="eastAsia" w:ascii="宋体" w:hAnsi="宋体"/>
                <w:sz w:val="16"/>
                <w:lang w:eastAsia="zh-CN"/>
              </w:rPr>
              <w:t>地</w:t>
            </w:r>
            <w:r>
              <w:rPr>
                <w:rFonts w:ascii="宋体" w:hAnsi="宋体" w:eastAsia="宋体"/>
                <w:sz w:val="16"/>
              </w:rPr>
              <w:t>编制预算，提高预算资金使用效益和使用效率。</w:t>
            </w:r>
          </w:p>
        </w:tc>
      </w:tr>
      <w:tr w14:paraId="328317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639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C2F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E0B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CD8FF">
            <w:pPr>
              <w:jc w:val="center"/>
            </w:pPr>
            <w:r>
              <w:rPr>
                <w:rFonts w:ascii="宋体" w:hAnsi="宋体" w:eastAsia="宋体"/>
                <w:sz w:val="16"/>
              </w:rPr>
              <w:t>完成清欠项目数量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CFE1F">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D2B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915D1">
            <w:pPr>
              <w:jc w:val="center"/>
            </w:pPr>
            <w:r>
              <w:rPr>
                <w:rFonts w:ascii="宋体" w:hAnsi="宋体" w:eastAsia="宋体"/>
                <w:sz w:val="16"/>
              </w:rPr>
              <w:t>33个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B53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813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638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975AA">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D85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E0C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C40CA">
            <w:pPr>
              <w:jc w:val="center"/>
            </w:pPr>
          </w:p>
        </w:tc>
      </w:tr>
      <w:tr w14:paraId="3AA5AC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60E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820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DF57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69CCA">
            <w:pPr>
              <w:jc w:val="center"/>
            </w:pPr>
            <w:r>
              <w:rPr>
                <w:rFonts w:ascii="宋体" w:hAnsi="宋体" w:eastAsia="宋体"/>
                <w:sz w:val="16"/>
              </w:rPr>
              <w:t>欠款清偿完结率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741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300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430A5">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84A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2D3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034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1FA2B">
            <w:pPr>
              <w:jc w:val="center"/>
            </w:pPr>
            <w:r>
              <w:rPr>
                <w:rFonts w:ascii="宋体" w:hAnsi="宋体" w:eastAsia="宋体"/>
                <w:sz w:val="16"/>
              </w:rPr>
              <w:t>=87.78%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346BF">
            <w:pPr>
              <w:jc w:val="center"/>
            </w:pPr>
            <w:r>
              <w:rPr>
                <w:rFonts w:ascii="宋体" w:hAnsi="宋体" w:eastAsia="宋体"/>
                <w:sz w:val="16"/>
              </w:rPr>
              <w:t>87.78%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FFABE">
            <w:pPr>
              <w:jc w:val="center"/>
            </w:pPr>
            <w:r>
              <w:rPr>
                <w:rFonts w:ascii="宋体" w:hAnsi="宋体" w:eastAsia="宋体"/>
                <w:sz w:val="16"/>
              </w:rPr>
              <w:t>6.95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DBA7D">
            <w:pPr>
              <w:jc w:val="center"/>
            </w:pPr>
            <w:r>
              <w:rPr>
                <w:rFonts w:ascii="宋体" w:hAnsi="宋体" w:eastAsia="宋体"/>
                <w:sz w:val="16"/>
              </w:rPr>
              <w:t>偏差原因：已按项目审计价完成清欠企业欠款。改进措施：进一步加强预算绩效管理目标的执行力度，确保科学、合理、严谨</w:t>
            </w:r>
            <w:r>
              <w:rPr>
                <w:rFonts w:hint="eastAsia" w:ascii="宋体" w:hAnsi="宋体"/>
                <w:sz w:val="16"/>
                <w:lang w:eastAsia="zh-CN"/>
              </w:rPr>
              <w:t>地</w:t>
            </w:r>
            <w:r>
              <w:rPr>
                <w:rFonts w:ascii="宋体" w:hAnsi="宋体" w:eastAsia="宋体"/>
                <w:sz w:val="16"/>
              </w:rPr>
              <w:t>编制预算，提高预算资金使用效益和使用效率。</w:t>
            </w:r>
          </w:p>
        </w:tc>
      </w:tr>
      <w:tr w14:paraId="31F3AE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6A8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B47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5AE7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AEFAF">
            <w:pPr>
              <w:jc w:val="center"/>
            </w:pPr>
            <w:r>
              <w:rPr>
                <w:rFonts w:ascii="宋体" w:hAnsi="宋体" w:eastAsia="宋体"/>
                <w:sz w:val="16"/>
              </w:rPr>
              <w:t>清欠工作及时率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DBA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102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958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CE2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39A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A5E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5F934">
            <w:pPr>
              <w:jc w:val="center"/>
            </w:pPr>
            <w:r>
              <w:rPr>
                <w:rFonts w:ascii="宋体" w:hAnsi="宋体" w:eastAsia="宋体"/>
                <w:sz w:val="16"/>
              </w:rPr>
              <w:t>=87.78%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35922">
            <w:pPr>
              <w:jc w:val="center"/>
            </w:pPr>
            <w:r>
              <w:rPr>
                <w:rFonts w:ascii="宋体" w:hAnsi="宋体" w:eastAsia="宋体"/>
                <w:sz w:val="16"/>
              </w:rPr>
              <w:t>87.78%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351D9">
            <w:pPr>
              <w:jc w:val="center"/>
            </w:pPr>
            <w:r>
              <w:rPr>
                <w:rFonts w:ascii="宋体" w:hAnsi="宋体" w:eastAsia="宋体"/>
                <w:sz w:val="16"/>
              </w:rPr>
              <w:t>6.95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F0054">
            <w:pPr>
              <w:jc w:val="center"/>
            </w:pPr>
            <w:r>
              <w:rPr>
                <w:rFonts w:ascii="宋体" w:hAnsi="宋体" w:eastAsia="宋体"/>
                <w:sz w:val="16"/>
              </w:rPr>
              <w:t>偏差原因：已按项目审计价完成清欠企业欠款。改进措施：进一步加强预算绩效管理目标的执行力度，确保科学、合理、严谨</w:t>
            </w:r>
            <w:r>
              <w:rPr>
                <w:rFonts w:hint="eastAsia" w:ascii="宋体" w:hAnsi="宋体"/>
                <w:sz w:val="16"/>
                <w:lang w:eastAsia="zh-CN"/>
              </w:rPr>
              <w:t>地</w:t>
            </w:r>
            <w:r>
              <w:rPr>
                <w:rFonts w:ascii="宋体" w:hAnsi="宋体" w:eastAsia="宋体"/>
                <w:sz w:val="16"/>
              </w:rPr>
              <w:t>编制预算，提高预算资金使用效益和使用效率。</w:t>
            </w:r>
          </w:p>
        </w:tc>
      </w:tr>
      <w:tr w14:paraId="774D41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C65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0E387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618F9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D1451">
            <w:pPr>
              <w:jc w:val="center"/>
            </w:pPr>
            <w:r>
              <w:rPr>
                <w:rFonts w:ascii="宋体" w:hAnsi="宋体" w:eastAsia="宋体"/>
                <w:sz w:val="16"/>
              </w:rPr>
              <w:t>清欠监理费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D1B4F">
            <w:pPr>
              <w:jc w:val="center"/>
            </w:pPr>
            <w:r>
              <w:rPr>
                <w:rFonts w:ascii="宋体" w:hAnsi="宋体" w:eastAsia="宋体"/>
                <w:sz w:val="16"/>
              </w:rPr>
              <w:t>&lt;=140.17万元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14B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FED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40FF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274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0C2E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E897D">
            <w:pPr>
              <w:jc w:val="center"/>
            </w:pPr>
            <w:r>
              <w:rPr>
                <w:rFonts w:ascii="宋体" w:hAnsi="宋体" w:eastAsia="宋体"/>
                <w:sz w:val="16"/>
              </w:rPr>
              <w:t>=120.38万元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9D286">
            <w:pPr>
              <w:jc w:val="center"/>
            </w:pPr>
            <w:r>
              <w:rPr>
                <w:rFonts w:ascii="宋体" w:hAnsi="宋体" w:eastAsia="宋体"/>
                <w:sz w:val="16"/>
              </w:rPr>
              <w:t>85.88%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02E11">
            <w:pPr>
              <w:jc w:val="center"/>
            </w:pPr>
            <w:r>
              <w:rPr>
                <w:rFonts w:ascii="宋体" w:hAnsi="宋体" w:eastAsia="宋体"/>
                <w:sz w:val="16"/>
              </w:rPr>
              <w:t>1.29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1A35D">
            <w:pPr>
              <w:jc w:val="center"/>
            </w:pPr>
            <w:r>
              <w:rPr>
                <w:rFonts w:ascii="宋体" w:hAnsi="宋体" w:eastAsia="宋体"/>
                <w:sz w:val="16"/>
              </w:rPr>
              <w:t>偏差原因：已按项目审计价完成清欠企业欠款。改进措施：进一步加强预算绩效管理目标的执行力度，确保科学、合理、严谨</w:t>
            </w:r>
            <w:r>
              <w:rPr>
                <w:rFonts w:hint="eastAsia" w:ascii="宋体" w:hAnsi="宋体"/>
                <w:sz w:val="16"/>
                <w:lang w:eastAsia="zh-CN"/>
              </w:rPr>
              <w:t>地</w:t>
            </w:r>
            <w:r>
              <w:rPr>
                <w:rFonts w:ascii="宋体" w:hAnsi="宋体" w:eastAsia="宋体"/>
                <w:sz w:val="16"/>
              </w:rPr>
              <w:t>编制预算，提高预算资金使用效益和使用效率。</w:t>
            </w:r>
          </w:p>
        </w:tc>
      </w:tr>
      <w:tr w14:paraId="113915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8B0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902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58B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2FCDA">
            <w:pPr>
              <w:jc w:val="center"/>
            </w:pPr>
            <w:r>
              <w:rPr>
                <w:rFonts w:ascii="宋体" w:hAnsi="宋体" w:eastAsia="宋体"/>
                <w:sz w:val="16"/>
              </w:rPr>
              <w:t>清欠设计费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1F1E7">
            <w:pPr>
              <w:jc w:val="center"/>
            </w:pPr>
            <w:r>
              <w:rPr>
                <w:rFonts w:ascii="宋体" w:hAnsi="宋体" w:eastAsia="宋体"/>
                <w:sz w:val="16"/>
              </w:rPr>
              <w:t>&lt;=24.03万元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630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90F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E86C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A01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47D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74534">
            <w:pPr>
              <w:jc w:val="center"/>
            </w:pPr>
            <w:r>
              <w:rPr>
                <w:rFonts w:ascii="宋体" w:hAnsi="宋体" w:eastAsia="宋体"/>
                <w:sz w:val="16"/>
              </w:rPr>
              <w:t>=15.4万元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34D91">
            <w:pPr>
              <w:jc w:val="center"/>
            </w:pPr>
            <w:r>
              <w:rPr>
                <w:rFonts w:ascii="宋体" w:hAnsi="宋体" w:eastAsia="宋体"/>
                <w:sz w:val="16"/>
              </w:rPr>
              <w:t>64.09%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7C615">
            <w:pPr>
              <w:jc w:val="center"/>
            </w:pPr>
            <w:r>
              <w:rPr>
                <w:rFonts w:ascii="宋体" w:hAnsi="宋体" w:eastAsia="宋体"/>
                <w:sz w:val="16"/>
              </w:rPr>
              <w:t>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2AB5C">
            <w:pPr>
              <w:jc w:val="center"/>
            </w:pPr>
            <w:r>
              <w:rPr>
                <w:rFonts w:ascii="宋体" w:hAnsi="宋体" w:eastAsia="宋体"/>
                <w:sz w:val="16"/>
              </w:rPr>
              <w:t>偏差原因：已按项目审计价完成清欠企业欠款。改进措施：进一步加强预算绩效管理目标的执行力度，确保科学、合理、严谨</w:t>
            </w:r>
            <w:r>
              <w:rPr>
                <w:rFonts w:hint="eastAsia" w:ascii="宋体" w:hAnsi="宋体"/>
                <w:sz w:val="16"/>
                <w:lang w:eastAsia="zh-CN"/>
              </w:rPr>
              <w:t>地</w:t>
            </w:r>
            <w:r>
              <w:rPr>
                <w:rFonts w:ascii="宋体" w:hAnsi="宋体" w:eastAsia="宋体"/>
                <w:sz w:val="16"/>
              </w:rPr>
              <w:t>编制预算，提高预算资金使用效益和使用效率。</w:t>
            </w:r>
          </w:p>
        </w:tc>
      </w:tr>
      <w:tr w14:paraId="3B77E3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360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1AF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D56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3894F">
            <w:pPr>
              <w:jc w:val="center"/>
            </w:pPr>
            <w:r>
              <w:rPr>
                <w:rFonts w:ascii="宋体" w:hAnsi="宋体" w:eastAsia="宋体"/>
                <w:sz w:val="16"/>
              </w:rPr>
              <w:t>清欠试验检测费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454D9">
            <w:pPr>
              <w:jc w:val="center"/>
            </w:pPr>
            <w:r>
              <w:rPr>
                <w:rFonts w:ascii="宋体" w:hAnsi="宋体" w:eastAsia="宋体"/>
                <w:sz w:val="16"/>
              </w:rPr>
              <w:t>&lt;=21.30万元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106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9A8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68E3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42A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1EF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415A3">
            <w:pPr>
              <w:jc w:val="center"/>
            </w:pPr>
            <w:r>
              <w:rPr>
                <w:rFonts w:ascii="宋体" w:hAnsi="宋体" w:eastAsia="宋体"/>
                <w:sz w:val="16"/>
              </w:rPr>
              <w:t>=21.3万元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243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512C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445D1">
            <w:pPr>
              <w:jc w:val="center"/>
            </w:pPr>
          </w:p>
        </w:tc>
      </w:tr>
      <w:tr w14:paraId="52BFDD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53D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1D3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1D6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4A46F">
            <w:pPr>
              <w:jc w:val="center"/>
            </w:pPr>
            <w:r>
              <w:rPr>
                <w:rFonts w:ascii="宋体" w:hAnsi="宋体" w:eastAsia="宋体"/>
                <w:sz w:val="16"/>
              </w:rPr>
              <w:t>清欠水土保持验收费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D0248">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6BC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F4D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7048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2D5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4CB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135D8">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187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A009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7837F">
            <w:pPr>
              <w:jc w:val="center"/>
            </w:pPr>
          </w:p>
        </w:tc>
      </w:tr>
      <w:tr w14:paraId="09BE45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3E4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74A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FDD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CFE20">
            <w:pPr>
              <w:jc w:val="center"/>
            </w:pPr>
            <w:r>
              <w:rPr>
                <w:rFonts w:ascii="宋体" w:hAnsi="宋体" w:eastAsia="宋体"/>
                <w:sz w:val="16"/>
              </w:rPr>
              <w:t>清欠土地预审报告费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A7D41">
            <w:pPr>
              <w:jc w:val="center"/>
            </w:pPr>
            <w:r>
              <w:rPr>
                <w:rFonts w:ascii="宋体" w:hAnsi="宋体" w:eastAsia="宋体"/>
                <w:sz w:val="16"/>
              </w:rPr>
              <w:t>&lt;=10.14万元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1FD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2EA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4DCF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F2A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C11E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06A35">
            <w:pPr>
              <w:jc w:val="center"/>
            </w:pPr>
            <w:r>
              <w:rPr>
                <w:rFonts w:ascii="宋体" w:hAnsi="宋体" w:eastAsia="宋体"/>
                <w:sz w:val="16"/>
              </w:rPr>
              <w:t>=10.14万元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518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DE18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133C1">
            <w:pPr>
              <w:jc w:val="center"/>
            </w:pPr>
          </w:p>
        </w:tc>
      </w:tr>
      <w:tr w14:paraId="32CAA5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E6F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C51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681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617C9">
            <w:pPr>
              <w:jc w:val="center"/>
            </w:pPr>
            <w:r>
              <w:rPr>
                <w:rFonts w:ascii="宋体" w:hAnsi="宋体" w:eastAsia="宋体"/>
                <w:sz w:val="16"/>
              </w:rPr>
              <w:t>压覆矿产资源储量评估费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69208">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ABB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E2C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BFE7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4C2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072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1ECB9">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E73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719B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0FFE1">
            <w:pPr>
              <w:jc w:val="center"/>
            </w:pPr>
          </w:p>
        </w:tc>
      </w:tr>
      <w:tr w14:paraId="74169B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3FE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4F3E4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B79B4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F8A95">
            <w:pPr>
              <w:jc w:val="center"/>
            </w:pPr>
            <w:r>
              <w:rPr>
                <w:rFonts w:ascii="宋体" w:hAnsi="宋体" w:eastAsia="宋体"/>
                <w:sz w:val="16"/>
              </w:rPr>
              <w:t>保障施工企业合法权益金额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89C4F">
            <w:pPr>
              <w:jc w:val="center"/>
            </w:pPr>
            <w:r>
              <w:rPr>
                <w:rFonts w:ascii="宋体" w:hAnsi="宋体" w:eastAsia="宋体"/>
                <w:sz w:val="16"/>
              </w:rPr>
              <w:t>&lt;=232.65万元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80C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4A8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50A37">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18F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D10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0000C">
            <w:pPr>
              <w:jc w:val="center"/>
            </w:pPr>
            <w:r>
              <w:rPr>
                <w:rFonts w:ascii="宋体" w:hAnsi="宋体" w:eastAsia="宋体"/>
                <w:sz w:val="16"/>
              </w:rPr>
              <w:t>=204.22万元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1CD2D">
            <w:pPr>
              <w:jc w:val="center"/>
            </w:pPr>
            <w:r>
              <w:rPr>
                <w:rFonts w:ascii="宋体" w:hAnsi="宋体" w:eastAsia="宋体"/>
                <w:sz w:val="16"/>
              </w:rPr>
              <w:t>87.78%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261C3">
            <w:pPr>
              <w:jc w:val="center"/>
            </w:pPr>
            <w:r>
              <w:rPr>
                <w:rFonts w:ascii="宋体" w:hAnsi="宋体" w:eastAsia="宋体"/>
                <w:sz w:val="16"/>
              </w:rPr>
              <w:t>9.72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D2C64">
            <w:pPr>
              <w:jc w:val="center"/>
            </w:pPr>
            <w:r>
              <w:rPr>
                <w:rFonts w:ascii="宋体" w:hAnsi="宋体" w:eastAsia="宋体"/>
                <w:sz w:val="16"/>
              </w:rPr>
              <w:t>偏差原因：已按项目审计价完成清欠企业欠款。改进措施：进一步加强预算绩效管理目标的执行力度，确保科学、合理、严谨</w:t>
            </w:r>
            <w:r>
              <w:rPr>
                <w:rFonts w:hint="eastAsia" w:ascii="宋体" w:hAnsi="宋体"/>
                <w:sz w:val="16"/>
                <w:lang w:eastAsia="zh-CN"/>
              </w:rPr>
              <w:t>地</w:t>
            </w:r>
            <w:r>
              <w:rPr>
                <w:rFonts w:ascii="宋体" w:hAnsi="宋体" w:eastAsia="宋体"/>
                <w:sz w:val="16"/>
              </w:rPr>
              <w:t>编制预算，提高预算资金使用效益和使用效率。</w:t>
            </w:r>
          </w:p>
        </w:tc>
      </w:tr>
      <w:tr w14:paraId="477C83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811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799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34E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2D51F">
            <w:pPr>
              <w:jc w:val="center"/>
            </w:pPr>
            <w:r>
              <w:rPr>
                <w:rFonts w:ascii="宋体" w:hAnsi="宋体" w:eastAsia="宋体"/>
                <w:sz w:val="16"/>
              </w:rPr>
              <w:t>减少拖欠事件数量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E099F">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6BA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EA0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1EEC8">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08C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E82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7BF46">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3D4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1A0F8">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116F0">
            <w:pPr>
              <w:jc w:val="center"/>
            </w:pPr>
          </w:p>
        </w:tc>
      </w:tr>
      <w:tr w14:paraId="42B5C0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5BE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F02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FAB7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3AC0F">
            <w:pPr>
              <w:jc w:val="center"/>
            </w:pPr>
            <w:r>
              <w:rPr>
                <w:rFonts w:ascii="宋体" w:hAnsi="宋体" w:eastAsia="宋体"/>
                <w:sz w:val="16"/>
              </w:rPr>
              <w:t>施工企业满意度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792A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8D6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A9D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523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943E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4E4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756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B18D5">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3E2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38514">
            <w:pPr>
              <w:jc w:val="center"/>
            </w:pPr>
            <w:r>
              <w:rPr>
                <w:rFonts w:ascii="宋体" w:hAnsi="宋体" w:eastAsia="宋体"/>
                <w:sz w:val="16"/>
              </w:rPr>
              <w:t>偏差原因：满意度指标设置较低，改进措施：精准设置满意度指标并作出及时调整。</w:t>
            </w:r>
          </w:p>
        </w:tc>
      </w:tr>
      <w:tr w14:paraId="6360535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84CFC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5E21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5AF6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F65A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DD5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E127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B9C8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E856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958A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037BB">
            <w:pPr>
              <w:jc w:val="center"/>
            </w:pPr>
            <w:r>
              <w:rPr>
                <w:rFonts w:ascii="宋体" w:hAnsi="宋体" w:eastAsia="宋体"/>
                <w:sz w:val="16"/>
              </w:rPr>
              <w:t>78.70分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321DAC"/>
        </w:tc>
      </w:tr>
    </w:tbl>
    <w:p w14:paraId="22AFEA3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96"/>
        <w:gridCol w:w="632"/>
      </w:tblGrid>
      <w:tr w14:paraId="39015B33">
        <w:tblPrEx>
          <w:tblCellMar>
            <w:top w:w="0" w:type="dxa"/>
            <w:left w:w="108" w:type="dxa"/>
            <w:bottom w:w="0" w:type="dxa"/>
            <w:right w:w="108" w:type="dxa"/>
          </w:tblCellMar>
        </w:tblPrEx>
        <w:tc>
          <w:tcPr>
            <w:tcW w:w="8848" w:type="dxa"/>
            <w:gridSpan w:val="14"/>
            <w:vAlign w:val="center"/>
          </w:tcPr>
          <w:p w14:paraId="53DF06D0">
            <w:pPr>
              <w:jc w:val="center"/>
            </w:pPr>
            <w:r>
              <w:rPr>
                <w:rFonts w:ascii="宋体" w:hAnsi="宋体" w:eastAsia="宋体"/>
                <w:sz w:val="24"/>
              </w:rPr>
              <w:t>项目支出绩效自评表</w:t>
            </w:r>
          </w:p>
        </w:tc>
      </w:tr>
      <w:tr w14:paraId="07C68045">
        <w:tblPrEx>
          <w:tblCellMar>
            <w:top w:w="0" w:type="dxa"/>
            <w:left w:w="108" w:type="dxa"/>
            <w:bottom w:w="0" w:type="dxa"/>
            <w:right w:w="108" w:type="dxa"/>
          </w:tblCellMar>
        </w:tblPrEx>
        <w:tc>
          <w:tcPr>
            <w:tcW w:w="8848" w:type="dxa"/>
            <w:gridSpan w:val="14"/>
            <w:vAlign w:val="center"/>
          </w:tcPr>
          <w:p w14:paraId="44F8E397">
            <w:pPr>
              <w:jc w:val="center"/>
            </w:pPr>
            <w:r>
              <w:rPr>
                <w:rFonts w:ascii="宋体" w:hAnsi="宋体" w:eastAsia="宋体"/>
                <w:sz w:val="24"/>
              </w:rPr>
              <w:t>(2024年度)</w:t>
            </w:r>
          </w:p>
        </w:tc>
      </w:tr>
      <w:tr w14:paraId="124ED0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52A9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09ADDF">
            <w:pPr>
              <w:jc w:val="center"/>
            </w:pPr>
            <w:r>
              <w:rPr>
                <w:rFonts w:ascii="宋体" w:hAnsi="宋体" w:eastAsia="宋体"/>
                <w:sz w:val="16"/>
              </w:rPr>
              <w:t>巴州公路建设项目质量监督经费</w:t>
            </w:r>
          </w:p>
        </w:tc>
      </w:tr>
      <w:tr w14:paraId="088965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F6CD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A45347">
            <w:pPr>
              <w:jc w:val="center"/>
            </w:pPr>
            <w:r>
              <w:rPr>
                <w:rFonts w:ascii="宋体" w:hAnsi="宋体" w:eastAsia="宋体"/>
                <w:sz w:val="16"/>
              </w:rPr>
              <w:t>巴音郭楞蒙古自治州交通运输局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91AE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25750C">
            <w:pPr>
              <w:jc w:val="center"/>
            </w:pPr>
            <w:r>
              <w:rPr>
                <w:rFonts w:ascii="宋体" w:hAnsi="宋体" w:eastAsia="宋体"/>
                <w:sz w:val="16"/>
              </w:rPr>
              <w:t>巴音郭楞蒙古自治州交通运输局</w:t>
            </w:r>
          </w:p>
        </w:tc>
      </w:tr>
      <w:tr w14:paraId="6F0559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73EF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F0DA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943D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0990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41B6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B2D3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CE3E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7316E">
            <w:pPr>
              <w:jc w:val="center"/>
            </w:pPr>
            <w:r>
              <w:rPr>
                <w:rFonts w:ascii="宋体" w:hAnsi="宋体" w:eastAsia="宋体"/>
                <w:sz w:val="16"/>
              </w:rPr>
              <w:t>得分</w:t>
            </w:r>
          </w:p>
        </w:tc>
      </w:tr>
      <w:tr w14:paraId="7F90CF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289CF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E815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01C80">
            <w:pPr>
              <w:jc w:val="center"/>
            </w:pPr>
            <w:r>
              <w:rPr>
                <w:rFonts w:ascii="宋体" w:hAnsi="宋体" w:eastAsia="宋体"/>
                <w:sz w:val="16"/>
              </w:rPr>
              <w:t>105.00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6243D">
            <w:pPr>
              <w:jc w:val="center"/>
            </w:pPr>
            <w:r>
              <w:rPr>
                <w:rFonts w:ascii="宋体" w:hAnsi="宋体" w:eastAsia="宋体"/>
                <w:sz w:val="16"/>
              </w:rPr>
              <w:t>105.00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5BD6A">
            <w:pPr>
              <w:jc w:val="center"/>
            </w:pPr>
            <w:r>
              <w:rPr>
                <w:rFonts w:ascii="宋体" w:hAnsi="宋体" w:eastAsia="宋体"/>
                <w:sz w:val="16"/>
              </w:rPr>
              <w:t>105.00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8C2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76EC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07702">
            <w:pPr>
              <w:jc w:val="center"/>
            </w:pPr>
            <w:r>
              <w:rPr>
                <w:rFonts w:ascii="宋体" w:hAnsi="宋体" w:eastAsia="宋体"/>
                <w:sz w:val="16"/>
              </w:rPr>
              <w:t>10.00</w:t>
            </w:r>
          </w:p>
        </w:tc>
      </w:tr>
      <w:tr w14:paraId="4AB5A2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78B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1C87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706B0">
            <w:pPr>
              <w:jc w:val="center"/>
            </w:pPr>
            <w:r>
              <w:rPr>
                <w:rFonts w:ascii="宋体" w:hAnsi="宋体" w:eastAsia="宋体"/>
                <w:sz w:val="16"/>
              </w:rPr>
              <w:t>105.00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EF78E">
            <w:pPr>
              <w:jc w:val="center"/>
            </w:pPr>
            <w:r>
              <w:rPr>
                <w:rFonts w:ascii="宋体" w:hAnsi="宋体" w:eastAsia="宋体"/>
                <w:sz w:val="16"/>
              </w:rPr>
              <w:t>105.00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34976">
            <w:pPr>
              <w:jc w:val="center"/>
            </w:pPr>
            <w:r>
              <w:rPr>
                <w:rFonts w:ascii="宋体" w:hAnsi="宋体" w:eastAsia="宋体"/>
                <w:sz w:val="16"/>
              </w:rPr>
              <w:t>105.00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1CD3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24D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12A5B">
            <w:pPr>
              <w:jc w:val="center"/>
            </w:pPr>
            <w:r>
              <w:rPr>
                <w:rFonts w:ascii="宋体" w:hAnsi="宋体" w:eastAsia="宋体"/>
                <w:sz w:val="16"/>
              </w:rPr>
              <w:t>-</w:t>
            </w:r>
          </w:p>
        </w:tc>
      </w:tr>
      <w:tr w14:paraId="215558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1E3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FAC5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2C1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A6E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28C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D0E2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C06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FCBAC">
            <w:pPr>
              <w:jc w:val="center"/>
            </w:pPr>
            <w:r>
              <w:rPr>
                <w:rFonts w:ascii="宋体" w:hAnsi="宋体" w:eastAsia="宋体"/>
                <w:sz w:val="16"/>
              </w:rPr>
              <w:t>-</w:t>
            </w:r>
          </w:p>
        </w:tc>
      </w:tr>
      <w:tr w14:paraId="55D288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C3B1F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9D103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1EE871">
            <w:pPr>
              <w:jc w:val="center"/>
            </w:pPr>
            <w:r>
              <w:rPr>
                <w:rFonts w:ascii="宋体" w:hAnsi="宋体" w:eastAsia="宋体"/>
                <w:sz w:val="16"/>
              </w:rPr>
              <w:t>总体目标完成情况</w:t>
            </w:r>
          </w:p>
        </w:tc>
      </w:tr>
      <w:tr w14:paraId="026705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5893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71C3DF">
            <w:pPr>
              <w:jc w:val="both"/>
            </w:pPr>
            <w:r>
              <w:rPr>
                <w:rFonts w:ascii="宋体" w:hAnsi="宋体" w:eastAsia="宋体"/>
                <w:sz w:val="16"/>
              </w:rPr>
              <w:t>认真组织3次质量安全监督工作，严格执行过程质量标准和规程，努力提升巴州交通工程质量监督工作质效，公路工程质量监督意识不断加强、质量监督体系不断完善、质量监督手段不断强化，确保了公路工程施工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14FBD0">
            <w:pPr>
              <w:jc w:val="both"/>
            </w:pPr>
            <w:r>
              <w:rPr>
                <w:rFonts w:ascii="宋体" w:hAnsi="宋体" w:eastAsia="宋体"/>
                <w:sz w:val="16"/>
              </w:rPr>
              <w:t>通过组织3次质量安全监督工作，巴州公路工程质量监督站认真履行政府监督职能，根据巴州公路工程建设实际情况，认真组织实施质量安全监督工作，严格执行过程质量标准和规程，努力提高巴州交通工程质量监督工作水平。持续深入开展“质量提升”专项行动，进一步完善公路建设项目质量安全管理体系，对质量通病、薄弱环节、典型问题进行重点监督，着力提升公路工程建设质量水平。</w:t>
            </w:r>
          </w:p>
        </w:tc>
      </w:tr>
      <w:tr w14:paraId="7953EF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89D1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8977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9EBD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C6C4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5B2E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AA41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DAE0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57CB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92E7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0085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50C3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9B29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E5BF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7A07B">
            <w:pPr>
              <w:jc w:val="center"/>
            </w:pPr>
            <w:r>
              <w:rPr>
                <w:rFonts w:ascii="宋体" w:hAnsi="宋体" w:eastAsia="宋体"/>
                <w:sz w:val="16"/>
              </w:rPr>
              <w:t>偏差原因分析及改进措施</w:t>
            </w:r>
          </w:p>
        </w:tc>
      </w:tr>
      <w:tr w14:paraId="55CF59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C6EDB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19FFF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5FA4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0D09E">
            <w:pPr>
              <w:jc w:val="center"/>
            </w:pPr>
            <w:r>
              <w:rPr>
                <w:rFonts w:ascii="宋体" w:hAnsi="宋体" w:eastAsia="宋体"/>
                <w:sz w:val="16"/>
              </w:rPr>
              <w:t>日常监督检查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C1AFD">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D37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149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B77B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785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063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5612C">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248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7B41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57FE4">
            <w:pPr>
              <w:jc w:val="center"/>
            </w:pPr>
          </w:p>
        </w:tc>
      </w:tr>
      <w:tr w14:paraId="3894AB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D0E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D391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10AF6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A1DC5">
            <w:pPr>
              <w:jc w:val="center"/>
            </w:pPr>
            <w:r>
              <w:rPr>
                <w:rFonts w:ascii="宋体" w:hAnsi="宋体" w:eastAsia="宋体"/>
                <w:sz w:val="16"/>
              </w:rPr>
              <w:t>实体抽检合格率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1DA34">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C8A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DC5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6D24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E57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610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9C3B2">
            <w:pPr>
              <w:jc w:val="center"/>
            </w:pPr>
            <w:r>
              <w:rPr>
                <w:rFonts w:ascii="宋体" w:hAnsi="宋体" w:eastAsia="宋体"/>
                <w:sz w:val="16"/>
              </w:rPr>
              <w:t>=95.5%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57E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2AB4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4497C">
            <w:pPr>
              <w:jc w:val="center"/>
            </w:pPr>
          </w:p>
        </w:tc>
      </w:tr>
      <w:tr w14:paraId="63A879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C17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436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358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B872A">
            <w:pPr>
              <w:jc w:val="center"/>
            </w:pPr>
            <w:r>
              <w:rPr>
                <w:rFonts w:ascii="宋体" w:hAnsi="宋体" w:eastAsia="宋体"/>
                <w:sz w:val="16"/>
              </w:rPr>
              <w:t>原</w:t>
            </w:r>
            <w:r>
              <w:rPr>
                <w:rFonts w:hint="eastAsia" w:ascii="宋体" w:hAnsi="宋体"/>
                <w:sz w:val="16"/>
                <w:lang w:eastAsia="zh-CN"/>
              </w:rPr>
              <w:t>材料</w:t>
            </w:r>
            <w:r>
              <w:rPr>
                <w:rFonts w:ascii="宋体" w:hAnsi="宋体" w:eastAsia="宋体"/>
                <w:sz w:val="16"/>
              </w:rPr>
              <w:t>抽检合格率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B3851">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A4C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174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B2E6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8F0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846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0C28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5ED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F067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D5539">
            <w:pPr>
              <w:jc w:val="center"/>
            </w:pPr>
          </w:p>
        </w:tc>
      </w:tr>
      <w:tr w14:paraId="19ED73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1F7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4DD8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F3599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41C72">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3F18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B74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7FA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BCA6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7E2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320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80A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480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DF0E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EB6D6">
            <w:pPr>
              <w:jc w:val="center"/>
            </w:pPr>
          </w:p>
        </w:tc>
      </w:tr>
      <w:tr w14:paraId="209BDF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B6C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04E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84F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514EB">
            <w:pPr>
              <w:jc w:val="center"/>
            </w:pPr>
            <w:r>
              <w:rPr>
                <w:rFonts w:ascii="宋体" w:hAnsi="宋体" w:eastAsia="宋体"/>
                <w:sz w:val="16"/>
              </w:rPr>
              <w:t>项目按计划检查率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917C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B68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3E2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2EA2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238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E7E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4B3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463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F284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50126">
            <w:pPr>
              <w:jc w:val="center"/>
            </w:pPr>
          </w:p>
        </w:tc>
      </w:tr>
      <w:tr w14:paraId="28CB45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8C1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B865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3768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8848D">
            <w:pPr>
              <w:jc w:val="center"/>
            </w:pPr>
            <w:r>
              <w:rPr>
                <w:rFonts w:ascii="宋体" w:hAnsi="宋体" w:eastAsia="宋体"/>
                <w:sz w:val="16"/>
              </w:rPr>
              <w:t>项目资金使用控制误差率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EEA4A">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2D1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A48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72F2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D4E8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2B8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EC49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DC4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5BE8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8B443">
            <w:pPr>
              <w:jc w:val="center"/>
            </w:pPr>
          </w:p>
        </w:tc>
      </w:tr>
      <w:tr w14:paraId="402B58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B5E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2EA6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49C1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DBFE7">
            <w:pPr>
              <w:jc w:val="center"/>
            </w:pPr>
            <w:r>
              <w:rPr>
                <w:rFonts w:ascii="宋体" w:hAnsi="宋体" w:eastAsia="宋体"/>
                <w:sz w:val="16"/>
              </w:rPr>
              <w:t>提升公路的使用寿命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BE878">
            <w:pPr>
              <w:jc w:val="center"/>
            </w:pPr>
            <w:r>
              <w:rPr>
                <w:rFonts w:ascii="宋体" w:hAnsi="宋体" w:eastAsia="宋体"/>
                <w:sz w:val="16"/>
              </w:rPr>
              <w:t>持续发展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A54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426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1AE77">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1B63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A56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A6E1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6BF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B448A">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1E0AA">
            <w:pPr>
              <w:jc w:val="center"/>
            </w:pPr>
          </w:p>
        </w:tc>
      </w:tr>
      <w:tr w14:paraId="21DBB4F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AB9ED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7C99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C568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46B1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F0C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38C3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0E0F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893C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3E52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E3DC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BC7219"/>
        </w:tc>
      </w:tr>
    </w:tbl>
    <w:p w14:paraId="31820FC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214A068F">
        <w:tblPrEx>
          <w:tblCellMar>
            <w:top w:w="0" w:type="dxa"/>
            <w:left w:w="108" w:type="dxa"/>
            <w:bottom w:w="0" w:type="dxa"/>
            <w:right w:w="108" w:type="dxa"/>
          </w:tblCellMar>
        </w:tblPrEx>
        <w:tc>
          <w:tcPr>
            <w:tcW w:w="8848" w:type="dxa"/>
            <w:gridSpan w:val="14"/>
            <w:vAlign w:val="center"/>
          </w:tcPr>
          <w:p w14:paraId="48A452BF">
            <w:pPr>
              <w:jc w:val="center"/>
            </w:pPr>
            <w:r>
              <w:rPr>
                <w:rFonts w:ascii="宋体" w:hAnsi="宋体" w:eastAsia="宋体"/>
                <w:sz w:val="24"/>
              </w:rPr>
              <w:t>项目支出绩效自评表</w:t>
            </w:r>
          </w:p>
        </w:tc>
      </w:tr>
      <w:tr w14:paraId="4EA66F3C">
        <w:tblPrEx>
          <w:tblCellMar>
            <w:top w:w="0" w:type="dxa"/>
            <w:left w:w="108" w:type="dxa"/>
            <w:bottom w:w="0" w:type="dxa"/>
            <w:right w:w="108" w:type="dxa"/>
          </w:tblCellMar>
        </w:tblPrEx>
        <w:tc>
          <w:tcPr>
            <w:tcW w:w="8848" w:type="dxa"/>
            <w:gridSpan w:val="14"/>
            <w:vAlign w:val="center"/>
          </w:tcPr>
          <w:p w14:paraId="29CF1527">
            <w:pPr>
              <w:jc w:val="center"/>
            </w:pPr>
            <w:r>
              <w:rPr>
                <w:rFonts w:ascii="宋体" w:hAnsi="宋体" w:eastAsia="宋体"/>
                <w:sz w:val="24"/>
              </w:rPr>
              <w:t>(2024年度)</w:t>
            </w:r>
          </w:p>
        </w:tc>
      </w:tr>
      <w:tr w14:paraId="64BAE3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8856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DA42AD">
            <w:pPr>
              <w:jc w:val="center"/>
            </w:pPr>
            <w:r>
              <w:rPr>
                <w:rFonts w:ascii="宋体" w:hAnsi="宋体" w:eastAsia="宋体"/>
                <w:sz w:val="16"/>
              </w:rPr>
              <w:t>自治州“十五五”规划前期重大研究课题经费</w:t>
            </w:r>
          </w:p>
        </w:tc>
      </w:tr>
      <w:tr w14:paraId="36A135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018F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53A3FA">
            <w:pPr>
              <w:jc w:val="center"/>
            </w:pPr>
            <w:r>
              <w:rPr>
                <w:rFonts w:ascii="宋体" w:hAnsi="宋体" w:eastAsia="宋体"/>
                <w:sz w:val="16"/>
              </w:rPr>
              <w:t>巴音郭楞蒙古自治州交通运输局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04A4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8312F9">
            <w:pPr>
              <w:jc w:val="center"/>
            </w:pPr>
            <w:r>
              <w:rPr>
                <w:rFonts w:ascii="宋体" w:hAnsi="宋体" w:eastAsia="宋体"/>
                <w:sz w:val="16"/>
              </w:rPr>
              <w:t>巴音郭楞蒙古自治州交通运输局</w:t>
            </w:r>
          </w:p>
        </w:tc>
      </w:tr>
      <w:tr w14:paraId="782AD5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B5AC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465A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D2FA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DA41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B328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0646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D825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AC55B">
            <w:pPr>
              <w:jc w:val="center"/>
            </w:pPr>
            <w:r>
              <w:rPr>
                <w:rFonts w:ascii="宋体" w:hAnsi="宋体" w:eastAsia="宋体"/>
                <w:sz w:val="16"/>
              </w:rPr>
              <w:t>得分</w:t>
            </w:r>
          </w:p>
        </w:tc>
      </w:tr>
      <w:tr w14:paraId="76F488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D840D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EFBD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888C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88BA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7A0CF">
            <w:pPr>
              <w:jc w:val="center"/>
            </w:pPr>
            <w:r>
              <w:rPr>
                <w:rFonts w:ascii="宋体" w:hAnsi="宋体" w:eastAsia="宋体"/>
                <w:sz w:val="16"/>
              </w:rPr>
              <w:t>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73B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40837">
            <w:pPr>
              <w:jc w:val="center"/>
            </w:pPr>
            <w:r>
              <w:rPr>
                <w:rFonts w:ascii="宋体" w:hAnsi="宋体" w:eastAsia="宋体"/>
                <w:sz w:val="16"/>
              </w:rPr>
              <w:t>98.00%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B12BE">
            <w:pPr>
              <w:jc w:val="center"/>
            </w:pPr>
            <w:r>
              <w:rPr>
                <w:rFonts w:ascii="宋体" w:hAnsi="宋体" w:eastAsia="宋体"/>
                <w:sz w:val="16"/>
              </w:rPr>
              <w:t>9.50</w:t>
            </w:r>
          </w:p>
        </w:tc>
      </w:tr>
      <w:tr w14:paraId="3CD83F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527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677E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0301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2422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F43CE">
            <w:pPr>
              <w:jc w:val="center"/>
            </w:pPr>
            <w:r>
              <w:rPr>
                <w:rFonts w:ascii="宋体" w:hAnsi="宋体" w:eastAsia="宋体"/>
                <w:sz w:val="16"/>
              </w:rPr>
              <w:t>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1B8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1F3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B633F">
            <w:pPr>
              <w:jc w:val="center"/>
            </w:pPr>
            <w:r>
              <w:rPr>
                <w:rFonts w:ascii="宋体" w:hAnsi="宋体" w:eastAsia="宋体"/>
                <w:sz w:val="16"/>
              </w:rPr>
              <w:t>-</w:t>
            </w:r>
          </w:p>
        </w:tc>
      </w:tr>
      <w:tr w14:paraId="4AF750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74F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9D6A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48B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56F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833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32D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AB0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D6489">
            <w:pPr>
              <w:jc w:val="center"/>
            </w:pPr>
            <w:r>
              <w:rPr>
                <w:rFonts w:ascii="宋体" w:hAnsi="宋体" w:eastAsia="宋体"/>
                <w:sz w:val="16"/>
              </w:rPr>
              <w:t>-</w:t>
            </w:r>
          </w:p>
        </w:tc>
      </w:tr>
      <w:tr w14:paraId="39465A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C042D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60925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2233AC">
            <w:pPr>
              <w:jc w:val="center"/>
            </w:pPr>
            <w:r>
              <w:rPr>
                <w:rFonts w:ascii="宋体" w:hAnsi="宋体" w:eastAsia="宋体"/>
                <w:sz w:val="16"/>
              </w:rPr>
              <w:t>总体目标完成情况</w:t>
            </w:r>
          </w:p>
        </w:tc>
      </w:tr>
      <w:tr w14:paraId="473014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D268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8AA62A">
            <w:pPr>
              <w:jc w:val="both"/>
            </w:pPr>
            <w:r>
              <w:rPr>
                <w:rFonts w:ascii="宋体" w:hAnsi="宋体" w:eastAsia="宋体"/>
                <w:sz w:val="16"/>
              </w:rPr>
              <w:t>通过收集、整理、分析数据资料，实地调研，研究重大问题，形成自治州“十五五”综合交通体系战略研究成果。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3C2763">
            <w:pPr>
              <w:jc w:val="both"/>
            </w:pPr>
            <w:r>
              <w:rPr>
                <w:rFonts w:ascii="宋体" w:hAnsi="宋体" w:eastAsia="宋体"/>
                <w:sz w:val="16"/>
              </w:rPr>
              <w:t>单位委托社会科研机构成立科研小组，完成开展巴州“十五五”综合交通体系战略研究，深入巴州境内充分调研，梳理巴州交通资源、查摆问题、明确发展方向、目标和重点任务，并出具科学性调研报告1份，为后续科学高效地编制高质量、前瞻性、可落地、可实施的《巴州“十五五”综合交通体系战略规划》提供依据。</w:t>
            </w:r>
          </w:p>
        </w:tc>
      </w:tr>
      <w:tr w14:paraId="79AB3F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4F73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7E2B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03EC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7204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20EE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9B5C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C6C9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A829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9D16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0E3F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61B4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813C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0C3D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F7ABF">
            <w:pPr>
              <w:jc w:val="center"/>
            </w:pPr>
            <w:r>
              <w:rPr>
                <w:rFonts w:ascii="宋体" w:hAnsi="宋体" w:eastAsia="宋体"/>
                <w:sz w:val="16"/>
              </w:rPr>
              <w:t>偏差原因分析及改进措施</w:t>
            </w:r>
          </w:p>
        </w:tc>
      </w:tr>
      <w:tr w14:paraId="3647D4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D1839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17ED2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9C114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AEDAA">
            <w:pPr>
              <w:jc w:val="center"/>
            </w:pPr>
            <w:r>
              <w:rPr>
                <w:rFonts w:ascii="宋体" w:hAnsi="宋体" w:eastAsia="宋体"/>
                <w:sz w:val="16"/>
              </w:rPr>
              <w:t>研究报告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1A195">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00D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A8A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25EC8">
            <w:pPr>
              <w:jc w:val="center"/>
            </w:pPr>
            <w:r>
              <w:rPr>
                <w:rFonts w:ascii="宋体" w:hAnsi="宋体" w:eastAsia="宋体"/>
                <w:sz w:val="16"/>
              </w:rPr>
              <w:t>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3DB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557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9797D">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317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8940D">
            <w:pPr>
              <w:jc w:val="center"/>
            </w:pPr>
            <w:r>
              <w:rPr>
                <w:rFonts w:ascii="宋体" w:hAnsi="宋体" w:eastAsia="宋体"/>
                <w:sz w:val="16"/>
              </w:rPr>
              <w:t>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6F2A5">
            <w:pPr>
              <w:jc w:val="center"/>
            </w:pPr>
          </w:p>
        </w:tc>
      </w:tr>
      <w:tr w14:paraId="6D7BDE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3D5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19A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258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E8BD8">
            <w:pPr>
              <w:jc w:val="center"/>
            </w:pPr>
            <w:r>
              <w:rPr>
                <w:rFonts w:ascii="宋体" w:hAnsi="宋体" w:eastAsia="宋体"/>
                <w:sz w:val="16"/>
              </w:rPr>
              <w:t>调研走访次数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B49E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82E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71A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4902D">
            <w:pPr>
              <w:jc w:val="center"/>
            </w:pPr>
            <w:r>
              <w:rPr>
                <w:rFonts w:ascii="宋体" w:hAnsi="宋体" w:eastAsia="宋体"/>
                <w:sz w:val="16"/>
              </w:rPr>
              <w:t>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890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61C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2439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AA8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D0FAA">
            <w:pPr>
              <w:jc w:val="center"/>
            </w:pPr>
            <w:r>
              <w:rPr>
                <w:rFonts w:ascii="宋体" w:hAnsi="宋体" w:eastAsia="宋体"/>
                <w:sz w:val="16"/>
              </w:rPr>
              <w:t>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5F9AE">
            <w:pPr>
              <w:jc w:val="center"/>
            </w:pPr>
          </w:p>
        </w:tc>
      </w:tr>
      <w:tr w14:paraId="32E556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AF4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0E2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4D5A4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95FF4">
            <w:pPr>
              <w:jc w:val="center"/>
            </w:pPr>
            <w:r>
              <w:rPr>
                <w:rFonts w:ascii="宋体" w:hAnsi="宋体" w:eastAsia="宋体"/>
                <w:sz w:val="16"/>
              </w:rPr>
              <w:t>项目验收通过率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F51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C4C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2C9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4854A">
            <w:pPr>
              <w:jc w:val="center"/>
            </w:pPr>
            <w:r>
              <w:rPr>
                <w:rFonts w:ascii="宋体" w:hAnsi="宋体" w:eastAsia="宋体"/>
                <w:sz w:val="16"/>
              </w:rPr>
              <w:t>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C95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74C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849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3C9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BB5F5">
            <w:pPr>
              <w:jc w:val="center"/>
            </w:pPr>
            <w:r>
              <w:rPr>
                <w:rFonts w:ascii="宋体" w:hAnsi="宋体" w:eastAsia="宋体"/>
                <w:sz w:val="16"/>
              </w:rPr>
              <w:t>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1317F">
            <w:pPr>
              <w:jc w:val="center"/>
            </w:pPr>
          </w:p>
        </w:tc>
      </w:tr>
      <w:tr w14:paraId="1BC5C7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A03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663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F50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F707A">
            <w:pPr>
              <w:jc w:val="center"/>
            </w:pPr>
            <w:r>
              <w:rPr>
                <w:rFonts w:ascii="宋体" w:hAnsi="宋体" w:eastAsia="宋体"/>
                <w:sz w:val="16"/>
              </w:rPr>
              <w:t>项目前期工作开展率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DD0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FEA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057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20DCD">
            <w:pPr>
              <w:jc w:val="center"/>
            </w:pPr>
            <w:r>
              <w:rPr>
                <w:rFonts w:ascii="宋体" w:hAnsi="宋体" w:eastAsia="宋体"/>
                <w:sz w:val="16"/>
              </w:rPr>
              <w:t>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3C1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5D4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9DA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10D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743DD">
            <w:pPr>
              <w:jc w:val="center"/>
            </w:pPr>
            <w:r>
              <w:rPr>
                <w:rFonts w:ascii="宋体" w:hAnsi="宋体" w:eastAsia="宋体"/>
                <w:sz w:val="16"/>
              </w:rPr>
              <w:t>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2B243">
            <w:pPr>
              <w:jc w:val="center"/>
            </w:pPr>
          </w:p>
        </w:tc>
      </w:tr>
      <w:tr w14:paraId="05251C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284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165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B6507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219DD">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E6E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243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4DF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F5C4F">
            <w:pPr>
              <w:jc w:val="center"/>
            </w:pPr>
            <w:r>
              <w:rPr>
                <w:rFonts w:ascii="宋体" w:hAnsi="宋体" w:eastAsia="宋体"/>
                <w:sz w:val="16"/>
              </w:rPr>
              <w:t>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065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E24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51F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07B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E5545">
            <w:pPr>
              <w:jc w:val="center"/>
            </w:pPr>
            <w:r>
              <w:rPr>
                <w:rFonts w:ascii="宋体" w:hAnsi="宋体" w:eastAsia="宋体"/>
                <w:sz w:val="16"/>
              </w:rPr>
              <w:t>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4F012">
            <w:pPr>
              <w:jc w:val="center"/>
            </w:pPr>
          </w:p>
        </w:tc>
      </w:tr>
      <w:tr w14:paraId="0C8BB8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B73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09C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407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15BFC">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3CF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18A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E4C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7DD15">
            <w:pPr>
              <w:jc w:val="center"/>
            </w:pPr>
            <w:r>
              <w:rPr>
                <w:rFonts w:ascii="宋体" w:hAnsi="宋体" w:eastAsia="宋体"/>
                <w:sz w:val="16"/>
              </w:rPr>
              <w:t>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7CC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8C9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756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E4C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1BBCD">
            <w:pPr>
              <w:jc w:val="center"/>
            </w:pPr>
            <w:r>
              <w:rPr>
                <w:rFonts w:ascii="宋体" w:hAnsi="宋体" w:eastAsia="宋体"/>
                <w:sz w:val="16"/>
              </w:rPr>
              <w:t>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4BF6F">
            <w:pPr>
              <w:jc w:val="center"/>
            </w:pPr>
          </w:p>
        </w:tc>
      </w:tr>
      <w:tr w14:paraId="0884B1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41C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E1A6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041C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6F7E8">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DD2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CF1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BE1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7591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28C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FB5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2FAC2">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EAC1A">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F6E3B">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75101">
            <w:pPr>
              <w:jc w:val="center"/>
            </w:pPr>
            <w:r>
              <w:rPr>
                <w:rFonts w:ascii="宋体" w:hAnsi="宋体" w:eastAsia="宋体"/>
                <w:sz w:val="16"/>
              </w:rPr>
              <w:t>偏差原因：节约2000元支出。改进措施：提高预算资金使用效益和使用效率，确保资金支出实现预期</w:t>
            </w:r>
            <w:r>
              <w:rPr>
                <w:rFonts w:hint="eastAsia" w:ascii="宋体" w:hAnsi="宋体"/>
                <w:sz w:val="16"/>
                <w:lang w:eastAsia="zh-CN"/>
              </w:rPr>
              <w:t>目标</w:t>
            </w:r>
            <w:r>
              <w:rPr>
                <w:rFonts w:ascii="宋体" w:hAnsi="宋体" w:eastAsia="宋体"/>
                <w:sz w:val="16"/>
              </w:rPr>
              <w:t>。</w:t>
            </w:r>
          </w:p>
        </w:tc>
      </w:tr>
      <w:tr w14:paraId="64E338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5DE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DE47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DC75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57DA0">
            <w:pPr>
              <w:jc w:val="center"/>
            </w:pPr>
            <w:r>
              <w:rPr>
                <w:rFonts w:ascii="宋体" w:hAnsi="宋体" w:eastAsia="宋体"/>
                <w:sz w:val="16"/>
              </w:rPr>
              <w:t>研究成果为形成自治州“十五五”规划基本思路提供决策参考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785CA">
            <w:pPr>
              <w:jc w:val="center"/>
            </w:pPr>
            <w:r>
              <w:rPr>
                <w:rFonts w:ascii="宋体" w:hAnsi="宋体" w:eastAsia="宋体"/>
                <w:sz w:val="16"/>
              </w:rPr>
              <w:t>作用明显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CFB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115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FD209">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2191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D2DA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4F5F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737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74067">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3F2FD">
            <w:pPr>
              <w:jc w:val="center"/>
            </w:pPr>
          </w:p>
        </w:tc>
      </w:tr>
      <w:tr w14:paraId="4D54E6A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48327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8867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C746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E50D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0BE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1FFF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3963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FBF8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5850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577CE">
            <w:pPr>
              <w:jc w:val="center"/>
            </w:pPr>
            <w:r>
              <w:rPr>
                <w:rFonts w:ascii="宋体" w:hAnsi="宋体" w:eastAsia="宋体"/>
                <w:sz w:val="16"/>
              </w:rPr>
              <w:t>98.50分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DFF314"/>
        </w:tc>
      </w:tr>
    </w:tbl>
    <w:p w14:paraId="35763E7E">
      <w:r>
        <w:br w:type="page"/>
      </w:r>
    </w:p>
    <w:p w14:paraId="235DAD33">
      <w:pPr>
        <w:spacing w:line="640" w:lineRule="exact"/>
        <w:ind w:firstLine="640"/>
        <w:jc w:val="both"/>
        <w:outlineLvl w:val="2"/>
      </w:pPr>
      <w:r>
        <w:rPr>
          <w:rFonts w:ascii="黑体" w:hAnsi="黑体" w:eastAsia="黑体"/>
          <w:sz w:val="32"/>
        </w:rPr>
        <w:t>十二、其他需说明的事项</w:t>
      </w:r>
    </w:p>
    <w:p w14:paraId="564F47D2">
      <w:pPr>
        <w:spacing w:line="580" w:lineRule="exact"/>
        <w:ind w:firstLine="640"/>
        <w:jc w:val="both"/>
      </w:pPr>
      <w:r>
        <w:rPr>
          <w:rFonts w:ascii="仿宋_GB2312" w:hAnsi="仿宋_GB2312" w:eastAsia="仿宋_GB2312"/>
          <w:b w:val="0"/>
          <w:sz w:val="32"/>
        </w:rPr>
        <w:t>本年度本单位整体绩效自评表由主管部门编报并公开。</w:t>
      </w:r>
    </w:p>
    <w:p w14:paraId="6CB57954">
      <w:r>
        <w:br w:type="page"/>
      </w:r>
    </w:p>
    <w:p w14:paraId="4F75D5B5">
      <w:pPr>
        <w:spacing w:line="240" w:lineRule="auto"/>
        <w:jc w:val="center"/>
        <w:outlineLvl w:val="1"/>
      </w:pPr>
      <w:r>
        <w:rPr>
          <w:rFonts w:ascii="黑体" w:hAnsi="黑体" w:eastAsia="黑体"/>
          <w:sz w:val="32"/>
        </w:rPr>
        <w:t>第三部分 专业名词解释</w:t>
      </w:r>
    </w:p>
    <w:p w14:paraId="335B6F8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133A48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B831C7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E1DE2C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913783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8ACA17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E8E4FA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D04C7E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DC68EE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BD1E98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E473AF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300DD3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52AF63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0AF4BA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97C3752">
      <w:r>
        <w:br w:type="page"/>
      </w:r>
    </w:p>
    <w:p w14:paraId="4D862963">
      <w:pPr>
        <w:spacing w:line="240" w:lineRule="auto"/>
        <w:jc w:val="center"/>
        <w:outlineLvl w:val="1"/>
      </w:pPr>
      <w:r>
        <w:rPr>
          <w:rFonts w:ascii="黑体" w:hAnsi="黑体" w:eastAsia="黑体"/>
          <w:sz w:val="32"/>
        </w:rPr>
        <w:t>第四部分 部门决算报表（见附表）</w:t>
      </w:r>
    </w:p>
    <w:p w14:paraId="49A276EC">
      <w:pPr>
        <w:spacing w:line="240" w:lineRule="auto"/>
        <w:ind w:firstLine="640"/>
        <w:jc w:val="both"/>
      </w:pPr>
      <w:r>
        <w:rPr>
          <w:rFonts w:ascii="仿宋_GB2312" w:hAnsi="仿宋_GB2312" w:eastAsia="仿宋_GB2312"/>
          <w:b w:val="0"/>
          <w:sz w:val="32"/>
        </w:rPr>
        <w:t>一、《收入支出决算总表》</w:t>
      </w:r>
    </w:p>
    <w:p w14:paraId="7B7D4417">
      <w:pPr>
        <w:spacing w:line="240" w:lineRule="auto"/>
        <w:ind w:firstLine="640"/>
        <w:jc w:val="both"/>
      </w:pPr>
      <w:r>
        <w:rPr>
          <w:rFonts w:ascii="仿宋_GB2312" w:hAnsi="仿宋_GB2312" w:eastAsia="仿宋_GB2312"/>
          <w:b w:val="0"/>
          <w:sz w:val="32"/>
        </w:rPr>
        <w:t>二、《收入决算表》</w:t>
      </w:r>
    </w:p>
    <w:p w14:paraId="24A01C11">
      <w:pPr>
        <w:spacing w:line="240" w:lineRule="auto"/>
        <w:ind w:firstLine="640"/>
        <w:jc w:val="both"/>
      </w:pPr>
      <w:r>
        <w:rPr>
          <w:rFonts w:ascii="仿宋_GB2312" w:hAnsi="仿宋_GB2312" w:eastAsia="仿宋_GB2312"/>
          <w:b w:val="0"/>
          <w:sz w:val="32"/>
        </w:rPr>
        <w:t>三、《支出决算表》</w:t>
      </w:r>
    </w:p>
    <w:p w14:paraId="03AD93B6">
      <w:pPr>
        <w:spacing w:line="240" w:lineRule="auto"/>
        <w:ind w:firstLine="640"/>
        <w:jc w:val="both"/>
      </w:pPr>
      <w:r>
        <w:rPr>
          <w:rFonts w:ascii="仿宋_GB2312" w:hAnsi="仿宋_GB2312" w:eastAsia="仿宋_GB2312"/>
          <w:b w:val="0"/>
          <w:sz w:val="32"/>
        </w:rPr>
        <w:t>四、《财政拨款收入支出决算总表》</w:t>
      </w:r>
    </w:p>
    <w:p w14:paraId="786916BF">
      <w:pPr>
        <w:spacing w:line="240" w:lineRule="auto"/>
        <w:ind w:firstLine="640"/>
        <w:jc w:val="both"/>
      </w:pPr>
      <w:r>
        <w:rPr>
          <w:rFonts w:ascii="仿宋_GB2312" w:hAnsi="仿宋_GB2312" w:eastAsia="仿宋_GB2312"/>
          <w:b w:val="0"/>
          <w:sz w:val="32"/>
        </w:rPr>
        <w:t>五、《一般公共预算财政拨款支出决算表》</w:t>
      </w:r>
    </w:p>
    <w:p w14:paraId="7D6CC763">
      <w:pPr>
        <w:spacing w:line="240" w:lineRule="auto"/>
        <w:ind w:firstLine="640"/>
        <w:jc w:val="both"/>
      </w:pPr>
      <w:r>
        <w:rPr>
          <w:rFonts w:ascii="仿宋_GB2312" w:hAnsi="仿宋_GB2312" w:eastAsia="仿宋_GB2312"/>
          <w:b w:val="0"/>
          <w:sz w:val="32"/>
        </w:rPr>
        <w:t>六、《一般公共预算财政拨款基本支出决算表》</w:t>
      </w:r>
    </w:p>
    <w:p w14:paraId="484CB9F2">
      <w:pPr>
        <w:spacing w:line="240" w:lineRule="auto"/>
        <w:ind w:firstLine="640"/>
        <w:jc w:val="both"/>
      </w:pPr>
      <w:r>
        <w:rPr>
          <w:rFonts w:ascii="仿宋_GB2312" w:hAnsi="仿宋_GB2312" w:eastAsia="仿宋_GB2312"/>
          <w:b w:val="0"/>
          <w:sz w:val="32"/>
        </w:rPr>
        <w:t>七、《政府性基金预算财政拨款收入支出决算表》</w:t>
      </w:r>
    </w:p>
    <w:p w14:paraId="53B4CB3F">
      <w:pPr>
        <w:spacing w:line="240" w:lineRule="auto"/>
        <w:ind w:firstLine="640"/>
        <w:jc w:val="both"/>
      </w:pPr>
      <w:r>
        <w:rPr>
          <w:rFonts w:ascii="仿宋_GB2312" w:hAnsi="仿宋_GB2312" w:eastAsia="仿宋_GB2312"/>
          <w:b w:val="0"/>
          <w:sz w:val="32"/>
        </w:rPr>
        <w:t>八、《国有资本经营预算财政拨款收入支出决算表》</w:t>
      </w:r>
    </w:p>
    <w:p w14:paraId="68494EED">
      <w:pPr>
        <w:spacing w:line="240" w:lineRule="auto"/>
        <w:ind w:firstLine="640"/>
        <w:jc w:val="both"/>
      </w:pPr>
      <w:r>
        <w:rPr>
          <w:rFonts w:ascii="仿宋_GB2312" w:hAnsi="仿宋_GB2312" w:eastAsia="仿宋_GB2312"/>
          <w:b w:val="0"/>
          <w:sz w:val="32"/>
        </w:rPr>
        <w:t>九、《财政拨款“三公”经费支出决算表》</w:t>
      </w:r>
    </w:p>
    <w:p w14:paraId="629C9C0C">
      <w:pPr>
        <w:spacing w:line="240" w:lineRule="auto"/>
        <w:ind w:firstLine="640"/>
        <w:jc w:val="both"/>
      </w:pPr>
    </w:p>
    <w:p w14:paraId="3F841726">
      <w:pPr>
        <w:spacing w:line="240" w:lineRule="auto"/>
        <w:ind w:firstLine="640"/>
        <w:jc w:val="both"/>
      </w:pPr>
    </w:p>
    <w:p w14:paraId="47BB62E0">
      <w:pPr>
        <w:spacing w:line="240" w:lineRule="auto"/>
        <w:ind w:firstLine="640"/>
        <w:jc w:val="both"/>
      </w:pPr>
    </w:p>
    <w:p w14:paraId="5AF1A496">
      <w:pPr>
        <w:spacing w:line="240" w:lineRule="auto"/>
        <w:ind w:firstLine="640"/>
        <w:jc w:val="both"/>
      </w:pPr>
    </w:p>
    <w:p w14:paraId="56D5001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6AD20B1"/>
    <w:rsid w:val="27CE017C"/>
    <w:rsid w:val="27CF2642"/>
    <w:rsid w:val="282459E2"/>
    <w:rsid w:val="29116777"/>
    <w:rsid w:val="2A053397"/>
    <w:rsid w:val="2A444FB1"/>
    <w:rsid w:val="2A6064E2"/>
    <w:rsid w:val="2C1965E9"/>
    <w:rsid w:val="2D1136DF"/>
    <w:rsid w:val="2DAE0E44"/>
    <w:rsid w:val="2F84586B"/>
    <w:rsid w:val="2FD27414"/>
    <w:rsid w:val="313F1D52"/>
    <w:rsid w:val="318029AB"/>
    <w:rsid w:val="31C63837"/>
    <w:rsid w:val="326F0A17"/>
    <w:rsid w:val="3277581B"/>
    <w:rsid w:val="38006E2C"/>
    <w:rsid w:val="3914510A"/>
    <w:rsid w:val="3B1220C9"/>
    <w:rsid w:val="3D5275AC"/>
    <w:rsid w:val="3EA7725F"/>
    <w:rsid w:val="3EC014A1"/>
    <w:rsid w:val="40834692"/>
    <w:rsid w:val="40FC1158"/>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960337"/>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6756</Words>
  <Characters>7672</Characters>
  <Lines>0</Lines>
  <Paragraphs>0</Paragraphs>
  <TotalTime>8</TotalTime>
  <ScaleCrop>false</ScaleCrop>
  <LinksUpToDate>false</LinksUpToDate>
  <CharactersWithSpaces>7680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2025-09-12T03:16:47Z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