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69CAD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巴音郭楞蒙古自治州交通运输局（部门）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5E9DE88">
      <w:r>
        <w:br w:type="page"/>
      </w:r>
    </w:p>
    <w:p w14:paraId="6D9C58E6">
      <w:pPr>
        <w:spacing w:line="640" w:lineRule="exact"/>
        <w:jc w:val="center"/>
        <w:outlineLvl w:val="1"/>
      </w:pPr>
      <w:r>
        <w:rPr>
          <w:rFonts w:ascii="黑体" w:hAnsi="黑体" w:eastAsia="黑体"/>
          <w:sz w:val="32"/>
        </w:rPr>
        <w:t>第一部分 部门概况</w:t>
      </w:r>
    </w:p>
    <w:p w14:paraId="57C09F91">
      <w:pPr>
        <w:spacing w:line="640" w:lineRule="exact"/>
        <w:ind w:firstLine="640"/>
        <w:jc w:val="both"/>
        <w:outlineLvl w:val="2"/>
      </w:pPr>
      <w:r>
        <w:rPr>
          <w:rFonts w:ascii="黑体" w:hAnsi="黑体" w:eastAsia="黑体"/>
          <w:sz w:val="32"/>
        </w:rPr>
        <w:t>一、主要职能</w:t>
      </w:r>
    </w:p>
    <w:p w14:paraId="2FA7369F">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贯彻执行国家、自治区有关公路交通运输行业的法规、政策，拟订自治州相关政策并组织实施和监督检查。</w:t>
      </w:r>
    </w:p>
    <w:p w14:paraId="187504EA">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拟订自治州公路交通运输发展规划、中长期计划并监督实施；会同有关部门组织编制自治州综合交通运输体系规划；参与拟订自治州物流业发展战略与规划。</w:t>
      </w:r>
    </w:p>
    <w:p w14:paraId="13500586">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指导城乡客运及有关设施规划、管理和出租汽车行业管理，承担渔业船舶的检验和监督管理工作。</w:t>
      </w:r>
    </w:p>
    <w:p w14:paraId="5AD86E4A">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提出公路固定资产投资规模和方向、财政性资金安排意见，按规定权限审批、核准规划内和年度计划规模内固定资产投资项目。会同有关部门制定交通运输行业价格，对涉及财政、土地、价格等方面的问题提出政策建议。</w:t>
      </w:r>
    </w:p>
    <w:p w14:paraId="6041AD1C">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承担农村公路建设市场监管责任，拟订自治州农村公路相关政策、制度和技术标准并监督实施。组织协调重点农村公路工程建设和工程质量、安全生产监督管理工作。指导交通基础设施管理和维护，承担重要设施的管理和维护。负责农村公路及管辖范围内专用公路的建设、养护和路政综合管理。指导管辖范围内县道、乡道的建设、养护和管理工作。</w:t>
      </w:r>
    </w:p>
    <w:p w14:paraId="155F2C63">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指导自治州交通运输行业体制改革，会同有关部门培育、管理交通基础设施建设、运输市场，维护自治州交通运输行业的平等竞争秩序，引导交通运输行业优化、协调发展。</w:t>
      </w:r>
    </w:p>
    <w:p w14:paraId="0B6DA456">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会同有关部门指导自治州公路交通运输安全生产和应急管理工作。组织协调自治州重点物资和紧急客货运输。承担自治州交通战备工作。</w:t>
      </w:r>
    </w:p>
    <w:p w14:paraId="0703535C">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贯彻执行交通行业科技政策、技术标准和规范；组织实施交通行业科研项目和科技成果的推广应用；指导交通运输行业信息化建设，监测分析运行情况，开展相关统计工作，发布有关信息；指导自治州交通运输行业环境保护和节能减排工作。</w:t>
      </w:r>
    </w:p>
    <w:p w14:paraId="37254FA2">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会同有关部门开展交通运输行业的法治宣传、行政复议、行政应诉、行政执法和监督工作。</w:t>
      </w:r>
    </w:p>
    <w:p w14:paraId="5723F92D">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指导交通运输行业开展区域性经济技术交流与合作及利用外资工作。</w:t>
      </w:r>
    </w:p>
    <w:p w14:paraId="6BAE9B2A">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承担交通科技项目管理，指导交通运输行业信息化建设。指导交通运输行业环境保护和节能减排工作。组织交通运输行业统计、运行分析工作。贯彻国家有关技术标准，执行相关地方技术规范并监督实施。承担交通运输行业标准化协调工作。</w:t>
      </w:r>
    </w:p>
    <w:p w14:paraId="062626A3">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负责党的建设、党风廉政建设和反腐败工作、精神文明、维护稳定、安全生产、“</w:t>
      </w:r>
      <w:r>
        <w:rPr>
          <w:rFonts w:hint="eastAsia" w:ascii="仿宋_GB2312" w:hAnsi="仿宋_GB2312" w:eastAsia="仿宋_GB2312"/>
          <w:sz w:val="32"/>
          <w:lang w:eastAsia="zh-CN"/>
        </w:rPr>
        <w:t>为民办实事</w:t>
      </w:r>
      <w:r>
        <w:rPr>
          <w:rFonts w:ascii="仿宋_GB2312" w:hAnsi="仿宋_GB2312" w:eastAsia="仿宋_GB2312"/>
          <w:sz w:val="32"/>
        </w:rPr>
        <w:t>”、综合治理、民族团结、两个全覆盖、脱贫攻坚、绩效等工作。</w:t>
      </w:r>
    </w:p>
    <w:p w14:paraId="5F61C524">
      <w:pPr>
        <w:spacing w:line="580" w:lineRule="exact"/>
        <w:ind w:firstLine="640"/>
        <w:jc w:val="both"/>
      </w:pPr>
      <w:r>
        <w:rPr>
          <w:rFonts w:hint="eastAsia" w:ascii="仿宋_GB2312" w:hAnsi="仿宋_GB2312" w:eastAsia="仿宋_GB2312"/>
          <w:sz w:val="32"/>
          <w:lang w:eastAsia="zh-CN"/>
        </w:rPr>
        <w:t>13.</w:t>
      </w:r>
      <w:r>
        <w:rPr>
          <w:rFonts w:ascii="仿宋_GB2312" w:hAnsi="仿宋_GB2312" w:eastAsia="仿宋_GB2312"/>
          <w:sz w:val="32"/>
        </w:rPr>
        <w:t>完成自治州党委、自治州人民政府交办的其他任务。</w:t>
      </w:r>
    </w:p>
    <w:p w14:paraId="5C520099">
      <w:pPr>
        <w:spacing w:line="580" w:lineRule="exact"/>
        <w:ind w:firstLine="640"/>
        <w:jc w:val="both"/>
        <w:rPr>
          <w:rFonts w:hint="eastAsia" w:eastAsia="仿宋_GB2312"/>
          <w:lang w:eastAsia="zh-CN"/>
        </w:rPr>
      </w:pPr>
      <w:r>
        <w:rPr>
          <w:rFonts w:ascii="仿宋_GB2312" w:hAnsi="仿宋_GB2312" w:eastAsia="仿宋_GB2312"/>
          <w:sz w:val="32"/>
        </w:rPr>
        <w:t>巴州交通运输综合行政执法局肩负全州行政区域交通运输管理事权行政执法的监督指导和组织协调等工作。主要负责职责</w:t>
      </w:r>
      <w:r>
        <w:rPr>
          <w:rFonts w:hint="eastAsia" w:ascii="仿宋_GB2312" w:hAnsi="仿宋_GB2312" w:eastAsia="仿宋_GB2312"/>
          <w:sz w:val="32"/>
          <w:lang w:eastAsia="zh-CN"/>
        </w:rPr>
        <w:t>：</w:t>
      </w:r>
    </w:p>
    <w:p w14:paraId="3977AE3F">
      <w:pPr>
        <w:spacing w:line="580" w:lineRule="exact"/>
        <w:ind w:firstLine="640"/>
        <w:jc w:val="both"/>
      </w:pPr>
      <w:r>
        <w:rPr>
          <w:rFonts w:ascii="仿宋_GB2312" w:hAnsi="仿宋_GB2312" w:eastAsia="仿宋_GB2312"/>
          <w:sz w:val="32"/>
        </w:rPr>
        <w:t>(一)贯彻执行国家、自治区及自治州有关交通运输工作的方针、政策和法律、法规。</w:t>
      </w:r>
    </w:p>
    <w:p w14:paraId="5C250337">
      <w:pPr>
        <w:spacing w:line="580" w:lineRule="exact"/>
        <w:ind w:firstLine="640"/>
        <w:jc w:val="both"/>
      </w:pPr>
      <w:r>
        <w:rPr>
          <w:rFonts w:ascii="仿宋_GB2312" w:hAnsi="仿宋_GB2312" w:eastAsia="仿宋_GB2312"/>
          <w:sz w:val="32"/>
        </w:rPr>
        <w:t>(二)负责职责范围内的道路运输经营、地方海事、渔业</w:t>
      </w:r>
      <w:r>
        <w:rPr>
          <w:rFonts w:hint="eastAsia" w:ascii="仿宋_GB2312" w:hAnsi="仿宋_GB2312" w:eastAsia="仿宋_GB2312"/>
          <w:sz w:val="32"/>
          <w:lang w:eastAsia="zh-CN"/>
        </w:rPr>
        <w:t>船舶</w:t>
      </w:r>
      <w:r>
        <w:rPr>
          <w:rFonts w:ascii="仿宋_GB2312" w:hAnsi="仿宋_GB2312" w:eastAsia="仿宋_GB2312"/>
          <w:sz w:val="32"/>
        </w:rPr>
        <w:t>检测等方面的行政执法工作。</w:t>
      </w:r>
    </w:p>
    <w:p w14:paraId="7CCD343B">
      <w:pPr>
        <w:spacing w:line="580" w:lineRule="exact"/>
        <w:ind w:firstLine="640"/>
        <w:jc w:val="both"/>
      </w:pPr>
      <w:r>
        <w:rPr>
          <w:rFonts w:ascii="仿宋_GB2312" w:hAnsi="仿宋_GB2312" w:eastAsia="仿宋_GB2312"/>
          <w:sz w:val="32"/>
        </w:rPr>
        <w:t>(三)负责对职责范围内公民、法人或者其他组织遵守交通行政管理法律、法规、规章的情况进行监督检查，受理投诉举报,依法纠正和查处违法违规行为。</w:t>
      </w:r>
    </w:p>
    <w:p w14:paraId="5B1A9D19">
      <w:pPr>
        <w:spacing w:line="580" w:lineRule="exact"/>
        <w:ind w:firstLine="640"/>
        <w:jc w:val="both"/>
      </w:pPr>
      <w:r>
        <w:rPr>
          <w:rFonts w:ascii="仿宋_GB2312" w:hAnsi="仿宋_GB2312" w:eastAsia="仿宋_GB2312"/>
          <w:sz w:val="32"/>
        </w:rPr>
        <w:t>(四)统筹组织、指挥协调全州交通运输行业的专项整治</w:t>
      </w:r>
      <w:r>
        <w:rPr>
          <w:rFonts w:hint="eastAsia" w:ascii="仿宋_GB2312" w:hAnsi="仿宋_GB2312" w:eastAsia="仿宋_GB2312"/>
          <w:sz w:val="32"/>
          <w:lang w:eastAsia="zh-CN"/>
        </w:rPr>
        <w:t>；</w:t>
      </w:r>
      <w:r>
        <w:rPr>
          <w:rFonts w:ascii="仿宋_GB2312" w:hAnsi="仿宋_GB2312" w:eastAsia="仿宋_GB2312"/>
          <w:sz w:val="32"/>
        </w:rPr>
        <w:t>负责组织查处跨区域、上级交办和具有重大影响的复杂案件。</w:t>
      </w:r>
    </w:p>
    <w:p w14:paraId="12DDD88B">
      <w:pPr>
        <w:spacing w:line="580" w:lineRule="exact"/>
        <w:ind w:firstLine="640"/>
        <w:jc w:val="both"/>
      </w:pPr>
      <w:r>
        <w:rPr>
          <w:rFonts w:ascii="仿宋_GB2312" w:hAnsi="仿宋_GB2312" w:eastAsia="仿宋_GB2312"/>
          <w:sz w:val="32"/>
        </w:rPr>
        <w:t>(五)负责交通运输行业安全生产执法工作</w:t>
      </w:r>
      <w:r>
        <w:rPr>
          <w:rFonts w:hint="eastAsia" w:ascii="仿宋_GB2312" w:hAnsi="仿宋_GB2312" w:eastAsia="仿宋_GB2312"/>
          <w:sz w:val="32"/>
          <w:lang w:eastAsia="zh-CN"/>
        </w:rPr>
        <w:t>；</w:t>
      </w:r>
      <w:r>
        <w:rPr>
          <w:rFonts w:ascii="仿宋_GB2312" w:hAnsi="仿宋_GB2312" w:eastAsia="仿宋_GB2312"/>
          <w:sz w:val="32"/>
        </w:rPr>
        <w:t>参与交通运输安全事故调查和应急处置工作</w:t>
      </w:r>
      <w:r>
        <w:rPr>
          <w:rFonts w:hint="eastAsia" w:ascii="仿宋_GB2312" w:hAnsi="仿宋_GB2312" w:eastAsia="仿宋_GB2312"/>
          <w:sz w:val="32"/>
          <w:lang w:eastAsia="zh-CN"/>
        </w:rPr>
        <w:t>；</w:t>
      </w:r>
      <w:r>
        <w:rPr>
          <w:rFonts w:ascii="仿宋_GB2312" w:hAnsi="仿宋_GB2312" w:eastAsia="仿宋_GB2312"/>
          <w:sz w:val="32"/>
        </w:rPr>
        <w:t>参与保障国家重点物资道路运输、紧急客货运输、军事和抢险救灾物资等运输有关工作。</w:t>
      </w:r>
    </w:p>
    <w:p w14:paraId="63AACCF5">
      <w:pPr>
        <w:spacing w:line="580" w:lineRule="exact"/>
        <w:ind w:firstLine="640"/>
        <w:jc w:val="both"/>
      </w:pPr>
      <w:r>
        <w:rPr>
          <w:rFonts w:ascii="仿宋_GB2312" w:hAnsi="仿宋_GB2312" w:eastAsia="仿宋_GB2312"/>
          <w:sz w:val="32"/>
        </w:rPr>
        <w:t>(六)承担交通运输行政执法队伍的教育培训、考核、监督和行风建设工作</w:t>
      </w:r>
      <w:r>
        <w:rPr>
          <w:rFonts w:hint="eastAsia" w:ascii="仿宋_GB2312" w:hAnsi="仿宋_GB2312" w:eastAsia="仿宋_GB2312"/>
          <w:sz w:val="32"/>
          <w:lang w:eastAsia="zh-CN"/>
        </w:rPr>
        <w:t>；</w:t>
      </w:r>
      <w:r>
        <w:rPr>
          <w:rFonts w:ascii="仿宋_GB2312" w:hAnsi="仿宋_GB2312" w:eastAsia="仿宋_GB2312"/>
          <w:sz w:val="32"/>
        </w:rPr>
        <w:t>指导全州各县市交通运输综合行政执法工作。</w:t>
      </w:r>
    </w:p>
    <w:p w14:paraId="0144FFC3">
      <w:pPr>
        <w:spacing w:line="580" w:lineRule="exact"/>
        <w:ind w:firstLine="640"/>
        <w:jc w:val="both"/>
      </w:pPr>
      <w:r>
        <w:rPr>
          <w:rFonts w:ascii="仿宋_GB2312" w:hAnsi="仿宋_GB2312" w:eastAsia="仿宋_GB2312"/>
          <w:sz w:val="32"/>
        </w:rPr>
        <w:t>(七)依法履行法律法规赋予的其他职责。</w:t>
      </w:r>
    </w:p>
    <w:p w14:paraId="17C790A1">
      <w:pPr>
        <w:spacing w:line="580" w:lineRule="exact"/>
        <w:ind w:firstLine="640"/>
        <w:jc w:val="both"/>
      </w:pPr>
      <w:r>
        <w:rPr>
          <w:rFonts w:ascii="仿宋_GB2312" w:hAnsi="仿宋_GB2312" w:eastAsia="仿宋_GB2312"/>
          <w:sz w:val="32"/>
        </w:rPr>
        <w:t>(八)完成自治州交通运输局交办的</w:t>
      </w:r>
      <w:r>
        <w:rPr>
          <w:rFonts w:hint="eastAsia" w:ascii="仿宋_GB2312" w:hAnsi="仿宋_GB2312" w:eastAsia="仿宋_GB2312"/>
          <w:sz w:val="32"/>
          <w:lang w:eastAsia="zh-CN"/>
        </w:rPr>
        <w:t>其他</w:t>
      </w:r>
      <w:r>
        <w:rPr>
          <w:rFonts w:ascii="仿宋_GB2312" w:hAnsi="仿宋_GB2312" w:eastAsia="仿宋_GB2312"/>
          <w:sz w:val="32"/>
        </w:rPr>
        <w:t>任务。</w:t>
      </w:r>
    </w:p>
    <w:p w14:paraId="6A712D8A">
      <w:pPr>
        <w:spacing w:line="640" w:lineRule="exact"/>
        <w:ind w:firstLine="640"/>
        <w:jc w:val="both"/>
        <w:outlineLvl w:val="2"/>
      </w:pPr>
      <w:r>
        <w:rPr>
          <w:rFonts w:ascii="黑体" w:hAnsi="黑体" w:eastAsia="黑体"/>
          <w:sz w:val="32"/>
        </w:rPr>
        <w:t>二、机构设置及人员情况</w:t>
      </w:r>
    </w:p>
    <w:p w14:paraId="3FD8A38D">
      <w:pPr>
        <w:spacing w:line="580" w:lineRule="exact"/>
        <w:ind w:firstLine="640"/>
        <w:jc w:val="both"/>
      </w:pPr>
      <w:r>
        <w:rPr>
          <w:rFonts w:ascii="仿宋_GB2312" w:hAnsi="仿宋_GB2312" w:eastAsia="仿宋_GB2312"/>
          <w:sz w:val="32"/>
        </w:rPr>
        <w:t>巴音郭楞蒙古自治州交通运输局（部门）2024年度，实有人数100人，其中：在职人员68人，增加1人；离休人员0人，增加0人；退休人员32人,增加2人。</w:t>
      </w:r>
    </w:p>
    <w:p w14:paraId="1611E81D">
      <w:pPr>
        <w:spacing w:line="580" w:lineRule="exact"/>
        <w:ind w:firstLine="640"/>
        <w:jc w:val="both"/>
      </w:pPr>
      <w:r>
        <w:rPr>
          <w:rFonts w:ascii="仿宋_GB2312" w:hAnsi="仿宋_GB2312" w:eastAsia="仿宋_GB2312"/>
          <w:sz w:val="32"/>
        </w:rPr>
        <w:t>从部门决算单位构成看，巴音郭楞蒙古自治州交通运输局（部门）部门决算包括：巴音郭楞蒙古自治州交通运输局（本级）决算及所属单位决算。</w:t>
      </w:r>
    </w:p>
    <w:p w14:paraId="512F13E9">
      <w:pPr>
        <w:spacing w:line="580" w:lineRule="exact"/>
        <w:ind w:firstLine="640"/>
        <w:jc w:val="both"/>
      </w:pPr>
      <w:r>
        <w:rPr>
          <w:rFonts w:ascii="仿宋_GB2312" w:hAnsi="仿宋_GB2312" w:eastAsia="仿宋_GB2312"/>
          <w:sz w:val="32"/>
        </w:rPr>
        <w:t>巴音郭楞蒙古自治州交通运输局本级下设12个科室，分别是：办公室、公路科、运输管理科、财务审计科、安全监督科、巴州农村公路路政管理站、巴州公路工程质量保障中心（邮政业安全中心）、党政办公室、法制监督科、执法一科、执法二科、执法三科。</w:t>
      </w:r>
    </w:p>
    <w:p w14:paraId="5FC49A2F">
      <w:pPr>
        <w:spacing w:line="580" w:lineRule="exact"/>
        <w:ind w:firstLine="640"/>
        <w:jc w:val="both"/>
      </w:pPr>
      <w:r>
        <w:rPr>
          <w:rFonts w:ascii="仿宋_GB2312" w:hAnsi="仿宋_GB2312" w:eastAsia="仿宋_GB2312"/>
          <w:sz w:val="32"/>
        </w:rPr>
        <w:t>纳入巴音郭楞蒙古自治州交通运输局（部门）2024年度部门决算编制范围的下属预算单位包括：</w:t>
      </w:r>
    </w:p>
    <w:p w14:paraId="0157B4FC">
      <w:pPr>
        <w:spacing w:line="580" w:lineRule="exact"/>
        <w:ind w:firstLine="640"/>
        <w:jc w:val="both"/>
      </w:pPr>
      <w:r>
        <w:rPr>
          <w:rFonts w:ascii="仿宋_GB2312" w:hAnsi="仿宋_GB2312" w:eastAsia="仿宋_GB2312"/>
          <w:sz w:val="32"/>
        </w:rPr>
        <w:t>1.</w:t>
      </w:r>
      <w:r>
        <w:rPr>
          <w:rFonts w:hint="eastAsia" w:ascii="仿宋_GB2312" w:hAnsi="仿宋_GB2312" w:eastAsia="仿宋_GB2312"/>
          <w:sz w:val="32"/>
        </w:rPr>
        <w:t>巴音郭楞蒙古自治州交通运输局</w:t>
      </w:r>
    </w:p>
    <w:p w14:paraId="39B839BA">
      <w:pPr>
        <w:spacing w:line="580" w:lineRule="exact"/>
        <w:ind w:firstLine="640"/>
        <w:jc w:val="both"/>
      </w:pPr>
      <w:r>
        <w:rPr>
          <w:rFonts w:ascii="仿宋_GB2312" w:hAnsi="仿宋_GB2312" w:eastAsia="仿宋_GB2312"/>
          <w:sz w:val="32"/>
        </w:rPr>
        <w:t>2.</w:t>
      </w:r>
      <w:r>
        <w:rPr>
          <w:rFonts w:hint="eastAsia" w:ascii="仿宋_GB2312" w:hAnsi="仿宋_GB2312" w:eastAsia="仿宋_GB2312"/>
          <w:sz w:val="32"/>
        </w:rPr>
        <w:t>新疆巴音郭楞蒙古自治州交通运输综合行政执法局</w:t>
      </w:r>
    </w:p>
    <w:p w14:paraId="079B436C">
      <w:r>
        <w:br w:type="page"/>
      </w:r>
    </w:p>
    <w:p w14:paraId="53BAD9E2">
      <w:pPr>
        <w:spacing w:line="240" w:lineRule="auto"/>
        <w:jc w:val="center"/>
        <w:outlineLvl w:val="1"/>
      </w:pPr>
      <w:r>
        <w:rPr>
          <w:rFonts w:ascii="黑体" w:hAnsi="黑体" w:eastAsia="黑体"/>
          <w:sz w:val="32"/>
        </w:rPr>
        <w:t>第二部分 部门决算情况说明</w:t>
      </w:r>
    </w:p>
    <w:p w14:paraId="73044AAE">
      <w:pPr>
        <w:spacing w:line="640" w:lineRule="exact"/>
        <w:ind w:firstLine="640"/>
        <w:jc w:val="both"/>
        <w:outlineLvl w:val="2"/>
      </w:pPr>
      <w:r>
        <w:rPr>
          <w:rFonts w:ascii="黑体" w:hAnsi="黑体" w:eastAsia="黑体"/>
          <w:sz w:val="32"/>
        </w:rPr>
        <w:t>一、收入支出决算总体情况说明</w:t>
      </w:r>
    </w:p>
    <w:p w14:paraId="2D8B0A03">
      <w:pPr>
        <w:spacing w:line="580" w:lineRule="exact"/>
        <w:ind w:firstLine="640"/>
        <w:jc w:val="both"/>
      </w:pPr>
      <w:r>
        <w:rPr>
          <w:rFonts w:ascii="仿宋_GB2312" w:hAnsi="仿宋_GB2312" w:eastAsia="仿宋_GB2312"/>
          <w:b/>
          <w:sz w:val="32"/>
        </w:rPr>
        <w:t>2024年度收入总计25,341.60万元，</w:t>
      </w:r>
      <w:r>
        <w:rPr>
          <w:rFonts w:ascii="仿宋_GB2312" w:hAnsi="仿宋_GB2312" w:eastAsia="仿宋_GB2312"/>
          <w:b w:val="0"/>
          <w:sz w:val="32"/>
        </w:rPr>
        <w:t>其中：本年收入合计25,341.60万元，使用非财政拨款结余（含专用结余）0.00万元，年初结转和结余0.00万元。</w:t>
      </w:r>
    </w:p>
    <w:p w14:paraId="24073B21">
      <w:pPr>
        <w:spacing w:line="580" w:lineRule="exact"/>
        <w:ind w:firstLine="640"/>
        <w:jc w:val="both"/>
      </w:pPr>
      <w:r>
        <w:rPr>
          <w:rFonts w:ascii="仿宋_GB2312" w:hAnsi="仿宋_GB2312" w:eastAsia="仿宋_GB2312"/>
          <w:b/>
          <w:sz w:val="32"/>
        </w:rPr>
        <w:t>2024年度支出总计25,341.60万元，</w:t>
      </w:r>
      <w:r>
        <w:rPr>
          <w:rFonts w:ascii="仿宋_GB2312" w:hAnsi="仿宋_GB2312" w:eastAsia="仿宋_GB2312"/>
          <w:b w:val="0"/>
          <w:sz w:val="32"/>
        </w:rPr>
        <w:t>其中：本年支出合计25,341.60万元，结余分配0.00万元，年末结转和结余0.00万元。</w:t>
      </w:r>
    </w:p>
    <w:p w14:paraId="20F6CA46">
      <w:pPr>
        <w:spacing w:line="580" w:lineRule="exact"/>
        <w:ind w:firstLine="640"/>
        <w:jc w:val="both"/>
      </w:pPr>
      <w:r>
        <w:rPr>
          <w:rFonts w:ascii="仿宋_GB2312" w:hAnsi="仿宋_GB2312" w:eastAsia="仿宋_GB2312"/>
          <w:b w:val="0"/>
          <w:sz w:val="32"/>
        </w:rPr>
        <w:t>收入支出总体与上年相比，增加3,090.06万元，增长13.89%，主要原因是：本年增加自治州“十五五”规划前期重大研究课题经费、G314乌什塔拉至G218扬水站公路建设项目资金、巴州公路建设项目质量监督经费、农村公路欠款清偿资金、S304线哈尔莫敦至</w:t>
      </w:r>
      <w:r>
        <w:rPr>
          <w:rFonts w:hint="eastAsia" w:ascii="仿宋_GB2312" w:hAnsi="仿宋_GB2312" w:eastAsia="仿宋_GB2312"/>
          <w:b w:val="0"/>
          <w:sz w:val="32"/>
          <w:lang w:eastAsia="zh-CN"/>
        </w:rPr>
        <w:t>巴音郭楞</w:t>
      </w:r>
      <w:r>
        <w:rPr>
          <w:rFonts w:ascii="仿宋_GB2312" w:hAnsi="仿宋_GB2312" w:eastAsia="仿宋_GB2312"/>
          <w:b w:val="0"/>
          <w:sz w:val="32"/>
        </w:rPr>
        <w:t>（霍尔古吐至红旗牧场）公路等项目，导致经费较上年增加。</w:t>
      </w:r>
    </w:p>
    <w:p w14:paraId="19D16D32">
      <w:pPr>
        <w:spacing w:line="640" w:lineRule="exact"/>
        <w:ind w:firstLine="640"/>
        <w:jc w:val="both"/>
        <w:outlineLvl w:val="2"/>
      </w:pPr>
      <w:r>
        <w:rPr>
          <w:rFonts w:ascii="黑体" w:hAnsi="黑体" w:eastAsia="黑体"/>
          <w:sz w:val="32"/>
        </w:rPr>
        <w:t>二、收入决算情况说明</w:t>
      </w:r>
    </w:p>
    <w:p w14:paraId="61AED864">
      <w:pPr>
        <w:spacing w:line="580" w:lineRule="exact"/>
        <w:ind w:firstLine="640"/>
        <w:jc w:val="both"/>
      </w:pPr>
      <w:r>
        <w:rPr>
          <w:rFonts w:ascii="仿宋_GB2312" w:hAnsi="仿宋_GB2312" w:eastAsia="仿宋_GB2312"/>
          <w:b/>
          <w:sz w:val="32"/>
        </w:rPr>
        <w:t>本年收入25,341.60万元，</w:t>
      </w:r>
      <w:r>
        <w:rPr>
          <w:rFonts w:ascii="仿宋_GB2312" w:hAnsi="仿宋_GB2312" w:eastAsia="仿宋_GB2312"/>
          <w:b w:val="0"/>
          <w:sz w:val="32"/>
        </w:rPr>
        <w:t>其中：财政拨款收入25,305.69万元，占99.86%；上级补助收入0.00万元，占0.00%；事业收入0.00万元，占0.00%；经营收入0.00万元，占0.00%；附属单位上缴收入0.00万元，占0.00%；其他收入35.92万元，占0.14%。</w:t>
      </w:r>
    </w:p>
    <w:p w14:paraId="292DF2FA">
      <w:pPr>
        <w:spacing w:line="640" w:lineRule="exact"/>
        <w:ind w:firstLine="640"/>
        <w:jc w:val="both"/>
        <w:outlineLvl w:val="2"/>
      </w:pPr>
      <w:r>
        <w:rPr>
          <w:rFonts w:ascii="黑体" w:hAnsi="黑体" w:eastAsia="黑体"/>
          <w:sz w:val="32"/>
        </w:rPr>
        <w:t>三、支出决算情况说明</w:t>
      </w:r>
    </w:p>
    <w:p w14:paraId="4B27BEB0">
      <w:pPr>
        <w:spacing w:line="580" w:lineRule="exact"/>
        <w:ind w:firstLine="640"/>
        <w:jc w:val="both"/>
      </w:pPr>
      <w:r>
        <w:rPr>
          <w:rFonts w:ascii="仿宋_GB2312" w:hAnsi="仿宋_GB2312" w:eastAsia="仿宋_GB2312"/>
          <w:b/>
          <w:sz w:val="32"/>
        </w:rPr>
        <w:t>本年支出25,341.60万元，</w:t>
      </w:r>
      <w:r>
        <w:rPr>
          <w:rFonts w:ascii="仿宋_GB2312" w:hAnsi="仿宋_GB2312" w:eastAsia="仿宋_GB2312"/>
          <w:b w:val="0"/>
          <w:sz w:val="32"/>
        </w:rPr>
        <w:t>其中：基本支出1,286.56万元，占5.08%；项目支出24,055.04万元，占94.92%；上缴上级支出0.00万元，占0.00%；经营支出0.00万元，占0.00%；对附属单位补助支出0.00万元，占0.00%。</w:t>
      </w:r>
    </w:p>
    <w:p w14:paraId="3B7DA24A">
      <w:pPr>
        <w:spacing w:line="640" w:lineRule="exact"/>
        <w:ind w:firstLine="640"/>
        <w:jc w:val="both"/>
        <w:outlineLvl w:val="2"/>
      </w:pPr>
      <w:r>
        <w:rPr>
          <w:rFonts w:ascii="黑体" w:hAnsi="黑体" w:eastAsia="黑体"/>
          <w:sz w:val="32"/>
        </w:rPr>
        <w:t>四、财政拨款收入支出决算总体情况说明</w:t>
      </w:r>
    </w:p>
    <w:p w14:paraId="476F8C94">
      <w:pPr>
        <w:spacing w:line="580" w:lineRule="exact"/>
        <w:ind w:firstLine="640"/>
        <w:jc w:val="both"/>
      </w:pPr>
      <w:r>
        <w:rPr>
          <w:rFonts w:ascii="仿宋_GB2312" w:hAnsi="仿宋_GB2312" w:eastAsia="仿宋_GB2312"/>
          <w:b/>
          <w:sz w:val="32"/>
        </w:rPr>
        <w:t>2024年度财政拨款收入总计25,305.69万元，</w:t>
      </w:r>
      <w:r>
        <w:rPr>
          <w:rFonts w:ascii="仿宋_GB2312" w:hAnsi="仿宋_GB2312" w:eastAsia="仿宋_GB2312"/>
          <w:b w:val="0"/>
          <w:sz w:val="32"/>
        </w:rPr>
        <w:t>其中：年初财政拨款结转和结余0.00万元，本年财政拨款收入25,305.69万元。</w:t>
      </w:r>
      <w:r>
        <w:rPr>
          <w:rFonts w:ascii="仿宋_GB2312" w:hAnsi="仿宋_GB2312" w:eastAsia="仿宋_GB2312"/>
          <w:b/>
          <w:sz w:val="32"/>
        </w:rPr>
        <w:t>财政拨款支出总计25,305.69万元，</w:t>
      </w:r>
      <w:r>
        <w:rPr>
          <w:rFonts w:ascii="仿宋_GB2312" w:hAnsi="仿宋_GB2312" w:eastAsia="仿宋_GB2312"/>
          <w:b w:val="0"/>
          <w:sz w:val="32"/>
        </w:rPr>
        <w:t>其中：年末财政拨款结转和结余0.00万元，本年财政拨款支出25,305.69万元。</w:t>
      </w:r>
    </w:p>
    <w:p w14:paraId="1F99346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5,878.22万元，增长30.26%，主要原因是：本年增加自治州“十五五”规划前期重大研究课题经费、G314乌什塔拉至G218扬水站公路建设项目资金、巴州公路建设项目质量监督经费、农村公路欠款清偿资金、S304线哈尔莫敦至</w:t>
      </w:r>
      <w:r>
        <w:rPr>
          <w:rFonts w:hint="eastAsia" w:ascii="仿宋_GB2312" w:hAnsi="仿宋_GB2312" w:eastAsia="仿宋_GB2312"/>
          <w:b w:val="0"/>
          <w:sz w:val="32"/>
          <w:lang w:eastAsia="zh-CN"/>
        </w:rPr>
        <w:t>巴音郭楞</w:t>
      </w:r>
      <w:r>
        <w:rPr>
          <w:rFonts w:ascii="仿宋_GB2312" w:hAnsi="仿宋_GB2312" w:eastAsia="仿宋_GB2312"/>
          <w:b w:val="0"/>
          <w:sz w:val="32"/>
        </w:rPr>
        <w:t>（霍尔古吐至红旗牧场）公路等项目，导致经费较上年增加。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8,604.44万元，决算数25,305.69万元，预决算差异率194.10%，主要原因是：年中追加自治州“十五五”规划前期重大研究课题经费、G314乌什塔拉至G218扬水站公路建设项目资金、巴州公路建设项目质量监督经费、农村公路欠款清偿资金、S304线哈尔莫敦至</w:t>
      </w:r>
      <w:r>
        <w:rPr>
          <w:rFonts w:hint="eastAsia" w:ascii="仿宋_GB2312" w:hAnsi="仿宋_GB2312" w:eastAsia="仿宋_GB2312"/>
          <w:b w:val="0"/>
          <w:sz w:val="32"/>
          <w:lang w:eastAsia="zh-CN"/>
        </w:rPr>
        <w:t>巴音郭楞</w:t>
      </w:r>
      <w:r>
        <w:rPr>
          <w:rFonts w:ascii="仿宋_GB2312" w:hAnsi="仿宋_GB2312" w:eastAsia="仿宋_GB2312"/>
          <w:b w:val="0"/>
          <w:sz w:val="32"/>
        </w:rPr>
        <w:t>（霍尔古吐至红旗牧场）公路等项目，导致预决算存在差异。</w:t>
      </w:r>
    </w:p>
    <w:p w14:paraId="7A393E25">
      <w:pPr>
        <w:spacing w:line="640" w:lineRule="exact"/>
        <w:ind w:firstLine="640"/>
        <w:jc w:val="both"/>
        <w:outlineLvl w:val="2"/>
      </w:pPr>
      <w:r>
        <w:rPr>
          <w:rFonts w:ascii="黑体" w:hAnsi="黑体" w:eastAsia="黑体"/>
          <w:sz w:val="32"/>
        </w:rPr>
        <w:t>五、一般公共预算财政拨款支出决算情况说明</w:t>
      </w:r>
    </w:p>
    <w:p w14:paraId="4B066A4D">
      <w:pPr>
        <w:spacing w:line="640" w:lineRule="exact"/>
        <w:ind w:firstLine="640"/>
        <w:jc w:val="both"/>
        <w:outlineLvl w:val="3"/>
      </w:pPr>
      <w:r>
        <w:rPr>
          <w:rFonts w:ascii="楷体_GB2312" w:hAnsi="楷体_GB2312" w:eastAsia="楷体_GB2312"/>
          <w:b/>
          <w:sz w:val="32"/>
        </w:rPr>
        <w:t>（一）一般公共预算财政拨款支出决算总体情况</w:t>
      </w:r>
    </w:p>
    <w:p w14:paraId="4D76F7A7">
      <w:pPr>
        <w:spacing w:line="580" w:lineRule="exact"/>
        <w:ind w:firstLine="640"/>
        <w:jc w:val="both"/>
      </w:pPr>
      <w:r>
        <w:rPr>
          <w:rFonts w:ascii="仿宋_GB2312" w:hAnsi="仿宋_GB2312" w:eastAsia="仿宋_GB2312"/>
          <w:b/>
          <w:sz w:val="32"/>
        </w:rPr>
        <w:t>2024年度一般公共预算财政拨款支出25,305.69万元，</w:t>
      </w:r>
      <w:r>
        <w:rPr>
          <w:rFonts w:ascii="仿宋_GB2312" w:hAnsi="仿宋_GB2312" w:eastAsia="仿宋_GB2312"/>
          <w:b w:val="0"/>
          <w:sz w:val="32"/>
        </w:rPr>
        <w:t>占本年支出合计的99.86%。</w:t>
      </w:r>
      <w:r>
        <w:rPr>
          <w:rFonts w:ascii="仿宋_GB2312" w:hAnsi="仿宋_GB2312" w:eastAsia="仿宋_GB2312"/>
          <w:b/>
          <w:sz w:val="32"/>
        </w:rPr>
        <w:t>与上年相比，</w:t>
      </w:r>
      <w:r>
        <w:rPr>
          <w:rFonts w:ascii="仿宋_GB2312" w:hAnsi="仿宋_GB2312" w:eastAsia="仿宋_GB2312"/>
          <w:b w:val="0"/>
          <w:sz w:val="32"/>
        </w:rPr>
        <w:t>增加5,878.22万元，增长30.26%，主要原因是：本年增加自治州“十五五”规划前期重大研究课题经费、G314乌什塔拉至G218扬水站公路建设项目资金、巴州公路建设项目质量监督经费、农村公路欠款清偿资金、S304线哈尔莫敦至</w:t>
      </w:r>
      <w:r>
        <w:rPr>
          <w:rFonts w:hint="eastAsia" w:ascii="仿宋_GB2312" w:hAnsi="仿宋_GB2312" w:eastAsia="仿宋_GB2312"/>
          <w:b w:val="0"/>
          <w:sz w:val="32"/>
          <w:lang w:eastAsia="zh-CN"/>
        </w:rPr>
        <w:t>巴音郭楞</w:t>
      </w:r>
      <w:r>
        <w:rPr>
          <w:rFonts w:ascii="仿宋_GB2312" w:hAnsi="仿宋_GB2312" w:eastAsia="仿宋_GB2312"/>
          <w:b w:val="0"/>
          <w:sz w:val="32"/>
        </w:rPr>
        <w:t>（霍尔古吐至红旗牧场）公路等项目，导致经费较上年增加。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8,604.44万元，决算数25,305.69万元，预决算差异率194.10%，主要原因是：年中追加自治州“十五五”规划前期重大研究课题经费、G314乌什塔拉至G218扬水站公路建设项目资金、巴州公路建设项目质量监督经费、农村公路欠款清偿资金、S304线哈尔莫敦至巴音郭楞（霍尔古吐至红旗牧场）公路等项目，导致预决算存在差异。</w:t>
      </w:r>
    </w:p>
    <w:p w14:paraId="72E236D4">
      <w:pPr>
        <w:spacing w:line="640" w:lineRule="exact"/>
        <w:ind w:firstLine="640"/>
        <w:jc w:val="both"/>
        <w:outlineLvl w:val="3"/>
      </w:pPr>
      <w:r>
        <w:rPr>
          <w:rFonts w:ascii="楷体_GB2312" w:hAnsi="楷体_GB2312" w:eastAsia="楷体_GB2312"/>
          <w:b/>
          <w:sz w:val="32"/>
        </w:rPr>
        <w:t>（二）一般公共预算财政拨款支出决算结构情况</w:t>
      </w:r>
    </w:p>
    <w:p w14:paraId="7F7AD637">
      <w:pPr>
        <w:spacing w:line="580" w:lineRule="exact"/>
        <w:ind w:firstLine="640"/>
        <w:jc w:val="both"/>
      </w:pPr>
      <w:r>
        <w:rPr>
          <w:rFonts w:ascii="仿宋_GB2312" w:hAnsi="仿宋_GB2312" w:eastAsia="仿宋_GB2312"/>
          <w:b w:val="0"/>
          <w:sz w:val="32"/>
        </w:rPr>
        <w:t>1.一般公共服务支出(类)9.80万元,占0.04%。</w:t>
      </w:r>
    </w:p>
    <w:p w14:paraId="4BCE08D9">
      <w:pPr>
        <w:spacing w:line="580" w:lineRule="exact"/>
        <w:ind w:firstLine="640"/>
        <w:jc w:val="both"/>
      </w:pPr>
      <w:r>
        <w:rPr>
          <w:rFonts w:ascii="仿宋_GB2312" w:hAnsi="仿宋_GB2312" w:eastAsia="仿宋_GB2312"/>
          <w:b w:val="0"/>
          <w:sz w:val="32"/>
        </w:rPr>
        <w:t>2.教育支出(类)1.91万元,占0.008%。</w:t>
      </w:r>
    </w:p>
    <w:p w14:paraId="640CBCFF">
      <w:pPr>
        <w:spacing w:line="580" w:lineRule="exact"/>
        <w:ind w:firstLine="640"/>
        <w:jc w:val="both"/>
      </w:pPr>
      <w:r>
        <w:rPr>
          <w:rFonts w:ascii="仿宋_GB2312" w:hAnsi="仿宋_GB2312" w:eastAsia="仿宋_GB2312"/>
          <w:b w:val="0"/>
          <w:sz w:val="32"/>
        </w:rPr>
        <w:t>3.社会保障和就业支出(类)156.99万元,占0.62%。</w:t>
      </w:r>
    </w:p>
    <w:p w14:paraId="7AE15DC1">
      <w:pPr>
        <w:spacing w:line="580" w:lineRule="exact"/>
        <w:ind w:firstLine="640"/>
        <w:jc w:val="both"/>
      </w:pPr>
      <w:r>
        <w:rPr>
          <w:rFonts w:ascii="仿宋_GB2312" w:hAnsi="仿宋_GB2312" w:eastAsia="仿宋_GB2312"/>
          <w:b w:val="0"/>
          <w:sz w:val="32"/>
        </w:rPr>
        <w:t>4.卫生健康支出(类)67.09万元,占0.27%。</w:t>
      </w:r>
    </w:p>
    <w:p w14:paraId="31294F61">
      <w:pPr>
        <w:spacing w:line="580" w:lineRule="exact"/>
        <w:ind w:firstLine="640"/>
        <w:jc w:val="both"/>
      </w:pPr>
      <w:r>
        <w:rPr>
          <w:rFonts w:ascii="仿宋_GB2312" w:hAnsi="仿宋_GB2312" w:eastAsia="仿宋_GB2312"/>
          <w:b w:val="0"/>
          <w:sz w:val="32"/>
        </w:rPr>
        <w:t>5.交通运输支出(类)24,979.89万元,占98.71%。</w:t>
      </w:r>
    </w:p>
    <w:p w14:paraId="11A997D2">
      <w:pPr>
        <w:spacing w:line="580" w:lineRule="exact"/>
        <w:ind w:firstLine="640"/>
        <w:jc w:val="both"/>
      </w:pPr>
      <w:r>
        <w:rPr>
          <w:rFonts w:ascii="仿宋_GB2312" w:hAnsi="仿宋_GB2312" w:eastAsia="仿宋_GB2312"/>
          <w:b w:val="0"/>
          <w:sz w:val="32"/>
        </w:rPr>
        <w:t>6.住房保障支出(类)90.01万元,占0.36%。</w:t>
      </w:r>
    </w:p>
    <w:p w14:paraId="6E95B629">
      <w:pPr>
        <w:spacing w:line="640" w:lineRule="exact"/>
        <w:ind w:firstLine="640"/>
        <w:jc w:val="both"/>
        <w:outlineLvl w:val="3"/>
      </w:pPr>
      <w:r>
        <w:rPr>
          <w:rFonts w:ascii="楷体_GB2312" w:hAnsi="楷体_GB2312" w:eastAsia="楷体_GB2312"/>
          <w:b/>
          <w:sz w:val="32"/>
        </w:rPr>
        <w:t>（三）一般公共预算财政拨款支出决算具体情况</w:t>
      </w:r>
    </w:p>
    <w:p w14:paraId="5DF64CC3">
      <w:pPr>
        <w:spacing w:line="580" w:lineRule="exact"/>
        <w:ind w:firstLine="640"/>
        <w:jc w:val="both"/>
      </w:pPr>
      <w:r>
        <w:rPr>
          <w:rFonts w:ascii="仿宋_GB2312" w:hAnsi="仿宋_GB2312" w:eastAsia="仿宋_GB2312"/>
          <w:b w:val="0"/>
          <w:sz w:val="32"/>
        </w:rPr>
        <w:t>1.一般公共服务支出(类)发展与改革事务(款)社会事业发展规划(项):支出决算数为9.80万元，比上年决算增加9.80万元，增长100.00%,主要原因是：本年新增自治州“十五五”规划前期重大研究课题经费项目，相关支出增加。</w:t>
      </w:r>
    </w:p>
    <w:p w14:paraId="18A41B3B">
      <w:pPr>
        <w:spacing w:line="580" w:lineRule="exact"/>
        <w:ind w:firstLine="640"/>
        <w:jc w:val="both"/>
      </w:pPr>
      <w:r>
        <w:rPr>
          <w:rFonts w:ascii="仿宋_GB2312" w:hAnsi="仿宋_GB2312" w:eastAsia="仿宋_GB2312"/>
          <w:b w:val="0"/>
          <w:sz w:val="32"/>
        </w:rPr>
        <w:t>2.教育支出(类)进修及培训(款)培训支出(项):支出决算数为1.91万元，比上年决算减少0.42万元，下降18.03%,主要原因是：本年优化培训模式，充分利用网络在线平台开展培训，相关</w:t>
      </w:r>
      <w:r>
        <w:rPr>
          <w:rFonts w:hint="eastAsia" w:ascii="仿宋_GB2312" w:hAnsi="仿宋_GB2312" w:eastAsia="仿宋_GB2312"/>
          <w:b w:val="0"/>
          <w:sz w:val="32"/>
          <w:lang w:val="en-US" w:eastAsia="zh-CN"/>
        </w:rPr>
        <w:t>培训</w:t>
      </w:r>
      <w:r>
        <w:rPr>
          <w:rFonts w:ascii="仿宋_GB2312" w:hAnsi="仿宋_GB2312" w:eastAsia="仿宋_GB2312"/>
          <w:b w:val="0"/>
          <w:sz w:val="32"/>
        </w:rPr>
        <w:t>经费减少。</w:t>
      </w:r>
    </w:p>
    <w:p w14:paraId="1CEE7566">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3.社会保障和就业支出(类)行政事业单位养老支出(款)行政单位离退休(项):支出决算数为31.48万元，比上年决算增加6.45万元，增长25.77%,主要原因是：本年增加退休人员基础绩效奖，退休费支出增加。</w:t>
      </w:r>
    </w:p>
    <w:p w14:paraId="7E8D44E9">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114.87万元，比上年决算增加18.06万元，增长18.66%,主要原因是：本年在职人员工资基数调增，养老缴费基数上涨，相应支出增加。</w:t>
      </w:r>
    </w:p>
    <w:p w14:paraId="11B8B9F6">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5.社会保障和就业支出(类)行政事业单位养老支出(款)机关事业单位职业年金缴费支出(项):支出决算数为10.64万元，比上年决算减少13.52万元，下降55.96%,主要原因是：</w:t>
      </w:r>
      <w:r>
        <w:rPr>
          <w:rFonts w:hint="eastAsia" w:ascii="仿宋_GB2312" w:hAnsi="仿宋_GB2312" w:eastAsia="仿宋_GB2312"/>
          <w:b w:val="0"/>
          <w:sz w:val="32"/>
          <w:lang w:val="en-US" w:eastAsia="zh-CN"/>
        </w:rPr>
        <w:t>本年新增退休人员较上年减少</w:t>
      </w:r>
      <w:r>
        <w:rPr>
          <w:rFonts w:ascii="仿宋_GB2312" w:hAnsi="仿宋_GB2312" w:eastAsia="仿宋_GB2312"/>
          <w:b w:val="0"/>
          <w:sz w:val="32"/>
        </w:rPr>
        <w:t>，职业年金支出减少。</w:t>
      </w:r>
    </w:p>
    <w:p w14:paraId="7F42BA3D">
      <w:pPr>
        <w:spacing w:line="580" w:lineRule="exact"/>
        <w:ind w:firstLine="640"/>
        <w:jc w:val="both"/>
      </w:pPr>
      <w:r>
        <w:rPr>
          <w:rFonts w:ascii="仿宋_GB2312" w:hAnsi="仿宋_GB2312" w:eastAsia="仿宋_GB2312"/>
          <w:b w:val="0"/>
          <w:sz w:val="32"/>
        </w:rPr>
        <w:t>6.卫生健康支出(类)行政事业单位医疗(款)行政单位医疗(项):支出决算数为36.92万元，比上年决算增加3.62万元，增长10.87%,主要原因是：本年在职人员工资基数调增，行政单位医疗缴费基数上涨，相应支出增加。</w:t>
      </w:r>
    </w:p>
    <w:p w14:paraId="3823ED4B">
      <w:pPr>
        <w:spacing w:line="580" w:lineRule="exact"/>
        <w:ind w:firstLine="640"/>
        <w:jc w:val="both"/>
      </w:pPr>
      <w:r>
        <w:rPr>
          <w:rFonts w:ascii="仿宋_GB2312" w:hAnsi="仿宋_GB2312" w:eastAsia="仿宋_GB2312"/>
          <w:b w:val="0"/>
          <w:sz w:val="32"/>
        </w:rPr>
        <w:t>7.卫生健康支出(类)行政事业单位医疗(款)事业单位医疗(项):支出决算数为13.17万元，比上年决算增加7.29万元，增长123.98%,主要原因是：本年在职人员工资基数调增，事业单位医疗缴费基数上涨，相应支出增加。</w:t>
      </w:r>
    </w:p>
    <w:p w14:paraId="16ED7332">
      <w:pPr>
        <w:spacing w:line="580" w:lineRule="exact"/>
        <w:ind w:firstLine="640"/>
        <w:jc w:val="both"/>
      </w:pPr>
      <w:r>
        <w:rPr>
          <w:rFonts w:ascii="仿宋_GB2312" w:hAnsi="仿宋_GB2312" w:eastAsia="仿宋_GB2312"/>
          <w:b w:val="0"/>
          <w:sz w:val="32"/>
        </w:rPr>
        <w:t>8.卫生健康支出(类)行政事业单位医疗(款)公务员医疗补助(项):支出决算数为15.66万元，比上年决算增加1.11万元，增长7.63%,主要原因是：本年在职人员工资基数调增，公务员医疗补助缴费基数上涨，相应支出增加。</w:t>
      </w:r>
    </w:p>
    <w:p w14:paraId="1FF5047B">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1.34万元，比上年决算减少0.87万元，下降39.37%,主要原因是：本年功能科目调整，事业编人员失业和工伤保险支出本年调整至其他公路水路运输支出科目列支，导致经费较上年减少。</w:t>
      </w:r>
    </w:p>
    <w:p w14:paraId="701043A9">
      <w:pPr>
        <w:spacing w:line="580" w:lineRule="exact"/>
        <w:ind w:firstLine="640"/>
        <w:jc w:val="both"/>
      </w:pPr>
      <w:r>
        <w:rPr>
          <w:rFonts w:ascii="仿宋_GB2312" w:hAnsi="仿宋_GB2312" w:eastAsia="仿宋_GB2312"/>
          <w:b w:val="0"/>
          <w:sz w:val="32"/>
        </w:rPr>
        <w:t>10.交通运输支出(类)公路水路运输(款)行政运行(项):支出决算数为794.03万元，比上年决算减少59.63万元，下降6.99%,主要原因是：本年</w:t>
      </w:r>
      <w:r>
        <w:rPr>
          <w:rFonts w:hint="eastAsia" w:ascii="仿宋_GB2312" w:hAnsi="仿宋_GB2312" w:eastAsia="仿宋_GB2312"/>
          <w:b w:val="0"/>
          <w:sz w:val="32"/>
          <w:lang w:eastAsia="zh-CN"/>
        </w:rPr>
        <w:t>为民办实事</w:t>
      </w:r>
      <w:r>
        <w:rPr>
          <w:rFonts w:ascii="仿宋_GB2312" w:hAnsi="仿宋_GB2312" w:eastAsia="仿宋_GB2312"/>
          <w:b w:val="0"/>
          <w:sz w:val="32"/>
        </w:rPr>
        <w:t>人员减少，导致</w:t>
      </w:r>
      <w:r>
        <w:rPr>
          <w:rFonts w:hint="eastAsia" w:ascii="仿宋_GB2312" w:hAnsi="仿宋_GB2312" w:eastAsia="仿宋_GB2312"/>
          <w:b w:val="0"/>
          <w:sz w:val="32"/>
          <w:lang w:eastAsia="zh-CN"/>
        </w:rPr>
        <w:t>为民办实事</w:t>
      </w:r>
      <w:r>
        <w:rPr>
          <w:rFonts w:ascii="仿宋_GB2312" w:hAnsi="仿宋_GB2312" w:eastAsia="仿宋_GB2312"/>
          <w:b w:val="0"/>
          <w:sz w:val="32"/>
        </w:rPr>
        <w:t>补助较上年减少；本年十三月工资未发放，导致奖金较上年减少。</w:t>
      </w:r>
    </w:p>
    <w:p w14:paraId="1BED3D67">
      <w:pPr>
        <w:spacing w:line="580" w:lineRule="exact"/>
        <w:ind w:firstLine="640"/>
        <w:jc w:val="both"/>
      </w:pPr>
      <w:r>
        <w:rPr>
          <w:rFonts w:ascii="仿宋_GB2312" w:hAnsi="仿宋_GB2312" w:eastAsia="仿宋_GB2312"/>
          <w:b w:val="0"/>
          <w:sz w:val="32"/>
        </w:rPr>
        <w:t>11.交通运输支出(类)公路水路运输(款)一般行政管理事务(项):支出决算数为174.80万元，比上年决算减少594.90万元，下降77.29%,主要原因是：本年减少交通“十四五”规划编制及项目前期费、环博斯腾湖旅游公路项目前期费、办公场所搬迁经费项目经费。功能科目调整，海事监督管理和交通执法项目资金由一般行政管理事务科目调整至海事管理科目，导致</w:t>
      </w:r>
      <w:r>
        <w:rPr>
          <w:rFonts w:hint="eastAsia" w:ascii="仿宋_GB2312" w:hAnsi="仿宋_GB2312" w:eastAsia="仿宋_GB2312"/>
          <w:b w:val="0"/>
          <w:sz w:val="32"/>
          <w:lang w:val="en-US" w:eastAsia="zh-CN"/>
        </w:rPr>
        <w:t>经费</w:t>
      </w:r>
      <w:r>
        <w:rPr>
          <w:rFonts w:ascii="仿宋_GB2312" w:hAnsi="仿宋_GB2312" w:eastAsia="仿宋_GB2312"/>
          <w:b w:val="0"/>
          <w:sz w:val="32"/>
        </w:rPr>
        <w:t>减少。</w:t>
      </w:r>
    </w:p>
    <w:p w14:paraId="4A34F321">
      <w:pPr>
        <w:spacing w:line="580" w:lineRule="exact"/>
        <w:ind w:firstLine="640"/>
        <w:jc w:val="both"/>
      </w:pPr>
      <w:r>
        <w:rPr>
          <w:rFonts w:ascii="仿宋_GB2312" w:hAnsi="仿宋_GB2312" w:eastAsia="仿宋_GB2312"/>
          <w:b w:val="0"/>
          <w:sz w:val="32"/>
        </w:rPr>
        <w:t>12.交通运输支出(类)公路水路运输(款)公路建设(项):支出决算数为23,860.44万元，比上年决算增加9,151.79万元，增长62.22%,主要原因是：本年增加G314乌什塔拉至G218扬水站公路建设项目资金、巴州公路建设项目质量监督经费、农村公路欠款清偿资金，导致经费支出增加。本年功能科目调整，S304线哈尔莫敦至巴音郭楞（霍尔古吐至红旗牧场）公路项目经费由车辆购置税用于农村公路建设支出科目调整至公路建设科目列支，导致经费较上年增加。</w:t>
      </w:r>
    </w:p>
    <w:p w14:paraId="4C192749">
      <w:pPr>
        <w:spacing w:line="580" w:lineRule="exact"/>
        <w:ind w:firstLine="640"/>
        <w:jc w:val="both"/>
      </w:pPr>
      <w:r>
        <w:rPr>
          <w:rFonts w:ascii="仿宋_GB2312" w:hAnsi="仿宋_GB2312" w:eastAsia="仿宋_GB2312"/>
          <w:b w:val="0"/>
          <w:sz w:val="32"/>
        </w:rPr>
        <w:t>13.交通运输支出(类)公路水路运输(款)海事管理(项):支出决算数为10.00万元，比上年决算增加10.00万元，增长100.00%,主要原因是：本年功能科目调整，海事监督管理和交通执法项目项目资金由一般行政管理事务科目调整至海事管理科目，导致</w:t>
      </w:r>
      <w:r>
        <w:rPr>
          <w:rFonts w:hint="eastAsia" w:ascii="仿宋_GB2312" w:hAnsi="仿宋_GB2312" w:eastAsia="仿宋_GB2312"/>
          <w:b w:val="0"/>
          <w:sz w:val="32"/>
          <w:lang w:val="en-US" w:eastAsia="zh-CN"/>
        </w:rPr>
        <w:t>经费</w:t>
      </w:r>
      <w:r>
        <w:rPr>
          <w:rFonts w:ascii="仿宋_GB2312" w:hAnsi="仿宋_GB2312" w:eastAsia="仿宋_GB2312"/>
          <w:b w:val="0"/>
          <w:sz w:val="32"/>
        </w:rPr>
        <w:t>增加。</w:t>
      </w:r>
    </w:p>
    <w:p w14:paraId="4C1CC9CE">
      <w:pPr>
        <w:spacing w:line="580" w:lineRule="exact"/>
        <w:ind w:firstLine="640"/>
        <w:jc w:val="both"/>
      </w:pPr>
      <w:r>
        <w:rPr>
          <w:rFonts w:ascii="仿宋_GB2312" w:hAnsi="仿宋_GB2312" w:eastAsia="仿宋_GB2312"/>
          <w:b w:val="0"/>
          <w:sz w:val="32"/>
        </w:rPr>
        <w:t>14.交通运输支出(类)公路水路运输(款)其他公路水路运输支出(项):支出决算数为140.62万元，比上年决算增加5.67万元，增长4.20%,主要原因是：本年在职人员工资调增，相关人员经费增加。本年功能科目调整，事业编人员失业和工伤保险支出本年由其他行政事业单位医疗支出科目调整至其他公路水路运输支出科目列支，导致经费较上年增加。</w:t>
      </w:r>
    </w:p>
    <w:p w14:paraId="7C017C0C">
      <w:pPr>
        <w:spacing w:line="580" w:lineRule="exact"/>
        <w:ind w:firstLine="640"/>
        <w:jc w:val="both"/>
      </w:pPr>
      <w:r>
        <w:rPr>
          <w:rFonts w:ascii="仿宋_GB2312" w:hAnsi="仿宋_GB2312" w:eastAsia="仿宋_GB2312"/>
          <w:b w:val="0"/>
          <w:sz w:val="32"/>
        </w:rPr>
        <w:t>15.交通运输支出(类)车辆购置税支出(款)车辆购置税用于农村公路建设支出(项):支出决算数为0.00万元，比上年决算减少2,675.00万元，下降100.00%,主要原因是：本年功能科目调整，S304线哈尔莫敦至巴音郭楞（霍尔古吐至红旗牧场）公路项目经费由本科目调整至公路建设科目列支，导致经费较上年减少。</w:t>
      </w:r>
    </w:p>
    <w:p w14:paraId="51B544EF">
      <w:pPr>
        <w:spacing w:line="580" w:lineRule="exact"/>
        <w:ind w:firstLine="640"/>
        <w:jc w:val="both"/>
      </w:pPr>
      <w:r>
        <w:rPr>
          <w:rFonts w:ascii="仿宋_GB2312" w:hAnsi="仿宋_GB2312" w:eastAsia="仿宋_GB2312"/>
          <w:b w:val="0"/>
          <w:sz w:val="32"/>
        </w:rPr>
        <w:t>16.住房保障支出(类)住房改革支出(款)住房公积金(项):支出决算数为90.01万元，比上年决算增加8.77万元，增长10.80%,主要原因是：本年在职人员工资基数调增，公积金缴费基数上涨，相应支出增加。</w:t>
      </w:r>
    </w:p>
    <w:p w14:paraId="4904FBC9">
      <w:pPr>
        <w:spacing w:line="640" w:lineRule="exact"/>
        <w:ind w:firstLine="640"/>
        <w:jc w:val="both"/>
        <w:outlineLvl w:val="2"/>
      </w:pPr>
      <w:r>
        <w:rPr>
          <w:rFonts w:ascii="黑体" w:hAnsi="黑体" w:eastAsia="黑体"/>
          <w:sz w:val="32"/>
        </w:rPr>
        <w:t>六、一般公共预算财政拨款基本支出决算情况说明</w:t>
      </w:r>
    </w:p>
    <w:p w14:paraId="2BF5F310">
      <w:pPr>
        <w:spacing w:line="580" w:lineRule="exact"/>
        <w:ind w:firstLine="640"/>
        <w:jc w:val="both"/>
      </w:pPr>
      <w:r>
        <w:rPr>
          <w:rFonts w:ascii="仿宋_GB2312" w:hAnsi="仿宋_GB2312" w:eastAsia="仿宋_GB2312"/>
          <w:b w:val="0"/>
          <w:sz w:val="32"/>
        </w:rPr>
        <w:t>2024年度一般公共预算财政拨款基本支出1,250.65万元，其中：</w:t>
      </w:r>
      <w:r>
        <w:rPr>
          <w:rFonts w:ascii="仿宋_GB2312" w:hAnsi="仿宋_GB2312" w:eastAsia="仿宋_GB2312"/>
          <w:b/>
          <w:sz w:val="32"/>
        </w:rPr>
        <w:t>人员经费1,164.91万元，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其他工资福利支出、退休费、抚恤金、生活补助、奖励金。</w:t>
      </w:r>
    </w:p>
    <w:p w14:paraId="588D60C2">
      <w:pPr>
        <w:spacing w:line="580" w:lineRule="exact"/>
        <w:ind w:firstLine="640"/>
        <w:jc w:val="both"/>
      </w:pPr>
      <w:r>
        <w:rPr>
          <w:rFonts w:ascii="仿宋_GB2312" w:hAnsi="仿宋_GB2312" w:eastAsia="仿宋_GB2312"/>
          <w:b/>
          <w:sz w:val="32"/>
        </w:rPr>
        <w:t>公用经费85.74万元，</w:t>
      </w:r>
      <w:r>
        <w:rPr>
          <w:rFonts w:ascii="仿宋_GB2312" w:hAnsi="仿宋_GB2312" w:eastAsia="仿宋_GB2312"/>
          <w:b w:val="0"/>
          <w:sz w:val="32"/>
        </w:rPr>
        <w:t>包括：办公费、水费、电费、邮电费、取暖费、差旅费、维修（护）费、培训费、公务接待费、工会经费、福利费、公务用车运行维护费、其他商品和服务支出。</w:t>
      </w:r>
    </w:p>
    <w:p w14:paraId="3D0162B6">
      <w:pPr>
        <w:spacing w:line="640" w:lineRule="exact"/>
        <w:ind w:firstLine="640"/>
        <w:jc w:val="both"/>
        <w:outlineLvl w:val="2"/>
      </w:pPr>
      <w:r>
        <w:rPr>
          <w:rFonts w:ascii="黑体" w:hAnsi="黑体" w:eastAsia="黑体"/>
          <w:sz w:val="32"/>
        </w:rPr>
        <w:t>七、政府性基金预算财政拨款收入支出决算情况说明</w:t>
      </w:r>
    </w:p>
    <w:p w14:paraId="7FC92D51">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5F2ECCDF">
      <w:pPr>
        <w:spacing w:line="640" w:lineRule="exact"/>
        <w:ind w:firstLine="640"/>
        <w:jc w:val="both"/>
        <w:outlineLvl w:val="2"/>
      </w:pPr>
      <w:r>
        <w:rPr>
          <w:rFonts w:ascii="黑体" w:hAnsi="黑体" w:eastAsia="黑体"/>
          <w:sz w:val="32"/>
        </w:rPr>
        <w:t>八、国有资本经营预算财政拨款收入支出决算情况说明</w:t>
      </w:r>
    </w:p>
    <w:p w14:paraId="4FA31139">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50DAB12">
      <w:pPr>
        <w:spacing w:line="640" w:lineRule="exact"/>
        <w:ind w:firstLine="640"/>
        <w:jc w:val="both"/>
        <w:outlineLvl w:val="2"/>
      </w:pPr>
      <w:r>
        <w:rPr>
          <w:rFonts w:ascii="黑体" w:hAnsi="黑体" w:eastAsia="黑体"/>
          <w:sz w:val="32"/>
        </w:rPr>
        <w:t>九、财政拨款“三公”经费支出决算情况说明</w:t>
      </w:r>
    </w:p>
    <w:p w14:paraId="1425F706">
      <w:pPr>
        <w:spacing w:line="580" w:lineRule="exact"/>
        <w:ind w:firstLine="640"/>
        <w:jc w:val="both"/>
      </w:pPr>
      <w:r>
        <w:rPr>
          <w:rFonts w:ascii="仿宋_GB2312" w:hAnsi="仿宋_GB2312" w:eastAsia="仿宋_GB2312"/>
          <w:b/>
          <w:sz w:val="32"/>
        </w:rPr>
        <w:t>2024年度财政拨款“三公”经费支出32.14万元，</w:t>
      </w:r>
      <w:r>
        <w:rPr>
          <w:rFonts w:ascii="仿宋_GB2312" w:hAnsi="仿宋_GB2312" w:eastAsia="仿宋_GB2312"/>
          <w:b w:val="0"/>
          <w:sz w:val="32"/>
        </w:rPr>
        <w:t>比上年增加11.59万元，增长56.40%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30.74万元，占95.64%，比上年增加11.59万元，增长60.52%，主要原因是：本年因业务需求，用车次数增加，燃油费增加，导致公务用车运行维护费较上年增加。公务接待费支出1.40万元，占4.36%，比上年增加0.00万元，增长0.00%，主要原因是：本部门公务接待费与上年一致无变化。</w:t>
      </w:r>
    </w:p>
    <w:p w14:paraId="6CEA0B21">
      <w:pPr>
        <w:spacing w:line="580" w:lineRule="exact"/>
        <w:ind w:firstLine="640"/>
        <w:jc w:val="both"/>
      </w:pPr>
      <w:r>
        <w:rPr>
          <w:rFonts w:ascii="仿宋_GB2312" w:hAnsi="仿宋_GB2312" w:eastAsia="仿宋_GB2312"/>
          <w:b/>
          <w:sz w:val="32"/>
        </w:rPr>
        <w:t>具体情况如下：</w:t>
      </w:r>
    </w:p>
    <w:p w14:paraId="07257194">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1E69DC0B">
      <w:pPr>
        <w:spacing w:line="580" w:lineRule="exact"/>
        <w:ind w:firstLine="640"/>
        <w:jc w:val="both"/>
      </w:pPr>
      <w:r>
        <w:rPr>
          <w:rFonts w:ascii="仿宋_GB2312" w:hAnsi="仿宋_GB2312" w:eastAsia="仿宋_GB2312"/>
          <w:b w:val="0"/>
          <w:sz w:val="32"/>
        </w:rPr>
        <w:t>公务用车购置及运行维护费30.74万元，其中：公务用车购置费0.00万元，公务用车运行维护费30.74万元。公务用车运行维护费开支内容包括车辆加油费、维修费、保险费、审车费、过路费等。公务用车购置数0辆，公务用车保有量8辆。国有资产占用情况中固定资产车辆20辆，与公务用车保有量差异原因是：差异车辆12辆为执法改制前原单位无法核销的盘亏及待报废车辆</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预算未安排公务用车运行维护费</w:t>
      </w:r>
      <w:r>
        <w:rPr>
          <w:rFonts w:ascii="仿宋_GB2312" w:hAnsi="仿宋_GB2312" w:eastAsia="仿宋_GB2312"/>
          <w:b w:val="0"/>
          <w:sz w:val="32"/>
        </w:rPr>
        <w:t>。</w:t>
      </w:r>
    </w:p>
    <w:p w14:paraId="6DEB2F24">
      <w:pPr>
        <w:spacing w:line="580" w:lineRule="exact"/>
        <w:ind w:firstLine="640"/>
        <w:jc w:val="both"/>
      </w:pPr>
      <w:r>
        <w:rPr>
          <w:rFonts w:ascii="仿宋_GB2312" w:hAnsi="仿宋_GB2312" w:eastAsia="仿宋_GB2312"/>
          <w:b w:val="0"/>
          <w:sz w:val="32"/>
        </w:rPr>
        <w:t>公务接待费1.40万元，开支内容包括因工作需要，接待上级领导督导检查产生的就餐费。部门全年安排的国内公务接待18批次，134人次。</w:t>
      </w:r>
    </w:p>
    <w:p w14:paraId="3336008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32.14万元，决算数32.14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30.74万元，决算数30.74万元，预决算差异率0.00%，主要原因是：严格按照预算执行，预决算无差异。公务接待费全年预算数1.40万元，决算数1.40万元，预决算差异率0.00%，主要原因是：严格按照预算执行，预决算无差异。</w:t>
      </w:r>
    </w:p>
    <w:p w14:paraId="131DF01B">
      <w:pPr>
        <w:spacing w:line="640" w:lineRule="exact"/>
        <w:ind w:firstLine="640"/>
        <w:jc w:val="both"/>
        <w:outlineLvl w:val="2"/>
      </w:pPr>
      <w:r>
        <w:rPr>
          <w:rFonts w:ascii="黑体" w:hAnsi="黑体" w:eastAsia="黑体"/>
          <w:sz w:val="32"/>
        </w:rPr>
        <w:t>十、其他重要事项的情况说明</w:t>
      </w:r>
    </w:p>
    <w:p w14:paraId="0D889D72">
      <w:pPr>
        <w:spacing w:line="640" w:lineRule="exact"/>
        <w:ind w:firstLine="640"/>
        <w:jc w:val="both"/>
        <w:outlineLvl w:val="3"/>
      </w:pPr>
      <w:r>
        <w:rPr>
          <w:rFonts w:ascii="楷体_GB2312" w:hAnsi="楷体_GB2312" w:eastAsia="楷体_GB2312"/>
          <w:b/>
          <w:sz w:val="32"/>
        </w:rPr>
        <w:t>（一）机关运行经费及公用经费支出情况</w:t>
      </w:r>
    </w:p>
    <w:p w14:paraId="3301E111">
      <w:pPr>
        <w:spacing w:line="580" w:lineRule="exact"/>
        <w:ind w:firstLine="640"/>
        <w:jc w:val="both"/>
      </w:pPr>
      <w:r>
        <w:rPr>
          <w:rFonts w:ascii="仿宋_GB2312" w:hAnsi="仿宋_GB2312" w:eastAsia="仿宋_GB2312"/>
          <w:b w:val="0"/>
          <w:sz w:val="32"/>
        </w:rPr>
        <w:t>2024年度巴音郭楞蒙古自治州交通运输局（部门）（行政单位和参照公务员法管理事业单位）机关运行经费支出85.74万元，比上年减少29.58万元，下降25.65%，主要原因是：本年减少办公场所搬迁经费，办公设备购置费减少，导致机关运行经费支出减少。</w:t>
      </w:r>
    </w:p>
    <w:p w14:paraId="4133CDDD">
      <w:pPr>
        <w:spacing w:line="640" w:lineRule="exact"/>
        <w:ind w:firstLine="640"/>
        <w:jc w:val="both"/>
        <w:outlineLvl w:val="3"/>
      </w:pPr>
      <w:r>
        <w:rPr>
          <w:rFonts w:ascii="楷体_GB2312" w:hAnsi="楷体_GB2312" w:eastAsia="楷体_GB2312"/>
          <w:b/>
          <w:sz w:val="32"/>
        </w:rPr>
        <w:t>（二）政府采购情况</w:t>
      </w:r>
    </w:p>
    <w:p w14:paraId="280DD5E4">
      <w:pPr>
        <w:spacing w:line="580" w:lineRule="exact"/>
        <w:ind w:firstLine="640"/>
        <w:jc w:val="both"/>
      </w:pPr>
      <w:r>
        <w:rPr>
          <w:rFonts w:ascii="仿宋_GB2312" w:hAnsi="仿宋_GB2312" w:eastAsia="仿宋_GB2312"/>
          <w:b w:val="0"/>
          <w:sz w:val="32"/>
        </w:rPr>
        <w:t>2024年度政府采购支出总额58.43万元，其中：政府采购货物支出24.39万元、政府采购工程支出0.00万元、政府采购服务支出34.04万元。</w:t>
      </w:r>
    </w:p>
    <w:p w14:paraId="34D0CF5B">
      <w:pPr>
        <w:spacing w:line="580" w:lineRule="exact"/>
        <w:ind w:firstLine="640"/>
        <w:jc w:val="both"/>
      </w:pPr>
      <w:r>
        <w:rPr>
          <w:rFonts w:ascii="仿宋_GB2312" w:hAnsi="仿宋_GB2312" w:eastAsia="仿宋_GB2312"/>
          <w:b w:val="0"/>
          <w:sz w:val="32"/>
        </w:rPr>
        <w:t>授予中小企业合同金额18.29万元，占政府采购支出总额的31.30%，其中：授予小微企业合同金额16.26万元，占政府采购支出总额的27.83%。</w:t>
      </w:r>
    </w:p>
    <w:p w14:paraId="133635DC">
      <w:pPr>
        <w:spacing w:line="640" w:lineRule="exact"/>
        <w:ind w:firstLine="640"/>
        <w:jc w:val="both"/>
        <w:outlineLvl w:val="3"/>
      </w:pPr>
      <w:r>
        <w:rPr>
          <w:rFonts w:ascii="楷体_GB2312" w:hAnsi="楷体_GB2312" w:eastAsia="楷体_GB2312"/>
          <w:b/>
          <w:sz w:val="32"/>
        </w:rPr>
        <w:t>（三）国有资产占用情况说明</w:t>
      </w:r>
    </w:p>
    <w:p w14:paraId="2C46A61F">
      <w:pPr>
        <w:spacing w:line="580" w:lineRule="exact"/>
        <w:ind w:firstLine="640"/>
        <w:jc w:val="both"/>
      </w:pPr>
      <w:r>
        <w:rPr>
          <w:rFonts w:ascii="仿宋_GB2312" w:hAnsi="仿宋_GB2312" w:eastAsia="仿宋_GB2312"/>
          <w:b w:val="0"/>
          <w:sz w:val="32"/>
        </w:rPr>
        <w:t>截至2024年12月31日，房屋9,025.59平方米，价值678.71万元。车辆20辆，价值378.34万元，其中：副部（省）级及以上领导用车0辆、主要负责人用车0辆、机要通信用车0辆、应急保障用车0辆、执法执勤用车5辆、特种专业技术用车0辆、离退休干部服务用车0辆、其他用车15辆，其他用车主要是：一般公务用车3辆，12辆盘亏、待报废车辆。单价100万元（含）以上设备（不含车辆）0台（套）。</w:t>
      </w:r>
    </w:p>
    <w:p w14:paraId="653027C6">
      <w:pPr>
        <w:spacing w:line="640" w:lineRule="exact"/>
        <w:ind w:firstLine="640"/>
        <w:jc w:val="both"/>
        <w:outlineLvl w:val="2"/>
      </w:pPr>
      <w:r>
        <w:rPr>
          <w:rFonts w:ascii="黑体" w:hAnsi="黑体" w:eastAsia="黑体"/>
          <w:sz w:val="32"/>
        </w:rPr>
        <w:t>十一、预算绩效的情况说明</w:t>
      </w:r>
    </w:p>
    <w:p w14:paraId="07145F28">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25,422.27万元，实际执行总额25,341.60万元；预算绩效评价项目9个，全年预算数24,127.67万元，全年执行数24,089.88万元。预算绩效管理取得的成效：一是本部门以绩效目标实现为导向，加强制度建设，提升预算执行质量，促进绩效目标顺利实现；二是自落实预算绩效管理工作以来，本部门在项目资金的使用上有了更明确、更清晰地理解和认识。通过实施预算绩效管理，树立了绩效优先的管理理念，也很好地避免了在经费使用上出现违规行为的概率，提升了部门管理水平和资金使用效益，为全面实施绩效管理打下了坚实的基础。发现的问题及原因：一是对绩效目标偏差问题缺乏有效分析，从而导致填报的内容相对简单；二是在部门整体支出的资金安排和使用上仍有不可预见性，在经费支出科学化精细化管理上还有待加强。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部门整体支出绩效自评表，项目支出绩效自评表和部门评价报告。</w:t>
      </w:r>
    </w:p>
    <w:p w14:paraId="16E64E89">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FDA1A57">
        <w:tblPrEx>
          <w:tblCellMar>
            <w:top w:w="0" w:type="dxa"/>
            <w:left w:w="108" w:type="dxa"/>
            <w:bottom w:w="0" w:type="dxa"/>
            <w:right w:w="108" w:type="dxa"/>
          </w:tblCellMar>
        </w:tblPrEx>
        <w:tc>
          <w:tcPr>
            <w:tcW w:w="8840" w:type="dxa"/>
            <w:gridSpan w:val="8"/>
            <w:vAlign w:val="center"/>
          </w:tcPr>
          <w:p w14:paraId="2772FC93">
            <w:pPr>
              <w:jc w:val="center"/>
            </w:pPr>
            <w:r>
              <w:rPr>
                <w:rFonts w:ascii="宋体" w:hAnsi="宋体" w:eastAsia="宋体"/>
                <w:sz w:val="24"/>
              </w:rPr>
              <w:t>部门整体支出绩效自评表</w:t>
            </w:r>
          </w:p>
        </w:tc>
      </w:tr>
      <w:tr w14:paraId="5C9FD79A">
        <w:tblPrEx>
          <w:tblCellMar>
            <w:top w:w="0" w:type="dxa"/>
            <w:left w:w="108" w:type="dxa"/>
            <w:bottom w:w="0" w:type="dxa"/>
            <w:right w:w="108" w:type="dxa"/>
          </w:tblCellMar>
        </w:tblPrEx>
        <w:tc>
          <w:tcPr>
            <w:tcW w:w="8840" w:type="dxa"/>
            <w:gridSpan w:val="8"/>
            <w:vAlign w:val="center"/>
          </w:tcPr>
          <w:p w14:paraId="51CFF8BB">
            <w:pPr>
              <w:jc w:val="center"/>
            </w:pPr>
            <w:r>
              <w:rPr>
                <w:rFonts w:ascii="宋体" w:hAnsi="宋体" w:eastAsia="宋体"/>
                <w:sz w:val="24"/>
              </w:rPr>
              <w:t>（2024年度）</w:t>
            </w:r>
          </w:p>
        </w:tc>
      </w:tr>
      <w:tr w14:paraId="69E5C94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ADACB5">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C3022F">
            <w:pPr>
              <w:jc w:val="center"/>
            </w:pPr>
            <w:r>
              <w:rPr>
                <w:rFonts w:ascii="宋体" w:hAnsi="宋体" w:eastAsia="宋体"/>
                <w:sz w:val="16"/>
              </w:rPr>
              <w:t>巴音郭楞蒙古自治州交通运输局（部门）</w:t>
            </w:r>
          </w:p>
        </w:tc>
      </w:tr>
      <w:tr w14:paraId="6FBE464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E4B8B">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571E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36522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5E854">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FECB51">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A25AD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EE423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3FBA39">
            <w:pPr>
              <w:jc w:val="center"/>
            </w:pPr>
            <w:r>
              <w:rPr>
                <w:rFonts w:ascii="宋体" w:hAnsi="宋体" w:eastAsia="宋体"/>
                <w:sz w:val="16"/>
              </w:rPr>
              <w:t>得分</w:t>
            </w:r>
          </w:p>
        </w:tc>
      </w:tr>
      <w:tr w14:paraId="0EF35AE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EA8AD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7F86B2">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1914F2">
            <w:pPr>
              <w:jc w:val="center"/>
            </w:pPr>
            <w:r>
              <w:rPr>
                <w:rFonts w:ascii="宋体" w:hAnsi="宋体" w:eastAsia="宋体"/>
                <w:sz w:val="16"/>
              </w:rPr>
              <w:t>8,634.03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D5E128">
            <w:pPr>
              <w:jc w:val="center"/>
            </w:pPr>
            <w:r>
              <w:rPr>
                <w:rFonts w:ascii="宋体" w:hAnsi="宋体" w:eastAsia="宋体"/>
                <w:sz w:val="16"/>
              </w:rPr>
              <w:t>25,422.27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72E03E">
            <w:pPr>
              <w:jc w:val="center"/>
            </w:pPr>
            <w:r>
              <w:rPr>
                <w:rFonts w:ascii="宋体" w:hAnsi="宋体" w:eastAsia="宋体"/>
                <w:sz w:val="16"/>
              </w:rPr>
              <w:t>25,341.60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1DC2F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CD04A2">
            <w:pPr>
              <w:jc w:val="center"/>
            </w:pPr>
            <w:r>
              <w:rPr>
                <w:rFonts w:ascii="宋体" w:hAnsi="宋体" w:eastAsia="宋体"/>
                <w:sz w:val="16"/>
              </w:rPr>
              <w:t>99.68%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140776">
            <w:pPr>
              <w:jc w:val="center"/>
            </w:pPr>
            <w:r>
              <w:rPr>
                <w:rFonts w:ascii="宋体" w:hAnsi="宋体" w:eastAsia="宋体"/>
                <w:sz w:val="16"/>
              </w:rPr>
              <w:t>9.97</w:t>
            </w:r>
          </w:p>
        </w:tc>
      </w:tr>
      <w:tr w14:paraId="20D986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A4C6D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AF6926">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D9D871">
            <w:pPr>
              <w:jc w:val="center"/>
            </w:pPr>
            <w:r>
              <w:rPr>
                <w:rFonts w:ascii="宋体" w:hAnsi="宋体" w:eastAsia="宋体"/>
                <w:sz w:val="16"/>
              </w:rPr>
              <w:t>2,738.00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789DBA">
            <w:pPr>
              <w:jc w:val="center"/>
            </w:pPr>
            <w:r>
              <w:rPr>
                <w:rFonts w:ascii="宋体" w:hAnsi="宋体" w:eastAsia="宋体"/>
                <w:sz w:val="16"/>
              </w:rPr>
              <w:t>4,063.00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CBBBF">
            <w:pPr>
              <w:jc w:val="center"/>
            </w:pPr>
            <w:r>
              <w:rPr>
                <w:rFonts w:ascii="宋体" w:hAnsi="宋体" w:eastAsia="宋体"/>
                <w:sz w:val="16"/>
              </w:rPr>
              <w:t>4,063.00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1201E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CF68A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46BFE">
            <w:pPr>
              <w:jc w:val="center"/>
            </w:pPr>
            <w:r>
              <w:rPr>
                <w:rFonts w:ascii="宋体" w:hAnsi="宋体" w:eastAsia="宋体"/>
                <w:sz w:val="16"/>
              </w:rPr>
              <w:t>-</w:t>
            </w:r>
          </w:p>
        </w:tc>
      </w:tr>
      <w:tr w14:paraId="077AA11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8E030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C5C5E8">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47784">
            <w:pPr>
              <w:jc w:val="center"/>
            </w:pPr>
            <w:r>
              <w:rPr>
                <w:rFonts w:ascii="宋体" w:hAnsi="宋体" w:eastAsia="宋体"/>
                <w:sz w:val="16"/>
              </w:rPr>
              <w:t>5,852.03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756783">
            <w:pPr>
              <w:jc w:val="center"/>
            </w:pPr>
            <w:r>
              <w:rPr>
                <w:rFonts w:ascii="宋体" w:hAnsi="宋体" w:eastAsia="宋体"/>
                <w:sz w:val="16"/>
              </w:rPr>
              <w:t>21,323.36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F05E1">
            <w:pPr>
              <w:jc w:val="center"/>
            </w:pPr>
            <w:r>
              <w:rPr>
                <w:rFonts w:ascii="宋体" w:hAnsi="宋体" w:eastAsia="宋体"/>
                <w:sz w:val="16"/>
              </w:rPr>
              <w:t>21,242.69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88957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8ECB0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1B52C5">
            <w:pPr>
              <w:jc w:val="center"/>
            </w:pPr>
            <w:r>
              <w:rPr>
                <w:rFonts w:ascii="宋体" w:hAnsi="宋体" w:eastAsia="宋体"/>
                <w:sz w:val="16"/>
              </w:rPr>
              <w:t>-</w:t>
            </w:r>
          </w:p>
        </w:tc>
      </w:tr>
      <w:tr w14:paraId="7A5E0ED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A2212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9CF8C2">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607B1A">
            <w:pPr>
              <w:jc w:val="center"/>
            </w:pPr>
            <w:r>
              <w:rPr>
                <w:rFonts w:ascii="宋体" w:hAnsi="宋体" w:eastAsia="宋体"/>
                <w:sz w:val="16"/>
              </w:rPr>
              <w:t>44.00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B1E728">
            <w:pPr>
              <w:jc w:val="center"/>
            </w:pPr>
            <w:r>
              <w:rPr>
                <w:rFonts w:ascii="宋体" w:hAnsi="宋体" w:eastAsia="宋体"/>
                <w:sz w:val="16"/>
              </w:rPr>
              <w:t>35.91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4E5103">
            <w:pPr>
              <w:jc w:val="center"/>
            </w:pPr>
            <w:r>
              <w:rPr>
                <w:rFonts w:ascii="宋体" w:hAnsi="宋体" w:eastAsia="宋体"/>
                <w:sz w:val="16"/>
              </w:rPr>
              <w:t>35.91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BB7FF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1A758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3563DA">
            <w:pPr>
              <w:jc w:val="center"/>
            </w:pPr>
            <w:r>
              <w:rPr>
                <w:rFonts w:ascii="宋体" w:hAnsi="宋体" w:eastAsia="宋体"/>
                <w:sz w:val="16"/>
              </w:rPr>
              <w:t>-</w:t>
            </w:r>
          </w:p>
        </w:tc>
      </w:tr>
      <w:tr w14:paraId="3E5DFE2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A195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2098A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A5781E">
            <w:pPr>
              <w:jc w:val="center"/>
            </w:pPr>
            <w:r>
              <w:rPr>
                <w:rFonts w:ascii="宋体" w:hAnsi="宋体" w:eastAsia="宋体"/>
                <w:sz w:val="16"/>
              </w:rPr>
              <w:t>实际完成情况</w:t>
            </w:r>
          </w:p>
        </w:tc>
      </w:tr>
      <w:tr w14:paraId="489A5B8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94F23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43A8C5">
            <w:pPr>
              <w:jc w:val="both"/>
            </w:pPr>
            <w:r>
              <w:rPr>
                <w:rFonts w:ascii="宋体" w:hAnsi="宋体" w:eastAsia="宋体"/>
                <w:sz w:val="16"/>
              </w:rPr>
              <w:t>坚持以习近平新时代中国特色社会主义思想为指导，深入贯彻落实党的二十大和中央经济工作会议、中央农村工作会议精神，深入贯彻落实习近平总书记视察新疆重要讲话重要指示和关于交通运输工作的重要论述精神，完整准确贯彻新时代党的治疆方略，全面贯彻落实自治区党委十届三次、五次、六次、七次全会和交通运输部工作部署，坚持稳中求进工作总基调，完整、准确、全面贯彻新发展理念，统筹发展和安全，扎实推动事关长治久安的根本性、基础性、长远性工作，突出扩投资、保通畅、稳市场、调结构、保安全、防风险，加快交通强国新疆试点工作，加快建设丝绸之路经济带核心区交通枢纽中心，为在新征程上建设美好新疆开好局、起好步作出交通贡献。重点做好以下几个方面的工作：1.坚持全面从严治党，加强党的建设；2.提升交通运输安全管理能力，强化交通运输应急管理；3.加快完善公路基础设施网络，提升建设管理水平；4.强化行业监管力度，落实监管措施，保证执法工作高效有序开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B8DAB1">
            <w:pPr>
              <w:jc w:val="both"/>
            </w:pPr>
            <w:r>
              <w:rPr>
                <w:rFonts w:ascii="宋体" w:hAnsi="宋体" w:eastAsia="宋体"/>
                <w:sz w:val="16"/>
              </w:rPr>
              <w:t>完全保障在职在岗人员及退休人员正常办公秩序。逐步提升交通运输安全管理能力，强化交通运输应急管理。完善公路基础设施网络，提升建设管理水平。强化行业监管力度，落实监管措施，保证执法工作高效有序开展。完成交通固定资产投资7238万元，完成农村公路建设里程500.06公里，交通运输安全生产监督检查20次，新增普通省道路基建设里程66.219公里，对客运站场及运输企业监督检查193次。</w:t>
            </w:r>
          </w:p>
        </w:tc>
      </w:tr>
      <w:tr w14:paraId="7D3041D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E00D8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8BC8E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8D17E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22480E">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744DB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C7DD6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13AF8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22660B">
            <w:pPr>
              <w:jc w:val="center"/>
            </w:pPr>
            <w:r>
              <w:rPr>
                <w:rFonts w:ascii="宋体" w:hAnsi="宋体" w:eastAsia="宋体"/>
                <w:sz w:val="16"/>
              </w:rPr>
              <w:t>得分</w:t>
            </w:r>
          </w:p>
        </w:tc>
      </w:tr>
      <w:tr w14:paraId="56F898A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9EA0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E6C27">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C2A5FB">
            <w:pPr>
              <w:jc w:val="center"/>
            </w:pPr>
            <w:r>
              <w:rPr>
                <w:rFonts w:ascii="宋体" w:hAnsi="宋体" w:eastAsia="宋体"/>
                <w:sz w:val="16"/>
              </w:rPr>
              <w:t>完成交通固定资产投资</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5541E6">
            <w:pPr>
              <w:jc w:val="center"/>
            </w:pPr>
            <w:r>
              <w:rPr>
                <w:rFonts w:ascii="宋体" w:hAnsi="宋体" w:eastAsia="宋体"/>
                <w:sz w:val="16"/>
              </w:rPr>
              <w:t>&gt;=7238万元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3DE552">
            <w:pPr>
              <w:jc w:val="center"/>
            </w:pPr>
            <w:r>
              <w:rPr>
                <w:rFonts w:ascii="宋体" w:hAnsi="宋体" w:eastAsia="宋体"/>
                <w:sz w:val="16"/>
              </w:rPr>
              <w:t>年度计划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EE1F8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24DB34">
            <w:pPr>
              <w:jc w:val="center"/>
            </w:pPr>
            <w:r>
              <w:rPr>
                <w:rFonts w:ascii="宋体" w:hAnsi="宋体" w:eastAsia="宋体"/>
                <w:sz w:val="16"/>
              </w:rPr>
              <w:t>7238万元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04DCF3">
            <w:pPr>
              <w:jc w:val="center"/>
            </w:pPr>
            <w:r>
              <w:rPr>
                <w:rFonts w:ascii="宋体" w:hAnsi="宋体" w:eastAsia="宋体"/>
                <w:sz w:val="16"/>
              </w:rPr>
              <w:t>30</w:t>
            </w:r>
          </w:p>
        </w:tc>
      </w:tr>
      <w:tr w14:paraId="6FFB266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02AAB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9ADB6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5F5E20">
            <w:pPr>
              <w:jc w:val="center"/>
            </w:pPr>
            <w:r>
              <w:rPr>
                <w:rFonts w:ascii="宋体" w:hAnsi="宋体" w:eastAsia="宋体"/>
                <w:sz w:val="16"/>
              </w:rPr>
              <w:t>交通运输安全生产监督检查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A1E5BB">
            <w:pPr>
              <w:jc w:val="center"/>
            </w:pPr>
            <w:r>
              <w:rPr>
                <w:rFonts w:ascii="宋体" w:hAnsi="宋体" w:eastAsia="宋体"/>
                <w:sz w:val="16"/>
              </w:rPr>
              <w:t>&gt;=20次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19DAEF">
            <w:pPr>
              <w:jc w:val="center"/>
            </w:pPr>
            <w:r>
              <w:rPr>
                <w:rFonts w:ascii="宋体" w:hAnsi="宋体" w:eastAsia="宋体"/>
                <w:sz w:val="16"/>
              </w:rPr>
              <w:t>年度计划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BF8F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194248">
            <w:pPr>
              <w:jc w:val="center"/>
            </w:pPr>
            <w:r>
              <w:rPr>
                <w:rFonts w:ascii="宋体" w:hAnsi="宋体" w:eastAsia="宋体"/>
                <w:sz w:val="16"/>
              </w:rPr>
              <w: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5E781C">
            <w:pPr>
              <w:jc w:val="center"/>
            </w:pPr>
            <w:r>
              <w:rPr>
                <w:rFonts w:ascii="宋体" w:hAnsi="宋体" w:eastAsia="宋体"/>
                <w:sz w:val="16"/>
              </w:rPr>
              <w:t>20</w:t>
            </w:r>
          </w:p>
        </w:tc>
      </w:tr>
      <w:tr w14:paraId="1032821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465D2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2A349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C75475">
            <w:pPr>
              <w:jc w:val="center"/>
            </w:pPr>
            <w:r>
              <w:rPr>
                <w:rFonts w:ascii="宋体" w:hAnsi="宋体" w:eastAsia="宋体"/>
                <w:sz w:val="16"/>
              </w:rPr>
              <w:t>对客运站场及运输企业监督检查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F46043">
            <w:pPr>
              <w:jc w:val="center"/>
            </w:pPr>
            <w:r>
              <w:rPr>
                <w:rFonts w:ascii="宋体" w:hAnsi="宋体" w:eastAsia="宋体"/>
                <w:sz w:val="16"/>
              </w:rPr>
              <w:t>&gt;=180次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62A603">
            <w:pPr>
              <w:jc w:val="center"/>
            </w:pPr>
            <w:r>
              <w:rPr>
                <w:rFonts w:ascii="宋体" w:hAnsi="宋体" w:eastAsia="宋体"/>
                <w:sz w:val="16"/>
              </w:rPr>
              <w:t>年度计划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3183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E50AE6">
            <w:pPr>
              <w:jc w:val="center"/>
            </w:pPr>
            <w:r>
              <w:rPr>
                <w:rFonts w:ascii="宋体" w:hAnsi="宋体" w:eastAsia="宋体"/>
                <w:sz w:val="16"/>
              </w:rPr>
              <w:t>193次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068833">
            <w:pPr>
              <w:jc w:val="center"/>
            </w:pPr>
            <w:r>
              <w:rPr>
                <w:rFonts w:ascii="宋体" w:hAnsi="宋体" w:eastAsia="宋体"/>
                <w:sz w:val="16"/>
              </w:rPr>
              <w:t>20</w:t>
            </w:r>
          </w:p>
        </w:tc>
      </w:tr>
      <w:tr w14:paraId="0782414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770A3">
            <w:pPr>
              <w:jc w:val="center"/>
            </w:pPr>
            <w:r>
              <w:rPr>
                <w:rFonts w:ascii="宋体" w:hAnsi="宋体" w:eastAsia="宋体"/>
                <w:sz w:val="16"/>
              </w:rPr>
              <w:t>社会效益</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7D356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8A7CE7">
            <w:pPr>
              <w:jc w:val="center"/>
            </w:pPr>
            <w:r>
              <w:rPr>
                <w:rFonts w:ascii="宋体" w:hAnsi="宋体" w:eastAsia="宋体"/>
                <w:sz w:val="16"/>
              </w:rPr>
              <w:t>完成新改建农村公路里程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C78423">
            <w:pPr>
              <w:jc w:val="center"/>
            </w:pPr>
            <w:r>
              <w:rPr>
                <w:rFonts w:ascii="宋体" w:hAnsi="宋体" w:eastAsia="宋体"/>
                <w:sz w:val="16"/>
              </w:rPr>
              <w:t>&gt;=440公里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C060AF">
            <w:pPr>
              <w:jc w:val="center"/>
            </w:pPr>
            <w:r>
              <w:rPr>
                <w:rFonts w:ascii="宋体" w:hAnsi="宋体" w:eastAsia="宋体"/>
                <w:sz w:val="16"/>
              </w:rPr>
              <w:t>年度计划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D88AC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B6EE73">
            <w:pPr>
              <w:jc w:val="center"/>
            </w:pPr>
            <w:r>
              <w:rPr>
                <w:rFonts w:ascii="宋体" w:hAnsi="宋体" w:eastAsia="宋体"/>
                <w:sz w:val="16"/>
              </w:rPr>
              <w:t>500.06公里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6F60DA">
            <w:pPr>
              <w:jc w:val="center"/>
            </w:pPr>
            <w:r>
              <w:rPr>
                <w:rFonts w:ascii="宋体" w:hAnsi="宋体" w:eastAsia="宋体"/>
                <w:sz w:val="16"/>
              </w:rPr>
              <w:t>20</w:t>
            </w:r>
          </w:p>
        </w:tc>
      </w:tr>
    </w:tbl>
    <w:p w14:paraId="3D3D9C4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306887EC">
        <w:tblPrEx>
          <w:tblCellMar>
            <w:top w:w="0" w:type="dxa"/>
            <w:left w:w="108" w:type="dxa"/>
            <w:bottom w:w="0" w:type="dxa"/>
            <w:right w:w="108" w:type="dxa"/>
          </w:tblCellMar>
        </w:tblPrEx>
        <w:tc>
          <w:tcPr>
            <w:tcW w:w="8848" w:type="dxa"/>
            <w:gridSpan w:val="14"/>
            <w:vAlign w:val="center"/>
          </w:tcPr>
          <w:p w14:paraId="46CF9F03">
            <w:pPr>
              <w:jc w:val="center"/>
            </w:pPr>
            <w:r>
              <w:rPr>
                <w:rFonts w:ascii="宋体" w:hAnsi="宋体" w:eastAsia="宋体"/>
                <w:sz w:val="24"/>
              </w:rPr>
              <w:t>项目支出绩效自评表</w:t>
            </w:r>
          </w:p>
        </w:tc>
      </w:tr>
      <w:tr w14:paraId="38192919">
        <w:tblPrEx>
          <w:tblCellMar>
            <w:top w:w="0" w:type="dxa"/>
            <w:left w:w="108" w:type="dxa"/>
            <w:bottom w:w="0" w:type="dxa"/>
            <w:right w:w="108" w:type="dxa"/>
          </w:tblCellMar>
        </w:tblPrEx>
        <w:tc>
          <w:tcPr>
            <w:tcW w:w="8848" w:type="dxa"/>
            <w:gridSpan w:val="14"/>
            <w:vAlign w:val="center"/>
          </w:tcPr>
          <w:p w14:paraId="14E892A4">
            <w:pPr>
              <w:jc w:val="center"/>
            </w:pPr>
            <w:r>
              <w:rPr>
                <w:rFonts w:ascii="宋体" w:hAnsi="宋体" w:eastAsia="宋体"/>
                <w:sz w:val="24"/>
              </w:rPr>
              <w:t>(2024年度)</w:t>
            </w:r>
          </w:p>
        </w:tc>
      </w:tr>
      <w:tr w14:paraId="7BB67F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1A6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0F7833">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611D32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DB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18EA8D">
            <w:pPr>
              <w:jc w:val="center"/>
            </w:pPr>
            <w:r>
              <w:rPr>
                <w:rFonts w:ascii="宋体" w:hAnsi="宋体" w:eastAsia="宋体"/>
                <w:sz w:val="16"/>
              </w:rPr>
              <w:t>巴音郭楞蒙古自治州交通运输局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FF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B8F09D">
            <w:pPr>
              <w:jc w:val="center"/>
            </w:pPr>
            <w:r>
              <w:rPr>
                <w:rFonts w:ascii="宋体" w:hAnsi="宋体" w:eastAsia="宋体"/>
                <w:sz w:val="16"/>
              </w:rPr>
              <w:t>巴音郭楞蒙古自治州交通运输局</w:t>
            </w:r>
          </w:p>
        </w:tc>
      </w:tr>
      <w:tr w14:paraId="21F321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BE8D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3CC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5B8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66E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5CD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CB38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6D0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1975">
            <w:pPr>
              <w:jc w:val="center"/>
            </w:pPr>
            <w:r>
              <w:rPr>
                <w:rFonts w:ascii="宋体" w:hAnsi="宋体" w:eastAsia="宋体"/>
                <w:sz w:val="16"/>
              </w:rPr>
              <w:t>得分</w:t>
            </w:r>
          </w:p>
        </w:tc>
      </w:tr>
      <w:tr w14:paraId="5ABA96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AE4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96F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7DB6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ECD3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EA0B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9AE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C4DD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2B90">
            <w:pPr>
              <w:jc w:val="center"/>
            </w:pPr>
            <w:r>
              <w:rPr>
                <w:rFonts w:ascii="宋体" w:hAnsi="宋体" w:eastAsia="宋体"/>
                <w:sz w:val="16"/>
              </w:rPr>
              <w:t>10.00</w:t>
            </w:r>
          </w:p>
        </w:tc>
      </w:tr>
      <w:tr w14:paraId="14D61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DDA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4DC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A146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C891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A446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FC3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28C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AA0C">
            <w:pPr>
              <w:jc w:val="center"/>
            </w:pPr>
            <w:r>
              <w:rPr>
                <w:rFonts w:ascii="宋体" w:hAnsi="宋体" w:eastAsia="宋体"/>
                <w:sz w:val="16"/>
              </w:rPr>
              <w:t>-</w:t>
            </w:r>
          </w:p>
        </w:tc>
      </w:tr>
      <w:tr w14:paraId="4D274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788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2D9A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A62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294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F74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97B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C3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F2DD">
            <w:pPr>
              <w:jc w:val="center"/>
            </w:pPr>
            <w:r>
              <w:rPr>
                <w:rFonts w:ascii="宋体" w:hAnsi="宋体" w:eastAsia="宋体"/>
                <w:sz w:val="16"/>
              </w:rPr>
              <w:t>-</w:t>
            </w:r>
          </w:p>
        </w:tc>
      </w:tr>
      <w:tr w14:paraId="7F9B3C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C261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A58D5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0B06AE">
            <w:pPr>
              <w:jc w:val="center"/>
            </w:pPr>
            <w:r>
              <w:rPr>
                <w:rFonts w:ascii="宋体" w:hAnsi="宋体" w:eastAsia="宋体"/>
                <w:sz w:val="16"/>
              </w:rPr>
              <w:t>总体目标完成情况</w:t>
            </w:r>
          </w:p>
        </w:tc>
      </w:tr>
      <w:tr w14:paraId="71D7FD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46A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8E2806">
            <w:pPr>
              <w:jc w:val="both"/>
            </w:pPr>
            <w:r>
              <w:rPr>
                <w:rFonts w:ascii="宋体" w:hAnsi="宋体" w:eastAsia="宋体"/>
                <w:sz w:val="16"/>
              </w:rPr>
              <w:t>根据《关于拨付2024年自治区</w:t>
            </w:r>
            <w:r>
              <w:rPr>
                <w:rFonts w:hint="eastAsia" w:ascii="宋体" w:hAnsi="宋体"/>
                <w:sz w:val="16"/>
                <w:lang w:eastAsia="zh-CN"/>
              </w:rPr>
              <w:t>为民办实事</w:t>
            </w:r>
            <w:r>
              <w:rPr>
                <w:rFonts w:ascii="宋体" w:hAnsi="宋体" w:eastAsia="宋体"/>
                <w:sz w:val="16"/>
              </w:rPr>
              <w:t>工作专项经费的通知》，我局在且末县阿羌镇依山干村</w:t>
            </w:r>
            <w:r>
              <w:rPr>
                <w:rFonts w:hint="eastAsia" w:ascii="宋体" w:hAnsi="宋体"/>
                <w:sz w:val="16"/>
                <w:lang w:eastAsia="zh-CN"/>
              </w:rPr>
              <w:t>派出为民办实事</w:t>
            </w:r>
            <w:r>
              <w:rPr>
                <w:rFonts w:ascii="宋体" w:hAnsi="宋体" w:eastAsia="宋体"/>
                <w:sz w:val="16"/>
              </w:rPr>
              <w:t>工作队，派出第一书记一名，为改善基础设施建设，提高牧民收入，</w:t>
            </w:r>
            <w:r>
              <w:rPr>
                <w:rFonts w:hint="eastAsia" w:ascii="宋体" w:hAnsi="宋体"/>
                <w:sz w:val="16"/>
                <w:lang w:eastAsia="zh-CN"/>
              </w:rPr>
              <w:t>巩固拓展脱贫攻坚成果</w:t>
            </w:r>
            <w:r>
              <w:rPr>
                <w:rFonts w:ascii="宋体" w:hAnsi="宋体" w:eastAsia="宋体"/>
                <w:sz w:val="16"/>
              </w:rPr>
              <w:t>，结合主题教育，深入调查研究，检视问题，狠抓整改落实，着力在转变干部作风，加强民族团结，促进民族团结</w:t>
            </w:r>
            <w:r>
              <w:rPr>
                <w:rFonts w:hint="eastAsia" w:ascii="宋体" w:hAnsi="宋体"/>
                <w:sz w:val="16"/>
                <w:lang w:eastAsia="zh-CN"/>
              </w:rPr>
              <w:t>ZJ</w:t>
            </w:r>
            <w:r>
              <w:rPr>
                <w:rFonts w:ascii="宋体" w:hAnsi="宋体" w:eastAsia="宋体"/>
                <w:sz w:val="16"/>
              </w:rPr>
              <w:t>和谐，保障改善民生，维护社会稳定，强化基层基础等方面取得突破性进展,完成为民办实事工作专项保障。通过访贫问苦，为依山干村村民购买慰问品,为群众送信息、送服务、送温暖；给困难牧民进行房屋修缮、社区辖区绿化、管道维修、井盖更换、办公楼暖气、自来水管维护（维修）等；补充村级组织工作经费，购买办公用品、耗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DBE5D3">
            <w:pPr>
              <w:jc w:val="both"/>
            </w:pPr>
            <w:r>
              <w:rPr>
                <w:rFonts w:ascii="宋体" w:hAnsi="宋体" w:eastAsia="宋体"/>
                <w:sz w:val="16"/>
              </w:rPr>
              <w:t>为民办实事工作经费，一部分用于依山干村贫困户、四老人员、残疾人、低保户的访贫问苦慰问活动，一部分用于补贴村民冬季采暖所需电费，一部分用于支持村里各类节日组织开展活动经费和补充村级办公用品经费，年度内全部使用完毕，完成了为民办实事工作的专项保障。</w:t>
            </w:r>
          </w:p>
        </w:tc>
      </w:tr>
      <w:tr w14:paraId="473C88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2F38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24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0D7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41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580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8C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765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77C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9AB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FF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DBDB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2A8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D26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AD52">
            <w:pPr>
              <w:jc w:val="center"/>
            </w:pPr>
            <w:r>
              <w:rPr>
                <w:rFonts w:ascii="宋体" w:hAnsi="宋体" w:eastAsia="宋体"/>
                <w:sz w:val="16"/>
              </w:rPr>
              <w:t>偏差原因分析及改进措施</w:t>
            </w:r>
          </w:p>
        </w:tc>
      </w:tr>
      <w:tr w14:paraId="6849E0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1063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A81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F28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F893">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A60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FE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F979">
            <w:pPr>
              <w:jc w:val="center"/>
            </w:pPr>
            <w:r>
              <w:rPr>
                <w:rFonts w:hint="eastAsia"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D4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04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B7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11D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F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D3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E26D">
            <w:pPr>
              <w:jc w:val="center"/>
            </w:pPr>
          </w:p>
        </w:tc>
      </w:tr>
      <w:tr w14:paraId="34EC0E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CAB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7FE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6B8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1C74">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B0A2">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DA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D74AA">
            <w:pPr>
              <w:jc w:val="center"/>
            </w:pPr>
            <w:r>
              <w:rPr>
                <w:rFonts w:hint="eastAsia"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CDD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9B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920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850D">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E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18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B906">
            <w:pPr>
              <w:jc w:val="center"/>
            </w:pPr>
          </w:p>
        </w:tc>
      </w:tr>
      <w:tr w14:paraId="51CEE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094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D62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70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1606">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03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3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1261">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40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51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66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E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6D6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9D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F5F4">
            <w:pPr>
              <w:jc w:val="center"/>
            </w:pPr>
          </w:p>
        </w:tc>
      </w:tr>
      <w:tr w14:paraId="4FA3D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B1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1EE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6D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4435">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B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AC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9D1C">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6C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04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4C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D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CD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C8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E844">
            <w:pPr>
              <w:jc w:val="center"/>
            </w:pPr>
          </w:p>
        </w:tc>
      </w:tr>
      <w:tr w14:paraId="0AE66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F91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5C1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DFBE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89C1">
            <w:pPr>
              <w:jc w:val="center"/>
            </w:pPr>
            <w:r>
              <w:rPr>
                <w:rFonts w:hint="eastAsia" w:ascii="宋体" w:hAnsi="宋体"/>
                <w:sz w:val="16"/>
                <w:lang w:eastAsia="zh-CN"/>
              </w:rPr>
              <w:t>为民办实事</w:t>
            </w:r>
            <w:r>
              <w:rPr>
                <w:rFonts w:ascii="宋体" w:hAnsi="宋体" w:eastAsia="宋体"/>
                <w:sz w:val="16"/>
              </w:rPr>
              <w:t>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0C467">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2E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C5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0C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F2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C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DA86">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04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89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A482">
            <w:pPr>
              <w:jc w:val="center"/>
            </w:pPr>
          </w:p>
        </w:tc>
      </w:tr>
      <w:tr w14:paraId="3CB3C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943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0A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B97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97AA">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577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DA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FD4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67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6F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18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72E1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8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BE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6CE9">
            <w:pPr>
              <w:jc w:val="center"/>
            </w:pPr>
          </w:p>
        </w:tc>
      </w:tr>
      <w:tr w14:paraId="2D2FC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48E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FF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38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1D9E">
            <w:pPr>
              <w:jc w:val="center"/>
            </w:pPr>
            <w:r>
              <w:rPr>
                <w:rFonts w:ascii="宋体" w:hAnsi="宋体" w:eastAsia="宋体"/>
                <w:sz w:val="16"/>
              </w:rPr>
              <w:t>受益村民户数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FCB9">
            <w:pPr>
              <w:jc w:val="center"/>
            </w:pPr>
            <w:r>
              <w:rPr>
                <w:rFonts w:ascii="宋体" w:hAnsi="宋体" w:eastAsia="宋体"/>
                <w:sz w:val="16"/>
              </w:rPr>
              <w:t>&gt;=45户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F6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57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22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69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BB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99C0">
            <w:pPr>
              <w:jc w:val="center"/>
            </w:pPr>
            <w:r>
              <w:rPr>
                <w:rFonts w:ascii="宋体" w:hAnsi="宋体" w:eastAsia="宋体"/>
                <w:sz w:val="16"/>
              </w:rPr>
              <w:t>=49户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A4C9">
            <w:pPr>
              <w:jc w:val="center"/>
            </w:pPr>
            <w:r>
              <w:rPr>
                <w:rFonts w:ascii="宋体" w:hAnsi="宋体" w:eastAsia="宋体"/>
                <w:sz w:val="16"/>
              </w:rPr>
              <w:t>108.89%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96D7">
            <w:pPr>
              <w:jc w:val="center"/>
            </w:pPr>
            <w:r>
              <w:rPr>
                <w:rFonts w:ascii="宋体" w:hAnsi="宋体" w:eastAsia="宋体"/>
                <w:sz w:val="16"/>
              </w:rPr>
              <w:t>18.22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29DC3">
            <w:pPr>
              <w:jc w:val="center"/>
            </w:pPr>
            <w:r>
              <w:rPr>
                <w:rFonts w:ascii="宋体" w:hAnsi="宋体" w:eastAsia="宋体"/>
                <w:sz w:val="16"/>
              </w:rPr>
              <w:t>偏差原因：年内村名户数增加。改进措施：根据实际情况及时调整绩效目标。</w:t>
            </w:r>
          </w:p>
        </w:tc>
      </w:tr>
      <w:tr w14:paraId="270BE5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42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4F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37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1657">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534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69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FA36">
            <w:pPr>
              <w:jc w:val="center"/>
            </w:pPr>
            <w:r>
              <w:rPr>
                <w:rFonts w:hint="eastAsia"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80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DF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94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A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935D">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35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9E4FB">
            <w:pPr>
              <w:jc w:val="center"/>
            </w:pPr>
            <w:r>
              <w:rPr>
                <w:rFonts w:ascii="宋体" w:hAnsi="宋体" w:eastAsia="宋体"/>
                <w:sz w:val="16"/>
              </w:rPr>
              <w:t>偏差原因：满意度指标设置较低。改进措施：根据实际情况及时调整绩效目标。</w:t>
            </w:r>
          </w:p>
        </w:tc>
      </w:tr>
      <w:tr w14:paraId="60635C5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E5776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2C7F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CD09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FC2A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30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DE08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C5A0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AC91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F3B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F3B8">
            <w:pPr>
              <w:jc w:val="center"/>
            </w:pPr>
            <w:r>
              <w:rPr>
                <w:rFonts w:ascii="宋体" w:hAnsi="宋体" w:eastAsia="宋体"/>
                <w:sz w:val="16"/>
              </w:rPr>
              <w:t>98.22分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690D42"/>
        </w:tc>
      </w:tr>
    </w:tbl>
    <w:p w14:paraId="67123A82">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02"/>
        <w:gridCol w:w="856"/>
        <w:gridCol w:w="616"/>
        <w:gridCol w:w="610"/>
        <w:gridCol w:w="619"/>
        <w:gridCol w:w="606"/>
        <w:gridCol w:w="602"/>
        <w:gridCol w:w="776"/>
        <w:gridCol w:w="621"/>
        <w:gridCol w:w="696"/>
        <w:gridCol w:w="631"/>
      </w:tblGrid>
      <w:tr w14:paraId="35326B57">
        <w:tblPrEx>
          <w:tblCellMar>
            <w:top w:w="0" w:type="dxa"/>
            <w:left w:w="108" w:type="dxa"/>
            <w:bottom w:w="0" w:type="dxa"/>
            <w:right w:w="108" w:type="dxa"/>
          </w:tblCellMar>
        </w:tblPrEx>
        <w:tc>
          <w:tcPr>
            <w:tcW w:w="8848" w:type="dxa"/>
            <w:gridSpan w:val="14"/>
            <w:vAlign w:val="center"/>
          </w:tcPr>
          <w:p w14:paraId="412D3F63">
            <w:pPr>
              <w:jc w:val="center"/>
            </w:pPr>
            <w:r>
              <w:rPr>
                <w:rFonts w:ascii="宋体" w:hAnsi="宋体" w:eastAsia="宋体"/>
                <w:sz w:val="24"/>
              </w:rPr>
              <w:t>项目支出绩效自评表</w:t>
            </w:r>
          </w:p>
        </w:tc>
      </w:tr>
      <w:tr w14:paraId="26FABC4A">
        <w:tblPrEx>
          <w:tblCellMar>
            <w:top w:w="0" w:type="dxa"/>
            <w:left w:w="108" w:type="dxa"/>
            <w:bottom w:w="0" w:type="dxa"/>
            <w:right w:w="108" w:type="dxa"/>
          </w:tblCellMar>
        </w:tblPrEx>
        <w:tc>
          <w:tcPr>
            <w:tcW w:w="8848" w:type="dxa"/>
            <w:gridSpan w:val="14"/>
            <w:vAlign w:val="center"/>
          </w:tcPr>
          <w:p w14:paraId="27C1C91F">
            <w:pPr>
              <w:jc w:val="center"/>
            </w:pPr>
            <w:r>
              <w:rPr>
                <w:rFonts w:ascii="宋体" w:hAnsi="宋体" w:eastAsia="宋体"/>
                <w:sz w:val="24"/>
              </w:rPr>
              <w:t>(2024年度)</w:t>
            </w:r>
          </w:p>
        </w:tc>
      </w:tr>
      <w:tr w14:paraId="592F91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65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A36B63">
            <w:pPr>
              <w:jc w:val="center"/>
            </w:pPr>
            <w:r>
              <w:rPr>
                <w:rFonts w:ascii="宋体" w:hAnsi="宋体" w:eastAsia="宋体"/>
                <w:sz w:val="16"/>
              </w:rPr>
              <w:t>G314乌什塔拉至G218扬水站公路建设</w:t>
            </w:r>
          </w:p>
        </w:tc>
      </w:tr>
      <w:tr w14:paraId="70EA7C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96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F3596C">
            <w:pPr>
              <w:jc w:val="center"/>
            </w:pPr>
            <w:r>
              <w:rPr>
                <w:rFonts w:ascii="宋体" w:hAnsi="宋体" w:eastAsia="宋体"/>
                <w:sz w:val="16"/>
              </w:rPr>
              <w:t>巴音郭楞蒙古自治州交通运输局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62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9D5E2B">
            <w:pPr>
              <w:jc w:val="center"/>
            </w:pPr>
            <w:r>
              <w:rPr>
                <w:rFonts w:ascii="宋体" w:hAnsi="宋体" w:eastAsia="宋体"/>
                <w:sz w:val="16"/>
              </w:rPr>
              <w:t>巴音郭楞蒙古自治州交通运输局</w:t>
            </w:r>
          </w:p>
        </w:tc>
      </w:tr>
      <w:tr w14:paraId="38DAD5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4DAE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A9A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D4E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2BF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767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FF8C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452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7CAB">
            <w:pPr>
              <w:jc w:val="center"/>
            </w:pPr>
            <w:r>
              <w:rPr>
                <w:rFonts w:ascii="宋体" w:hAnsi="宋体" w:eastAsia="宋体"/>
                <w:sz w:val="16"/>
              </w:rPr>
              <w:t>得分</w:t>
            </w:r>
          </w:p>
        </w:tc>
      </w:tr>
      <w:tr w14:paraId="0607E3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2887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58F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2511E">
            <w:pPr>
              <w:jc w:val="center"/>
            </w:pPr>
            <w:r>
              <w:rPr>
                <w:rFonts w:ascii="宋体" w:hAnsi="宋体" w:eastAsia="宋体"/>
                <w:sz w:val="16"/>
              </w:rPr>
              <w:t>4,500.00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ABE7B">
            <w:pPr>
              <w:jc w:val="center"/>
            </w:pPr>
            <w:r>
              <w:rPr>
                <w:rFonts w:ascii="宋体" w:hAnsi="宋体" w:eastAsia="宋体"/>
                <w:sz w:val="16"/>
              </w:rPr>
              <w:t>19,593.22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42FAF">
            <w:pPr>
              <w:jc w:val="center"/>
            </w:pPr>
            <w:r>
              <w:rPr>
                <w:rFonts w:ascii="宋体" w:hAnsi="宋体" w:eastAsia="宋体"/>
                <w:sz w:val="16"/>
              </w:rPr>
              <w:t>19,593.22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2C9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D555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C9A1">
            <w:pPr>
              <w:jc w:val="center"/>
            </w:pPr>
            <w:r>
              <w:rPr>
                <w:rFonts w:ascii="宋体" w:hAnsi="宋体" w:eastAsia="宋体"/>
                <w:sz w:val="16"/>
              </w:rPr>
              <w:t>10.00</w:t>
            </w:r>
          </w:p>
        </w:tc>
      </w:tr>
      <w:tr w14:paraId="4C0EF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648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D61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600E2">
            <w:pPr>
              <w:jc w:val="center"/>
            </w:pPr>
            <w:r>
              <w:rPr>
                <w:rFonts w:ascii="宋体" w:hAnsi="宋体" w:eastAsia="宋体"/>
                <w:sz w:val="16"/>
              </w:rPr>
              <w:t>4,500.00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16846">
            <w:pPr>
              <w:jc w:val="center"/>
            </w:pPr>
            <w:r>
              <w:rPr>
                <w:rFonts w:ascii="宋体" w:hAnsi="宋体" w:eastAsia="宋体"/>
                <w:sz w:val="16"/>
              </w:rPr>
              <w:t>19,593.22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C7C1F">
            <w:pPr>
              <w:jc w:val="center"/>
            </w:pPr>
            <w:r>
              <w:rPr>
                <w:rFonts w:ascii="宋体" w:hAnsi="宋体" w:eastAsia="宋体"/>
                <w:sz w:val="16"/>
              </w:rPr>
              <w:t>19,593.22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3F4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063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E772">
            <w:pPr>
              <w:jc w:val="center"/>
            </w:pPr>
            <w:r>
              <w:rPr>
                <w:rFonts w:ascii="宋体" w:hAnsi="宋体" w:eastAsia="宋体"/>
                <w:sz w:val="16"/>
              </w:rPr>
              <w:t>-</w:t>
            </w:r>
          </w:p>
        </w:tc>
      </w:tr>
      <w:tr w14:paraId="639F4C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986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CDF5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3DE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B1E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FF7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4D9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5F8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2358">
            <w:pPr>
              <w:jc w:val="center"/>
            </w:pPr>
            <w:r>
              <w:rPr>
                <w:rFonts w:ascii="宋体" w:hAnsi="宋体" w:eastAsia="宋体"/>
                <w:sz w:val="16"/>
              </w:rPr>
              <w:t>-</w:t>
            </w:r>
          </w:p>
        </w:tc>
      </w:tr>
      <w:tr w14:paraId="1EDFFD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EBD7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1CE36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DA9DD3">
            <w:pPr>
              <w:jc w:val="center"/>
            </w:pPr>
            <w:r>
              <w:rPr>
                <w:rFonts w:ascii="宋体" w:hAnsi="宋体" w:eastAsia="宋体"/>
                <w:sz w:val="16"/>
              </w:rPr>
              <w:t>总体目标完成情况</w:t>
            </w:r>
          </w:p>
        </w:tc>
      </w:tr>
      <w:tr w14:paraId="623FD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D8B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4D67A9">
            <w:pPr>
              <w:jc w:val="both"/>
            </w:pPr>
            <w:r>
              <w:rPr>
                <w:rFonts w:ascii="宋体" w:hAnsi="宋体" w:eastAsia="宋体"/>
                <w:sz w:val="16"/>
              </w:rPr>
              <w:t>确保G314乌什塔拉至G218扬水站公路建设项目136.828公里顺利实施，进而完善旅游公路网络，促进旅游产业发展。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F636EA">
            <w:pPr>
              <w:jc w:val="both"/>
            </w:pPr>
            <w:r>
              <w:rPr>
                <w:rFonts w:ascii="宋体" w:hAnsi="宋体" w:eastAsia="宋体"/>
                <w:sz w:val="16"/>
              </w:rPr>
              <w:t>G314乌什塔拉至G218扬水站公路建设项目顺利实施，完成了全线的征地及拆迁范围136公里，完成工程建设编制报告5套，完成路基和桥涵建设里程114公里，资金全部按时合规</w:t>
            </w:r>
            <w:r>
              <w:rPr>
                <w:rFonts w:hint="eastAsia" w:ascii="宋体" w:hAnsi="宋体"/>
                <w:sz w:val="16"/>
                <w:lang w:eastAsia="zh-CN"/>
              </w:rPr>
              <w:t>地支付</w:t>
            </w:r>
            <w:r>
              <w:rPr>
                <w:rFonts w:ascii="宋体" w:hAnsi="宋体" w:eastAsia="宋体"/>
                <w:sz w:val="16"/>
              </w:rPr>
              <w:t>完毕。</w:t>
            </w:r>
          </w:p>
        </w:tc>
      </w:tr>
      <w:tr w14:paraId="2DD2CC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B50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75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15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03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8A9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C8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A03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7C1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790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53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8FD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5D2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D47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1506">
            <w:pPr>
              <w:jc w:val="center"/>
            </w:pPr>
            <w:r>
              <w:rPr>
                <w:rFonts w:ascii="宋体" w:hAnsi="宋体" w:eastAsia="宋体"/>
                <w:sz w:val="16"/>
              </w:rPr>
              <w:t>偏差原因分析及改进措施</w:t>
            </w:r>
          </w:p>
        </w:tc>
      </w:tr>
      <w:tr w14:paraId="6863BB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A3A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CA8F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71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321A">
            <w:pPr>
              <w:jc w:val="center"/>
            </w:pPr>
            <w:r>
              <w:rPr>
                <w:rFonts w:ascii="宋体" w:hAnsi="宋体" w:eastAsia="宋体"/>
                <w:sz w:val="16"/>
              </w:rPr>
              <w:t>完成路基和桥涵建设里程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CCBE">
            <w:pPr>
              <w:jc w:val="center"/>
            </w:pPr>
            <w:r>
              <w:rPr>
                <w:rFonts w:ascii="宋体" w:hAnsi="宋体" w:eastAsia="宋体"/>
                <w:sz w:val="16"/>
              </w:rPr>
              <w:t>&gt;=136.82公里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68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DF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42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B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80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F46D">
            <w:pPr>
              <w:jc w:val="center"/>
            </w:pPr>
            <w:r>
              <w:rPr>
                <w:rFonts w:ascii="宋体" w:hAnsi="宋体" w:eastAsia="宋体"/>
                <w:sz w:val="16"/>
              </w:rPr>
              <w:t>=136.82公里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86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AE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EC9A">
            <w:pPr>
              <w:jc w:val="center"/>
            </w:pPr>
          </w:p>
        </w:tc>
      </w:tr>
      <w:tr w14:paraId="06E65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EC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86F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4C8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35AA">
            <w:pPr>
              <w:jc w:val="center"/>
            </w:pPr>
            <w:r>
              <w:rPr>
                <w:rFonts w:ascii="宋体" w:hAnsi="宋体" w:eastAsia="宋体"/>
                <w:sz w:val="16"/>
              </w:rPr>
              <w:t>路基桥涵质量合格率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4F7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25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3C1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45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EF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C6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7579">
            <w:pPr>
              <w:jc w:val="center"/>
            </w:pPr>
            <w:r>
              <w:rPr>
                <w:rFonts w:ascii="宋体" w:hAnsi="宋体" w:eastAsia="宋体"/>
                <w:sz w:val="16"/>
              </w:rPr>
              <w:t>=95.5%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E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AE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8926">
            <w:pPr>
              <w:jc w:val="center"/>
            </w:pPr>
          </w:p>
        </w:tc>
      </w:tr>
      <w:tr w14:paraId="33E0E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477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A0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3F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157A">
            <w:pPr>
              <w:jc w:val="center"/>
            </w:pPr>
            <w:r>
              <w:rPr>
                <w:rFonts w:ascii="宋体" w:hAnsi="宋体" w:eastAsia="宋体"/>
                <w:sz w:val="16"/>
              </w:rPr>
              <w:t>项目环评合格率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D7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C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B8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979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6F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3D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9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44C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29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A644">
            <w:pPr>
              <w:jc w:val="center"/>
            </w:pPr>
          </w:p>
        </w:tc>
      </w:tr>
      <w:tr w14:paraId="30A287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3F1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088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8F7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609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B6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DF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2D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33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6B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EF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32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4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D3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17D4">
            <w:pPr>
              <w:jc w:val="center"/>
            </w:pPr>
          </w:p>
        </w:tc>
      </w:tr>
      <w:tr w14:paraId="15688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4F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11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C2C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D578">
            <w:pPr>
              <w:jc w:val="center"/>
            </w:pPr>
            <w:r>
              <w:rPr>
                <w:rFonts w:ascii="宋体" w:hAnsi="宋体" w:eastAsia="宋体"/>
                <w:sz w:val="16"/>
              </w:rPr>
              <w:t>项目按计划开工率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89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5B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09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1F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EB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DE4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69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6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259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5657">
            <w:pPr>
              <w:jc w:val="center"/>
            </w:pPr>
          </w:p>
        </w:tc>
      </w:tr>
      <w:tr w14:paraId="2CF8E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4B2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3F1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89F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C71C">
            <w:pPr>
              <w:jc w:val="center"/>
            </w:pPr>
            <w:r>
              <w:rPr>
                <w:rFonts w:ascii="宋体" w:hAnsi="宋体" w:eastAsia="宋体"/>
                <w:sz w:val="16"/>
              </w:rPr>
              <w:t>项目资金使用控制误差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41D7">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40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9C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B6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02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CB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6B0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69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6DD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A0F7">
            <w:pPr>
              <w:jc w:val="center"/>
            </w:pPr>
          </w:p>
        </w:tc>
      </w:tr>
      <w:tr w14:paraId="484DB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F2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D9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13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5B23B">
            <w:pPr>
              <w:jc w:val="center"/>
            </w:pPr>
            <w:r>
              <w:rPr>
                <w:rFonts w:ascii="宋体" w:hAnsi="宋体" w:eastAsia="宋体"/>
                <w:sz w:val="16"/>
              </w:rPr>
              <w:t>推进博斯腾湖景区的开发利用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3BFA">
            <w:pPr>
              <w:jc w:val="center"/>
            </w:pPr>
            <w:r>
              <w:rPr>
                <w:rFonts w:ascii="宋体" w:hAnsi="宋体" w:eastAsia="宋体"/>
                <w:sz w:val="16"/>
              </w:rPr>
              <w:t>逐步推进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8E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77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278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CB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54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33B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D9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311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A994">
            <w:pPr>
              <w:jc w:val="center"/>
            </w:pPr>
          </w:p>
        </w:tc>
      </w:tr>
      <w:tr w14:paraId="417BFC4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F79A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C522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12DC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EDD7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65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5BD1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1170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768F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ECB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9AB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5DD510"/>
        </w:tc>
      </w:tr>
    </w:tbl>
    <w:p w14:paraId="1B615DE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30945D9D">
        <w:tc>
          <w:tcPr>
            <w:tcW w:w="8848" w:type="dxa"/>
            <w:gridSpan w:val="14"/>
            <w:vAlign w:val="center"/>
          </w:tcPr>
          <w:p w14:paraId="2DCE163C">
            <w:pPr>
              <w:jc w:val="center"/>
            </w:pPr>
            <w:r>
              <w:rPr>
                <w:rFonts w:ascii="宋体" w:hAnsi="宋体" w:eastAsia="宋体"/>
                <w:sz w:val="24"/>
              </w:rPr>
              <w:t>项目支出绩效自评表</w:t>
            </w:r>
          </w:p>
        </w:tc>
      </w:tr>
      <w:tr w14:paraId="521E550F">
        <w:tblPrEx>
          <w:tblCellMar>
            <w:top w:w="0" w:type="dxa"/>
            <w:left w:w="108" w:type="dxa"/>
            <w:bottom w:w="0" w:type="dxa"/>
            <w:right w:w="108" w:type="dxa"/>
          </w:tblCellMar>
        </w:tblPrEx>
        <w:tc>
          <w:tcPr>
            <w:tcW w:w="8848" w:type="dxa"/>
            <w:gridSpan w:val="14"/>
            <w:vAlign w:val="center"/>
          </w:tcPr>
          <w:p w14:paraId="00E07890">
            <w:pPr>
              <w:jc w:val="center"/>
            </w:pPr>
            <w:r>
              <w:rPr>
                <w:rFonts w:ascii="宋体" w:hAnsi="宋体" w:eastAsia="宋体"/>
                <w:sz w:val="24"/>
              </w:rPr>
              <w:t>(2024年度)</w:t>
            </w:r>
          </w:p>
        </w:tc>
      </w:tr>
      <w:tr w14:paraId="714509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6A6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7D49C9">
            <w:pPr>
              <w:jc w:val="center"/>
            </w:pPr>
            <w:r>
              <w:rPr>
                <w:rFonts w:ascii="宋体" w:hAnsi="宋体" w:eastAsia="宋体"/>
                <w:sz w:val="16"/>
              </w:rPr>
              <w:t>S340线哈尔莫敦至巴音郭楞（霍尔古吐至红旗牧场）公路建设项目</w:t>
            </w:r>
          </w:p>
        </w:tc>
      </w:tr>
      <w:tr w14:paraId="55E512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C9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8FE75D">
            <w:pPr>
              <w:jc w:val="center"/>
            </w:pPr>
            <w:r>
              <w:rPr>
                <w:rFonts w:ascii="宋体" w:hAnsi="宋体" w:eastAsia="宋体"/>
                <w:sz w:val="16"/>
              </w:rPr>
              <w:t>巴音郭楞蒙古自治州交通运输局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91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46932D">
            <w:pPr>
              <w:jc w:val="center"/>
            </w:pPr>
            <w:r>
              <w:rPr>
                <w:rFonts w:ascii="宋体" w:hAnsi="宋体" w:eastAsia="宋体"/>
                <w:sz w:val="16"/>
              </w:rPr>
              <w:t>巴音郭楞蒙古自治州交通运输局</w:t>
            </w:r>
          </w:p>
        </w:tc>
      </w:tr>
      <w:tr w14:paraId="6762EC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D7B1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697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7FC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088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137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F58F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1FF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EA03">
            <w:pPr>
              <w:jc w:val="center"/>
            </w:pPr>
            <w:r>
              <w:rPr>
                <w:rFonts w:ascii="宋体" w:hAnsi="宋体" w:eastAsia="宋体"/>
                <w:sz w:val="16"/>
              </w:rPr>
              <w:t>得分</w:t>
            </w:r>
          </w:p>
        </w:tc>
      </w:tr>
      <w:tr w14:paraId="3D018B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5C6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6EB4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0132F">
            <w:pPr>
              <w:jc w:val="center"/>
            </w:pPr>
            <w:r>
              <w:rPr>
                <w:rFonts w:ascii="宋体" w:hAnsi="宋体" w:eastAsia="宋体"/>
                <w:sz w:val="16"/>
              </w:rPr>
              <w:t>2,738.00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E4FAE">
            <w:pPr>
              <w:jc w:val="center"/>
            </w:pPr>
            <w:r>
              <w:rPr>
                <w:rFonts w:ascii="宋体" w:hAnsi="宋体" w:eastAsia="宋体"/>
                <w:sz w:val="16"/>
              </w:rPr>
              <w:t>4,063.00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AFE26">
            <w:pPr>
              <w:jc w:val="center"/>
            </w:pPr>
            <w:r>
              <w:rPr>
                <w:rFonts w:ascii="宋体" w:hAnsi="宋体" w:eastAsia="宋体"/>
                <w:sz w:val="16"/>
              </w:rPr>
              <w:t>4,063.00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8B9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9C05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8F30">
            <w:pPr>
              <w:jc w:val="center"/>
            </w:pPr>
            <w:r>
              <w:rPr>
                <w:rFonts w:ascii="宋体" w:hAnsi="宋体" w:eastAsia="宋体"/>
                <w:sz w:val="16"/>
              </w:rPr>
              <w:t>10.00</w:t>
            </w:r>
          </w:p>
        </w:tc>
      </w:tr>
      <w:tr w14:paraId="16266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B62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3873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3F5C8">
            <w:pPr>
              <w:jc w:val="center"/>
            </w:pPr>
            <w:r>
              <w:rPr>
                <w:rFonts w:ascii="宋体" w:hAnsi="宋体" w:eastAsia="宋体"/>
                <w:sz w:val="16"/>
              </w:rPr>
              <w:t>2,738.00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D3394">
            <w:pPr>
              <w:jc w:val="center"/>
            </w:pPr>
            <w:r>
              <w:rPr>
                <w:rFonts w:ascii="宋体" w:hAnsi="宋体" w:eastAsia="宋体"/>
                <w:sz w:val="16"/>
              </w:rPr>
              <w:t>4,063.00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82BB5">
            <w:pPr>
              <w:jc w:val="center"/>
            </w:pPr>
            <w:r>
              <w:rPr>
                <w:rFonts w:ascii="宋体" w:hAnsi="宋体" w:eastAsia="宋体"/>
                <w:sz w:val="16"/>
              </w:rPr>
              <w:t>4,063.00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006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CA0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C491">
            <w:pPr>
              <w:jc w:val="center"/>
            </w:pPr>
            <w:r>
              <w:rPr>
                <w:rFonts w:ascii="宋体" w:hAnsi="宋体" w:eastAsia="宋体"/>
                <w:sz w:val="16"/>
              </w:rPr>
              <w:t>-</w:t>
            </w:r>
          </w:p>
        </w:tc>
      </w:tr>
      <w:tr w14:paraId="1A091F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95A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689E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BF8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2E8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D12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63A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C7D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9EE7">
            <w:pPr>
              <w:jc w:val="center"/>
            </w:pPr>
            <w:r>
              <w:rPr>
                <w:rFonts w:ascii="宋体" w:hAnsi="宋体" w:eastAsia="宋体"/>
                <w:sz w:val="16"/>
              </w:rPr>
              <w:t>-</w:t>
            </w:r>
          </w:p>
        </w:tc>
      </w:tr>
      <w:tr w14:paraId="6EC512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F1CC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7E39D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E062E3">
            <w:pPr>
              <w:jc w:val="center"/>
            </w:pPr>
            <w:r>
              <w:rPr>
                <w:rFonts w:ascii="宋体" w:hAnsi="宋体" w:eastAsia="宋体"/>
                <w:sz w:val="16"/>
              </w:rPr>
              <w:t>总体目标完成情况</w:t>
            </w:r>
          </w:p>
        </w:tc>
      </w:tr>
      <w:tr w14:paraId="5DB9A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0BE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C8AEAB">
            <w:pPr>
              <w:jc w:val="both"/>
            </w:pPr>
            <w:r>
              <w:rPr>
                <w:rFonts w:ascii="宋体" w:hAnsi="宋体" w:eastAsia="宋体"/>
                <w:sz w:val="16"/>
              </w:rPr>
              <w:t>根据巴财建</w:t>
            </w:r>
            <w:r>
              <w:rPr>
                <w:rFonts w:hint="eastAsia" w:ascii="宋体" w:hAnsi="宋体"/>
                <w:sz w:val="16"/>
                <w:lang w:eastAsia="zh-CN"/>
              </w:rPr>
              <w:t>〔2023〕137号</w:t>
            </w:r>
            <w:r>
              <w:rPr>
                <w:rFonts w:ascii="宋体" w:hAnsi="宋体" w:eastAsia="宋体"/>
                <w:sz w:val="16"/>
              </w:rPr>
              <w:t>文件要求，通过开展本项目，由中交一公局巴州建设有限公司投资建设，线路全长66.219KM，双向两车道新建二级公路标准建设，2024年计划完成S340哈尔莫墩至</w:t>
            </w:r>
            <w:r>
              <w:rPr>
                <w:rFonts w:hint="eastAsia" w:ascii="宋体" w:hAnsi="宋体"/>
                <w:sz w:val="16"/>
                <w:lang w:eastAsia="zh-CN"/>
              </w:rPr>
              <w:t>巴音郭楞</w:t>
            </w:r>
            <w:r>
              <w:rPr>
                <w:rFonts w:ascii="宋体" w:hAnsi="宋体" w:eastAsia="宋体"/>
                <w:sz w:val="16"/>
              </w:rPr>
              <w:t>公路项目桥涵、桥梁、路基工程，完成K147-K192 段水稳及路面工程施工。项目总投资10.2亿，运营期30年，PPP融资模式。项目开工至2023年年底累计完成投资4.0432亿元，2024年计划完成总工程量的34%，计划完成投资3.533亿元（财政拨款4063万元）。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55FB77">
            <w:pPr>
              <w:jc w:val="both"/>
            </w:pPr>
            <w:r>
              <w:rPr>
                <w:rFonts w:ascii="宋体" w:hAnsi="宋体" w:eastAsia="宋体"/>
                <w:sz w:val="16"/>
              </w:rPr>
              <w:t>支持S340线哈尔莫敦至</w:t>
            </w:r>
            <w:r>
              <w:rPr>
                <w:rFonts w:hint="eastAsia" w:ascii="宋体" w:hAnsi="宋体"/>
                <w:sz w:val="16"/>
                <w:lang w:eastAsia="zh-CN"/>
              </w:rPr>
              <w:t>巴音郭楞</w:t>
            </w:r>
            <w:r>
              <w:rPr>
                <w:rFonts w:ascii="宋体" w:hAnsi="宋体" w:eastAsia="宋体"/>
                <w:sz w:val="16"/>
              </w:rPr>
              <w:t>（霍尔古吐至红旗牧场段）公路普通省道建设项目，按期完成投资，进行质量监督抽检，对经济发展起到促进作用，提升基本公共服务水平及公路安全水平，改善通行服务水平。</w:t>
            </w:r>
          </w:p>
        </w:tc>
      </w:tr>
      <w:tr w14:paraId="5391C1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1A0E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2E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5F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E9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DA4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B3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980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4E0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E0B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163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E47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824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C543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DA862">
            <w:pPr>
              <w:jc w:val="center"/>
            </w:pPr>
            <w:r>
              <w:rPr>
                <w:rFonts w:ascii="宋体" w:hAnsi="宋体" w:eastAsia="宋体"/>
                <w:sz w:val="16"/>
              </w:rPr>
              <w:t>偏差原因分析及改进措施</w:t>
            </w:r>
          </w:p>
        </w:tc>
      </w:tr>
      <w:tr w14:paraId="41D4DC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6C5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78F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555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4B2D">
            <w:pPr>
              <w:jc w:val="center"/>
            </w:pPr>
            <w:r>
              <w:rPr>
                <w:rFonts w:ascii="宋体" w:hAnsi="宋体" w:eastAsia="宋体"/>
                <w:sz w:val="16"/>
              </w:rPr>
              <w:t>支持普通省道建设项目个数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CBD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F7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53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B58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A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CC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262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67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11F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9FD1">
            <w:pPr>
              <w:jc w:val="center"/>
            </w:pPr>
          </w:p>
        </w:tc>
      </w:tr>
      <w:tr w14:paraId="7318B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638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96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E48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5000">
            <w:pPr>
              <w:jc w:val="center"/>
            </w:pPr>
            <w:r>
              <w:rPr>
                <w:rFonts w:ascii="宋体" w:hAnsi="宋体" w:eastAsia="宋体"/>
                <w:sz w:val="16"/>
              </w:rPr>
              <w:t>支持普通省道建设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4FCA">
            <w:pPr>
              <w:jc w:val="center"/>
            </w:pPr>
            <w:r>
              <w:rPr>
                <w:rFonts w:ascii="宋体" w:hAnsi="宋体" w:eastAsia="宋体"/>
                <w:sz w:val="16"/>
              </w:rPr>
              <w:t>=66公里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932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AC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198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01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34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A3A2">
            <w:pPr>
              <w:jc w:val="center"/>
            </w:pPr>
            <w:r>
              <w:rPr>
                <w:rFonts w:ascii="宋体" w:hAnsi="宋体" w:eastAsia="宋体"/>
                <w:sz w:val="16"/>
              </w:rPr>
              <w:t>=66公里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91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E51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D124">
            <w:pPr>
              <w:jc w:val="center"/>
            </w:pPr>
          </w:p>
        </w:tc>
      </w:tr>
      <w:tr w14:paraId="28D22A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924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9C7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3D1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F3C3">
            <w:pPr>
              <w:jc w:val="center"/>
            </w:pPr>
            <w:r>
              <w:rPr>
                <w:rFonts w:ascii="宋体" w:hAnsi="宋体" w:eastAsia="宋体"/>
                <w:sz w:val="16"/>
              </w:rPr>
              <w:t>资金使用合规性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77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6E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C8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6CB1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42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9C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4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D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76F7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B1F8">
            <w:pPr>
              <w:jc w:val="center"/>
            </w:pPr>
          </w:p>
        </w:tc>
      </w:tr>
      <w:tr w14:paraId="1042F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A8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E6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7B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94D3">
            <w:pPr>
              <w:jc w:val="center"/>
            </w:pPr>
            <w:r>
              <w:rPr>
                <w:rFonts w:ascii="宋体" w:hAnsi="宋体" w:eastAsia="宋体"/>
                <w:sz w:val="16"/>
              </w:rPr>
              <w:t>完工项目验收合格率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EF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98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03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E6C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CC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89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ECBF">
            <w:pPr>
              <w:jc w:val="center"/>
            </w:pPr>
            <w:r>
              <w:rPr>
                <w:rFonts w:ascii="宋体" w:hAnsi="宋体" w:eastAsia="宋体"/>
                <w:sz w:val="16"/>
              </w:rPr>
              <w:t>=91.15%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11C9">
            <w:pPr>
              <w:jc w:val="center"/>
            </w:pPr>
            <w:r>
              <w:rPr>
                <w:rFonts w:ascii="宋体" w:hAnsi="宋体" w:eastAsia="宋体"/>
                <w:sz w:val="16"/>
              </w:rPr>
              <w:t>91.15%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BB23">
            <w:pPr>
              <w:jc w:val="center"/>
            </w:pPr>
            <w:r>
              <w:rPr>
                <w:rFonts w:ascii="宋体" w:hAnsi="宋体" w:eastAsia="宋体"/>
                <w:sz w:val="16"/>
              </w:rPr>
              <w:t>5.45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1008">
            <w:pPr>
              <w:jc w:val="center"/>
            </w:pPr>
            <w:r>
              <w:rPr>
                <w:rFonts w:ascii="宋体" w:hAnsi="宋体" w:eastAsia="宋体"/>
                <w:sz w:val="16"/>
              </w:rPr>
              <w:t>偏差原因：施工方未能严格精准要求，改进措施：已要求施工单位</w:t>
            </w:r>
            <w:r>
              <w:rPr>
                <w:rFonts w:hint="eastAsia" w:ascii="宋体" w:hAnsi="宋体"/>
                <w:sz w:val="16"/>
                <w:lang w:eastAsia="zh-CN"/>
              </w:rPr>
              <w:t>进行</w:t>
            </w:r>
            <w:r>
              <w:rPr>
                <w:rFonts w:ascii="宋体" w:hAnsi="宋体" w:eastAsia="宋体"/>
                <w:sz w:val="16"/>
              </w:rPr>
              <w:t>严肃整改。</w:t>
            </w:r>
          </w:p>
        </w:tc>
      </w:tr>
      <w:tr w14:paraId="1AFB39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4BD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205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5C4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057B">
            <w:pPr>
              <w:jc w:val="center"/>
            </w:pPr>
            <w:r>
              <w:rPr>
                <w:rFonts w:ascii="宋体" w:hAnsi="宋体" w:eastAsia="宋体"/>
                <w:sz w:val="16"/>
              </w:rPr>
              <w:t>按期完成投资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AF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A5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AB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88F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13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5C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59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2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7B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89D8">
            <w:pPr>
              <w:jc w:val="center"/>
            </w:pPr>
          </w:p>
        </w:tc>
      </w:tr>
      <w:tr w14:paraId="598EE9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E3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2B2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653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369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D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F8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CC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F1A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A7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58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0D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95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C54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A561">
            <w:pPr>
              <w:jc w:val="center"/>
            </w:pPr>
          </w:p>
        </w:tc>
      </w:tr>
      <w:tr w14:paraId="638ECB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BE5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EE4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AD0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406C">
            <w:pPr>
              <w:jc w:val="center"/>
            </w:pPr>
            <w:r>
              <w:rPr>
                <w:rFonts w:ascii="宋体" w:hAnsi="宋体" w:eastAsia="宋体"/>
                <w:sz w:val="16"/>
              </w:rPr>
              <w:t>项目支出符合概算批复的标准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8D168">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6E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CC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A0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283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6A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B6DD">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33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22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722E">
            <w:pPr>
              <w:jc w:val="center"/>
            </w:pPr>
          </w:p>
        </w:tc>
      </w:tr>
      <w:tr w14:paraId="7A5AE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2C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DA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195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1E70">
            <w:pPr>
              <w:jc w:val="center"/>
            </w:pPr>
            <w:r>
              <w:rPr>
                <w:rFonts w:ascii="宋体" w:hAnsi="宋体" w:eastAsia="宋体"/>
                <w:sz w:val="16"/>
              </w:rPr>
              <w:t>项目资金使用控制误差率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5315">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B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3F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0C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C82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AE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4D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48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D6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2EC3">
            <w:pPr>
              <w:jc w:val="center"/>
            </w:pPr>
          </w:p>
        </w:tc>
      </w:tr>
      <w:tr w14:paraId="212195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CB9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576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D6B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A84E">
            <w:pPr>
              <w:jc w:val="center"/>
            </w:pPr>
            <w:r>
              <w:rPr>
                <w:rFonts w:ascii="宋体" w:hAnsi="宋体" w:eastAsia="宋体"/>
                <w:sz w:val="16"/>
              </w:rPr>
              <w:t>对经济发展的促进作用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FF72">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4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52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4C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C4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E5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F67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89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A4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1A3F">
            <w:pPr>
              <w:jc w:val="center"/>
            </w:pPr>
          </w:p>
        </w:tc>
      </w:tr>
      <w:tr w14:paraId="06DC0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F73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AE3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CA9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9425">
            <w:pPr>
              <w:jc w:val="center"/>
            </w:pPr>
            <w:r>
              <w:rPr>
                <w:rFonts w:ascii="宋体" w:hAnsi="宋体" w:eastAsia="宋体"/>
                <w:sz w:val="16"/>
              </w:rPr>
              <w:t>基本公共服务水平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566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CD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BC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02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2C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63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09A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19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15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386B">
            <w:pPr>
              <w:jc w:val="center"/>
            </w:pPr>
          </w:p>
        </w:tc>
      </w:tr>
      <w:tr w14:paraId="5C15D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DDB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2F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7C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8884">
            <w:pPr>
              <w:jc w:val="center"/>
            </w:pPr>
            <w:r>
              <w:rPr>
                <w:rFonts w:ascii="宋体" w:hAnsi="宋体" w:eastAsia="宋体"/>
                <w:sz w:val="16"/>
              </w:rPr>
              <w:t>公路安全水平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D797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62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87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71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89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8C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FA4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2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FD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BECC">
            <w:pPr>
              <w:jc w:val="center"/>
            </w:pPr>
          </w:p>
        </w:tc>
      </w:tr>
      <w:tr w14:paraId="1E3B3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81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2D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340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C241">
            <w:pPr>
              <w:jc w:val="center"/>
            </w:pPr>
            <w:r>
              <w:rPr>
                <w:rFonts w:ascii="宋体" w:hAnsi="宋体" w:eastAsia="宋体"/>
                <w:sz w:val="16"/>
              </w:rPr>
              <w:t>新改建项目适应未来一定时期内交通需求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69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CB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EA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38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FD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56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14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4B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BE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64C24">
            <w:pPr>
              <w:jc w:val="center"/>
            </w:pPr>
          </w:p>
        </w:tc>
      </w:tr>
      <w:tr w14:paraId="6C29C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42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67B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F0B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D55E9">
            <w:pPr>
              <w:jc w:val="center"/>
            </w:pPr>
            <w:r>
              <w:rPr>
                <w:rFonts w:ascii="宋体" w:hAnsi="宋体" w:eastAsia="宋体"/>
                <w:sz w:val="16"/>
              </w:rPr>
              <w:t>交通建设符合环评审批要求合格率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C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6F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04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732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09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E9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B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E4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9F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A2995">
            <w:pPr>
              <w:jc w:val="center"/>
            </w:pPr>
          </w:p>
        </w:tc>
      </w:tr>
      <w:tr w14:paraId="7CA2BB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D9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84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73F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8807">
            <w:pPr>
              <w:jc w:val="center"/>
            </w:pPr>
            <w:r>
              <w:rPr>
                <w:rFonts w:ascii="宋体" w:hAnsi="宋体" w:eastAsia="宋体"/>
                <w:sz w:val="16"/>
              </w:rPr>
              <w:t>改善通行服务水平群众满意度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038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B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9D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10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08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19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C4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0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EB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4DE4">
            <w:pPr>
              <w:jc w:val="center"/>
            </w:pPr>
            <w:r>
              <w:rPr>
                <w:rFonts w:ascii="宋体" w:hAnsi="宋体" w:eastAsia="宋体"/>
                <w:sz w:val="16"/>
              </w:rPr>
              <w:t>偏差原因：满意度指标设置较低，改进措施：精准设置满意度指标并作出及时调整。</w:t>
            </w:r>
          </w:p>
        </w:tc>
      </w:tr>
      <w:tr w14:paraId="224260E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BA7F1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FD9E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1AB1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412E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E1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8600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CC93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1C9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CD7D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4FCB">
            <w:pPr>
              <w:jc w:val="center"/>
            </w:pPr>
            <w:r>
              <w:rPr>
                <w:rFonts w:ascii="宋体" w:hAnsi="宋体" w:eastAsia="宋体"/>
                <w:sz w:val="16"/>
              </w:rPr>
              <w:t>98.45分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2D3978"/>
        </w:tc>
      </w:tr>
    </w:tbl>
    <w:p w14:paraId="25A69A40">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5"/>
        <w:gridCol w:w="615"/>
        <w:gridCol w:w="620"/>
        <w:gridCol w:w="615"/>
        <w:gridCol w:w="615"/>
        <w:gridCol w:w="776"/>
        <w:gridCol w:w="776"/>
        <w:gridCol w:w="631"/>
        <w:gridCol w:w="631"/>
      </w:tblGrid>
      <w:tr w14:paraId="4CE30065">
        <w:tblPrEx>
          <w:tblCellMar>
            <w:top w:w="0" w:type="dxa"/>
            <w:left w:w="108" w:type="dxa"/>
            <w:bottom w:w="0" w:type="dxa"/>
            <w:right w:w="108" w:type="dxa"/>
          </w:tblCellMar>
        </w:tblPrEx>
        <w:tc>
          <w:tcPr>
            <w:tcW w:w="8848" w:type="dxa"/>
            <w:gridSpan w:val="14"/>
            <w:vAlign w:val="center"/>
          </w:tcPr>
          <w:p w14:paraId="76F6F3C4">
            <w:pPr>
              <w:jc w:val="center"/>
            </w:pPr>
            <w:r>
              <w:rPr>
                <w:rFonts w:ascii="宋体" w:hAnsi="宋体" w:eastAsia="宋体"/>
                <w:sz w:val="24"/>
              </w:rPr>
              <w:t>项目支出绩效自评表</w:t>
            </w:r>
          </w:p>
        </w:tc>
      </w:tr>
      <w:tr w14:paraId="672CD523">
        <w:tblPrEx>
          <w:tblCellMar>
            <w:top w:w="0" w:type="dxa"/>
            <w:left w:w="108" w:type="dxa"/>
            <w:bottom w:w="0" w:type="dxa"/>
            <w:right w:w="108" w:type="dxa"/>
          </w:tblCellMar>
        </w:tblPrEx>
        <w:tc>
          <w:tcPr>
            <w:tcW w:w="8848" w:type="dxa"/>
            <w:gridSpan w:val="14"/>
            <w:vAlign w:val="center"/>
          </w:tcPr>
          <w:p w14:paraId="717F401A">
            <w:pPr>
              <w:jc w:val="center"/>
            </w:pPr>
            <w:r>
              <w:rPr>
                <w:rFonts w:ascii="宋体" w:hAnsi="宋体" w:eastAsia="宋体"/>
                <w:sz w:val="24"/>
              </w:rPr>
              <w:t>(2024年度)</w:t>
            </w:r>
          </w:p>
        </w:tc>
      </w:tr>
      <w:tr w14:paraId="0BD43C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B5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BDB423">
            <w:pPr>
              <w:jc w:val="center"/>
            </w:pPr>
            <w:r>
              <w:rPr>
                <w:rFonts w:ascii="宋体" w:hAnsi="宋体" w:eastAsia="宋体"/>
                <w:sz w:val="16"/>
              </w:rPr>
              <w:t>公路路政管理及质量监督</w:t>
            </w:r>
          </w:p>
        </w:tc>
      </w:tr>
      <w:tr w14:paraId="40F000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5F2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4C9325">
            <w:pPr>
              <w:jc w:val="center"/>
            </w:pPr>
            <w:r>
              <w:rPr>
                <w:rFonts w:ascii="宋体" w:hAnsi="宋体" w:eastAsia="宋体"/>
                <w:sz w:val="16"/>
              </w:rPr>
              <w:t>巴音郭楞蒙古自治州交通运输局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EB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17E31A">
            <w:pPr>
              <w:jc w:val="center"/>
            </w:pPr>
            <w:r>
              <w:rPr>
                <w:rFonts w:ascii="宋体" w:hAnsi="宋体" w:eastAsia="宋体"/>
                <w:sz w:val="16"/>
              </w:rPr>
              <w:t>巴音郭楞蒙古自治州交通运输局</w:t>
            </w:r>
          </w:p>
        </w:tc>
      </w:tr>
      <w:tr w14:paraId="186099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DF26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036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271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7C1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54E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8540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880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1845">
            <w:pPr>
              <w:jc w:val="center"/>
            </w:pPr>
            <w:r>
              <w:rPr>
                <w:rFonts w:ascii="宋体" w:hAnsi="宋体" w:eastAsia="宋体"/>
                <w:sz w:val="16"/>
              </w:rPr>
              <w:t>得分</w:t>
            </w:r>
          </w:p>
        </w:tc>
      </w:tr>
      <w:tr w14:paraId="1EE887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65A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8AD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A2962">
            <w:pPr>
              <w:jc w:val="center"/>
            </w:pPr>
            <w:r>
              <w:rPr>
                <w:rFonts w:ascii="宋体" w:hAnsi="宋体" w:eastAsia="宋体"/>
                <w:sz w:val="16"/>
              </w:rPr>
              <w:t>62.80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D4EFE">
            <w:pPr>
              <w:jc w:val="center"/>
            </w:pPr>
            <w:r>
              <w:rPr>
                <w:rFonts w:ascii="宋体" w:hAnsi="宋体" w:eastAsia="宋体"/>
                <w:sz w:val="16"/>
              </w:rPr>
              <w:t>62.80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9D2BD">
            <w:pPr>
              <w:jc w:val="center"/>
            </w:pPr>
            <w:r>
              <w:rPr>
                <w:rFonts w:ascii="宋体" w:hAnsi="宋体" w:eastAsia="宋体"/>
                <w:sz w:val="16"/>
              </w:rPr>
              <w:t>62.80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153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2996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00C2">
            <w:pPr>
              <w:jc w:val="center"/>
            </w:pPr>
            <w:r>
              <w:rPr>
                <w:rFonts w:ascii="宋体" w:hAnsi="宋体" w:eastAsia="宋体"/>
                <w:sz w:val="16"/>
              </w:rPr>
              <w:t>10.00</w:t>
            </w:r>
          </w:p>
        </w:tc>
      </w:tr>
      <w:tr w14:paraId="14A7D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C7E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BEC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5C9FF">
            <w:pPr>
              <w:jc w:val="center"/>
            </w:pPr>
            <w:r>
              <w:rPr>
                <w:rFonts w:ascii="宋体" w:hAnsi="宋体" w:eastAsia="宋体"/>
                <w:sz w:val="16"/>
              </w:rPr>
              <w:t>62.80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8C0C8">
            <w:pPr>
              <w:jc w:val="center"/>
            </w:pPr>
            <w:r>
              <w:rPr>
                <w:rFonts w:ascii="宋体" w:hAnsi="宋体" w:eastAsia="宋体"/>
                <w:sz w:val="16"/>
              </w:rPr>
              <w:t>62.80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C522A">
            <w:pPr>
              <w:jc w:val="center"/>
            </w:pPr>
            <w:r>
              <w:rPr>
                <w:rFonts w:ascii="宋体" w:hAnsi="宋体" w:eastAsia="宋体"/>
                <w:sz w:val="16"/>
              </w:rPr>
              <w:t>62.80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E52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88A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8396">
            <w:pPr>
              <w:jc w:val="center"/>
            </w:pPr>
            <w:r>
              <w:rPr>
                <w:rFonts w:ascii="宋体" w:hAnsi="宋体" w:eastAsia="宋体"/>
                <w:sz w:val="16"/>
              </w:rPr>
              <w:t>-</w:t>
            </w:r>
          </w:p>
        </w:tc>
      </w:tr>
      <w:tr w14:paraId="07C8D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DAF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C1F6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9D2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9DC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1AC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055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67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212D">
            <w:pPr>
              <w:jc w:val="center"/>
            </w:pPr>
            <w:r>
              <w:rPr>
                <w:rFonts w:ascii="宋体" w:hAnsi="宋体" w:eastAsia="宋体"/>
                <w:sz w:val="16"/>
              </w:rPr>
              <w:t>-</w:t>
            </w:r>
          </w:p>
        </w:tc>
      </w:tr>
      <w:tr w14:paraId="0A3E74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0150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3BF0C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7F68CC">
            <w:pPr>
              <w:jc w:val="center"/>
            </w:pPr>
            <w:r>
              <w:rPr>
                <w:rFonts w:ascii="宋体" w:hAnsi="宋体" w:eastAsia="宋体"/>
                <w:sz w:val="16"/>
              </w:rPr>
              <w:t>总体目标完成情况</w:t>
            </w:r>
          </w:p>
        </w:tc>
      </w:tr>
      <w:tr w14:paraId="722A7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33D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17FE3">
            <w:pPr>
              <w:jc w:val="both"/>
            </w:pPr>
            <w:r>
              <w:rPr>
                <w:rFonts w:ascii="宋体" w:hAnsi="宋体" w:eastAsia="宋体"/>
                <w:sz w:val="16"/>
              </w:rPr>
              <w:t>通过20次以上监督检查督促建设单位管理行使职责，监督设计、施工、监理等单位履约，节约交通建设资金，提高项目资金使用效率，规范项目管理，做好公路日常养护各项工作，切实做好路面和桥梁检测工作，保障和促进交通建设项目顺利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4E9EF6">
            <w:pPr>
              <w:jc w:val="both"/>
            </w:pPr>
            <w:r>
              <w:rPr>
                <w:rFonts w:ascii="宋体" w:hAnsi="宋体" w:eastAsia="宋体"/>
                <w:sz w:val="16"/>
              </w:rPr>
              <w:t>通过项目实施，</w:t>
            </w:r>
            <w:r>
              <w:rPr>
                <w:rFonts w:hint="eastAsia" w:ascii="宋体" w:hAnsi="宋体"/>
                <w:sz w:val="16"/>
                <w:lang w:eastAsia="zh-CN"/>
              </w:rPr>
              <w:t>本单位</w:t>
            </w:r>
            <w:r>
              <w:rPr>
                <w:rFonts w:ascii="宋体" w:hAnsi="宋体" w:eastAsia="宋体"/>
                <w:sz w:val="16"/>
              </w:rPr>
              <w:t>各科室业务工作正常运转，保障了监督检</w:t>
            </w:r>
            <w:r>
              <w:rPr>
                <w:rFonts w:hint="eastAsia" w:ascii="宋体" w:hAnsi="宋体"/>
                <w:sz w:val="16"/>
                <w:lang w:eastAsia="zh-CN"/>
              </w:rPr>
              <w:t>查和</w:t>
            </w:r>
            <w:r>
              <w:rPr>
                <w:rFonts w:ascii="宋体" w:hAnsi="宋体" w:eastAsia="宋体"/>
                <w:sz w:val="16"/>
              </w:rPr>
              <w:t>督促建设单位管</w:t>
            </w:r>
            <w:r>
              <w:rPr>
                <w:rFonts w:hint="eastAsia" w:ascii="宋体" w:hAnsi="宋体"/>
                <w:sz w:val="16"/>
                <w:lang w:eastAsia="zh-CN"/>
              </w:rPr>
              <w:t>理和</w:t>
            </w:r>
            <w:r>
              <w:rPr>
                <w:rFonts w:ascii="宋体" w:hAnsi="宋体" w:eastAsia="宋体"/>
                <w:sz w:val="16"/>
              </w:rPr>
              <w:t>行使职责，提升交通运输安全管理能力，强化交通运输应急管理，同时，加快完善公路基础设施网络，提升建设管理水平，强化行业监管力度，落实监管措施，保证各项工作高效有序开展。</w:t>
            </w:r>
          </w:p>
        </w:tc>
      </w:tr>
      <w:tr w14:paraId="30443A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C007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8A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4F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63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2EE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58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8C1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03D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50D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F5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71B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5B9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D6C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477EE">
            <w:pPr>
              <w:jc w:val="center"/>
            </w:pPr>
            <w:r>
              <w:rPr>
                <w:rFonts w:ascii="宋体" w:hAnsi="宋体" w:eastAsia="宋体"/>
                <w:sz w:val="16"/>
              </w:rPr>
              <w:t>偏差原因分析及改进措施</w:t>
            </w:r>
          </w:p>
        </w:tc>
      </w:tr>
      <w:tr w14:paraId="175289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732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D37D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78C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B48E">
            <w:pPr>
              <w:jc w:val="center"/>
            </w:pPr>
            <w:r>
              <w:rPr>
                <w:rFonts w:ascii="宋体" w:hAnsi="宋体" w:eastAsia="宋体"/>
                <w:sz w:val="16"/>
              </w:rPr>
              <w:t>项目监督检查频次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407C">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49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F7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16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86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CB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3B9F">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DF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8B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CF3B">
            <w:pPr>
              <w:jc w:val="center"/>
            </w:pPr>
          </w:p>
        </w:tc>
      </w:tr>
      <w:tr w14:paraId="43787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A4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C5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38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0EC4">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1669">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3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5F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06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95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EB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05E4">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C8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2E0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AD8A">
            <w:pPr>
              <w:jc w:val="center"/>
            </w:pPr>
          </w:p>
        </w:tc>
      </w:tr>
      <w:tr w14:paraId="1E8D5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A95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A44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6F2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258D">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BD69">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9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94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5A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E1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30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5701">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E9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5C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105A">
            <w:pPr>
              <w:jc w:val="center"/>
            </w:pPr>
          </w:p>
        </w:tc>
      </w:tr>
      <w:tr w14:paraId="55EE5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7B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16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57C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89D6">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E75E">
            <w:pPr>
              <w:jc w:val="center"/>
            </w:pPr>
            <w:r>
              <w:rPr>
                <w:rFonts w:ascii="宋体" w:hAnsi="宋体" w:eastAsia="宋体"/>
                <w:sz w:val="16"/>
              </w:rPr>
              <w:t>&gt;=26人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9E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4B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9E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D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EE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D84E">
            <w:pPr>
              <w:jc w:val="center"/>
            </w:pPr>
            <w:r>
              <w:rPr>
                <w:rFonts w:ascii="宋体" w:hAnsi="宋体" w:eastAsia="宋体"/>
                <w:sz w:val="16"/>
              </w:rPr>
              <w: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709EC">
            <w:pPr>
              <w:jc w:val="center"/>
            </w:pPr>
            <w:r>
              <w:rPr>
                <w:rFonts w:ascii="宋体" w:hAnsi="宋体" w:eastAsia="宋体"/>
                <w:sz w:val="16"/>
              </w:rPr>
              <w:t>103.84%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69CA">
            <w:pPr>
              <w:jc w:val="center"/>
            </w:pPr>
            <w:r>
              <w:rPr>
                <w:rFonts w:ascii="宋体" w:hAnsi="宋体" w:eastAsia="宋体"/>
                <w:sz w:val="16"/>
              </w:rPr>
              <w:t>3.85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3B60">
            <w:pPr>
              <w:jc w:val="center"/>
            </w:pPr>
            <w:r>
              <w:rPr>
                <w:rFonts w:ascii="宋体" w:hAnsi="宋体" w:eastAsia="宋体"/>
                <w:sz w:val="16"/>
              </w:rPr>
              <w:t>偏差原因：本年年内调入一人。改进措施：绩效目标根据实际情况</w:t>
            </w:r>
            <w:r>
              <w:rPr>
                <w:rFonts w:hint="eastAsia" w:ascii="宋体" w:hAnsi="宋体"/>
                <w:sz w:val="16"/>
                <w:lang w:eastAsia="zh-CN"/>
              </w:rPr>
              <w:t>进行</w:t>
            </w:r>
            <w:r>
              <w:rPr>
                <w:rFonts w:ascii="宋体" w:hAnsi="宋体" w:eastAsia="宋体"/>
                <w:sz w:val="16"/>
              </w:rPr>
              <w:t>调整。</w:t>
            </w:r>
          </w:p>
        </w:tc>
      </w:tr>
      <w:tr w14:paraId="48D0C5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C5D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CE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88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F2FF">
            <w:pPr>
              <w:jc w:val="center"/>
            </w:pPr>
            <w:r>
              <w:rPr>
                <w:rFonts w:ascii="宋体" w:hAnsi="宋体" w:eastAsia="宋体"/>
                <w:sz w:val="16"/>
              </w:rPr>
              <w:t>邮政快递行业监管数量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C3A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05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75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13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28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CB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839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8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70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5C933">
            <w:pPr>
              <w:jc w:val="center"/>
            </w:pPr>
          </w:p>
        </w:tc>
      </w:tr>
      <w:tr w14:paraId="4646D2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5A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7BD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99D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8001">
            <w:pPr>
              <w:jc w:val="center"/>
            </w:pPr>
            <w:r>
              <w:rPr>
                <w:rFonts w:ascii="宋体" w:hAnsi="宋体" w:eastAsia="宋体"/>
                <w:sz w:val="16"/>
              </w:rPr>
              <w:t>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10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FC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22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E6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AC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C0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742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D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65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7A08">
            <w:pPr>
              <w:jc w:val="center"/>
            </w:pPr>
          </w:p>
        </w:tc>
      </w:tr>
      <w:tr w14:paraId="503C5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1F9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B3F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EB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2234">
            <w:pPr>
              <w:jc w:val="center"/>
            </w:pPr>
            <w:r>
              <w:rPr>
                <w:rFonts w:ascii="宋体" w:hAnsi="宋体" w:eastAsia="宋体"/>
                <w:sz w:val="16"/>
              </w:rPr>
              <w:t>邮政快递行业监管费用支付正确率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D5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93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622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C4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39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A66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0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46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6C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3983">
            <w:pPr>
              <w:jc w:val="center"/>
            </w:pPr>
          </w:p>
        </w:tc>
      </w:tr>
      <w:tr w14:paraId="3BEFE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A9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8E2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E77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7825">
            <w:pPr>
              <w:jc w:val="center"/>
            </w:pPr>
            <w:r>
              <w:rPr>
                <w:rFonts w:ascii="宋体" w:hAnsi="宋体" w:eastAsia="宋体"/>
                <w:sz w:val="16"/>
              </w:rPr>
              <w:t>年度检查任务按时完成率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56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C88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69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1E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09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18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3B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2F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67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BCC8">
            <w:pPr>
              <w:jc w:val="center"/>
            </w:pPr>
          </w:p>
        </w:tc>
      </w:tr>
      <w:tr w14:paraId="0BCE6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8C1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B0A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7EF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0DAD">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37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16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29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8E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D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D9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F056">
            <w:pPr>
              <w:jc w:val="center"/>
            </w:pPr>
            <w:r>
              <w:rPr>
                <w:rFonts w:ascii="宋体" w:hAnsi="宋体" w:eastAsia="宋体"/>
                <w:sz w:val="16"/>
              </w:rPr>
              <w:t>=96.64%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68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DE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E4F0">
            <w:pPr>
              <w:jc w:val="center"/>
            </w:pPr>
          </w:p>
        </w:tc>
      </w:tr>
      <w:tr w14:paraId="1A501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F52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68C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B7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EDE9">
            <w:pPr>
              <w:jc w:val="center"/>
            </w:pPr>
            <w:r>
              <w:rPr>
                <w:rFonts w:ascii="宋体" w:hAnsi="宋体" w:eastAsia="宋体"/>
                <w:sz w:val="16"/>
              </w:rPr>
              <w:t>邮政快递行业监管费用支付及时率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E96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D3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B5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E5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73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3F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24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B8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9D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B5E1">
            <w:pPr>
              <w:jc w:val="center"/>
            </w:pPr>
          </w:p>
        </w:tc>
      </w:tr>
      <w:tr w14:paraId="2BB33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687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74A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CD6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320B">
            <w:pPr>
              <w:jc w:val="center"/>
            </w:pPr>
            <w:r>
              <w:rPr>
                <w:rFonts w:ascii="宋体" w:hAnsi="宋体" w:eastAsia="宋体"/>
                <w:sz w:val="16"/>
              </w:rPr>
              <w:t>每次监督检查成本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5308D">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A4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40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E9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D7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65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D21C">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AE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8B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2F80">
            <w:pPr>
              <w:jc w:val="center"/>
            </w:pPr>
          </w:p>
        </w:tc>
      </w:tr>
      <w:tr w14:paraId="372122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AF2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C63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448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FD64">
            <w:pPr>
              <w:jc w:val="center"/>
            </w:pPr>
            <w:r>
              <w:rPr>
                <w:rFonts w:ascii="宋体" w:hAnsi="宋体" w:eastAsia="宋体"/>
                <w:sz w:val="16"/>
              </w:rPr>
              <w:t>邮政快递行业监管成本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820E">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64D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89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66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4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94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8923">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49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B0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AF94">
            <w:pPr>
              <w:jc w:val="center"/>
            </w:pPr>
          </w:p>
        </w:tc>
      </w:tr>
      <w:tr w14:paraId="57853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C8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00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EB5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FB69">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4DD5">
            <w:pPr>
              <w:jc w:val="center"/>
            </w:pPr>
            <w:r>
              <w:rPr>
                <w:rFonts w:ascii="宋体" w:hAnsi="宋体" w:eastAsia="宋体"/>
                <w:sz w:val="16"/>
              </w:rPr>
              <w:t>&lt;=1.49万元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7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99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10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A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D2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4948">
            <w:pPr>
              <w:jc w:val="center"/>
            </w:pPr>
            <w:r>
              <w:rPr>
                <w:rFonts w:ascii="宋体" w:hAnsi="宋体" w:eastAsia="宋体"/>
                <w:sz w:val="16"/>
              </w:rPr>
              <w: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0271">
            <w:pPr>
              <w:jc w:val="center"/>
            </w:pPr>
            <w:r>
              <w:rPr>
                <w:rFonts w:ascii="宋体" w:hAnsi="宋体" w:eastAsia="宋体"/>
                <w:sz w:val="16"/>
              </w:rPr>
              <w:t>96.64%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1DBB">
            <w:pPr>
              <w:jc w:val="center"/>
            </w:pPr>
            <w:r>
              <w:rPr>
                <w:rFonts w:ascii="宋体" w:hAnsi="宋体" w:eastAsia="宋体"/>
                <w:sz w:val="16"/>
              </w:rPr>
              <w:t>9.16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877F">
            <w:pPr>
              <w:jc w:val="center"/>
            </w:pPr>
            <w:r>
              <w:rPr>
                <w:rFonts w:ascii="宋体" w:hAnsi="宋体" w:eastAsia="宋体"/>
                <w:sz w:val="16"/>
              </w:rPr>
              <w:t>偏差原因：本年年内调入一人。改进措施：绩效目标根据实际情况</w:t>
            </w:r>
            <w:r>
              <w:rPr>
                <w:rFonts w:hint="eastAsia" w:ascii="宋体" w:hAnsi="宋体"/>
                <w:sz w:val="16"/>
                <w:lang w:eastAsia="zh-CN"/>
              </w:rPr>
              <w:t>进行</w:t>
            </w:r>
            <w:r>
              <w:rPr>
                <w:rFonts w:ascii="宋体" w:hAnsi="宋体" w:eastAsia="宋体"/>
                <w:sz w:val="16"/>
              </w:rPr>
              <w:t>调整。</w:t>
            </w:r>
          </w:p>
        </w:tc>
      </w:tr>
      <w:tr w14:paraId="0801C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EE5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E1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88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3D31">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6B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FD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CE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F9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98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C15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0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8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01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E4DA">
            <w:pPr>
              <w:jc w:val="center"/>
            </w:pPr>
          </w:p>
        </w:tc>
      </w:tr>
      <w:tr w14:paraId="54B82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F25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F2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E8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B90D">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BE81">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C8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F7E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ED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D67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224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84B9">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95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AF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6277">
            <w:pPr>
              <w:jc w:val="center"/>
            </w:pPr>
          </w:p>
        </w:tc>
      </w:tr>
      <w:tr w14:paraId="35D9CBE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269B7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5B8E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7954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4D5C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F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EFF3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AA0E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6A15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0C83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0340">
            <w:pPr>
              <w:jc w:val="center"/>
            </w:pPr>
            <w:r>
              <w:rPr>
                <w:rFonts w:ascii="宋体" w:hAnsi="宋体" w:eastAsia="宋体"/>
                <w:sz w:val="16"/>
              </w:rPr>
              <w:t>99.01分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4DC7F"/>
        </w:tc>
      </w:tr>
    </w:tbl>
    <w:p w14:paraId="0C8A04C7">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592"/>
        <w:gridCol w:w="856"/>
        <w:gridCol w:w="592"/>
        <w:gridCol w:w="630"/>
        <w:gridCol w:w="605"/>
        <w:gridCol w:w="592"/>
        <w:gridCol w:w="592"/>
        <w:gridCol w:w="776"/>
        <w:gridCol w:w="776"/>
        <w:gridCol w:w="630"/>
        <w:gridCol w:w="618"/>
      </w:tblGrid>
      <w:tr w14:paraId="0D903DAF">
        <w:tc>
          <w:tcPr>
            <w:tcW w:w="8848" w:type="dxa"/>
            <w:gridSpan w:val="14"/>
            <w:vAlign w:val="center"/>
          </w:tcPr>
          <w:p w14:paraId="0E327511">
            <w:pPr>
              <w:jc w:val="center"/>
            </w:pPr>
            <w:r>
              <w:rPr>
                <w:rFonts w:ascii="宋体" w:hAnsi="宋体" w:eastAsia="宋体"/>
                <w:sz w:val="24"/>
              </w:rPr>
              <w:t>项目支出绩效自评表</w:t>
            </w:r>
          </w:p>
        </w:tc>
      </w:tr>
      <w:tr w14:paraId="55B05831">
        <w:tblPrEx>
          <w:tblCellMar>
            <w:top w:w="0" w:type="dxa"/>
            <w:left w:w="108" w:type="dxa"/>
            <w:bottom w:w="0" w:type="dxa"/>
            <w:right w:w="108" w:type="dxa"/>
          </w:tblCellMar>
        </w:tblPrEx>
        <w:tc>
          <w:tcPr>
            <w:tcW w:w="8848" w:type="dxa"/>
            <w:gridSpan w:val="14"/>
            <w:vAlign w:val="center"/>
          </w:tcPr>
          <w:p w14:paraId="361E7CFC">
            <w:pPr>
              <w:jc w:val="center"/>
            </w:pPr>
            <w:r>
              <w:rPr>
                <w:rFonts w:ascii="宋体" w:hAnsi="宋体" w:eastAsia="宋体"/>
                <w:sz w:val="24"/>
              </w:rPr>
              <w:t>(2024年度)</w:t>
            </w:r>
          </w:p>
        </w:tc>
      </w:tr>
      <w:tr w14:paraId="5A37A4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26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1CFAEF">
            <w:pPr>
              <w:jc w:val="center"/>
            </w:pPr>
            <w:r>
              <w:rPr>
                <w:rFonts w:ascii="宋体" w:hAnsi="宋体" w:eastAsia="宋体"/>
                <w:sz w:val="16"/>
              </w:rPr>
              <w:t>农村公路建设项目拖欠资金</w:t>
            </w:r>
          </w:p>
        </w:tc>
      </w:tr>
      <w:tr w14:paraId="30912A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F0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5B6B8">
            <w:pPr>
              <w:jc w:val="center"/>
            </w:pPr>
            <w:r>
              <w:rPr>
                <w:rFonts w:ascii="宋体" w:hAnsi="宋体" w:eastAsia="宋体"/>
                <w:sz w:val="16"/>
              </w:rPr>
              <w:t>巴音郭楞蒙古自治州交通运输局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6D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8DC70F">
            <w:pPr>
              <w:jc w:val="center"/>
            </w:pPr>
            <w:r>
              <w:rPr>
                <w:rFonts w:ascii="宋体" w:hAnsi="宋体" w:eastAsia="宋体"/>
                <w:sz w:val="16"/>
              </w:rPr>
              <w:t>巴音郭楞蒙古自治州交通运输局</w:t>
            </w:r>
          </w:p>
        </w:tc>
      </w:tr>
      <w:tr w14:paraId="7AE637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3DBC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5A3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8BF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C61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9BC6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0597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572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19EE">
            <w:pPr>
              <w:jc w:val="center"/>
            </w:pPr>
            <w:r>
              <w:rPr>
                <w:rFonts w:ascii="宋体" w:hAnsi="宋体" w:eastAsia="宋体"/>
                <w:sz w:val="16"/>
              </w:rPr>
              <w:t>得分</w:t>
            </w:r>
          </w:p>
        </w:tc>
      </w:tr>
      <w:tr w14:paraId="5B5443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1CB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487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E2CA6">
            <w:pPr>
              <w:jc w:val="center"/>
            </w:pPr>
            <w:r>
              <w:rPr>
                <w:rFonts w:ascii="宋体" w:hAnsi="宋体" w:eastAsia="宋体"/>
                <w:sz w:val="16"/>
              </w:rPr>
              <w:t>232.65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F26E8">
            <w:pPr>
              <w:jc w:val="center"/>
            </w:pPr>
            <w:r>
              <w:rPr>
                <w:rFonts w:ascii="宋体" w:hAnsi="宋体" w:eastAsia="宋体"/>
                <w:sz w:val="16"/>
              </w:rPr>
              <w:t>232.65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DA13B">
            <w:pPr>
              <w:jc w:val="center"/>
            </w:pPr>
            <w:r>
              <w:rPr>
                <w:rFonts w:ascii="宋体" w:hAnsi="宋体" w:eastAsia="宋体"/>
                <w:sz w:val="16"/>
              </w:rPr>
              <w:t>204.22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BD4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5A933">
            <w:pPr>
              <w:jc w:val="center"/>
            </w:pPr>
            <w:r>
              <w:rPr>
                <w:rFonts w:ascii="宋体" w:hAnsi="宋体" w:eastAsia="宋体"/>
                <w:sz w:val="16"/>
              </w:rPr>
              <w:t>87.78%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8AB1">
            <w:pPr>
              <w:jc w:val="center"/>
            </w:pPr>
            <w:r>
              <w:rPr>
                <w:rFonts w:ascii="宋体" w:hAnsi="宋体" w:eastAsia="宋体"/>
                <w:sz w:val="16"/>
              </w:rPr>
              <w:t>6.95</w:t>
            </w:r>
          </w:p>
        </w:tc>
      </w:tr>
      <w:tr w14:paraId="2DAE82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3A9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268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4FD31">
            <w:pPr>
              <w:jc w:val="center"/>
            </w:pPr>
            <w:r>
              <w:rPr>
                <w:rFonts w:ascii="宋体" w:hAnsi="宋体" w:eastAsia="宋体"/>
                <w:sz w:val="16"/>
              </w:rPr>
              <w:t>232.65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3328A">
            <w:pPr>
              <w:jc w:val="center"/>
            </w:pPr>
            <w:r>
              <w:rPr>
                <w:rFonts w:ascii="宋体" w:hAnsi="宋体" w:eastAsia="宋体"/>
                <w:sz w:val="16"/>
              </w:rPr>
              <w:t>232.65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7353F">
            <w:pPr>
              <w:jc w:val="center"/>
            </w:pPr>
            <w:r>
              <w:rPr>
                <w:rFonts w:ascii="宋体" w:hAnsi="宋体" w:eastAsia="宋体"/>
                <w:sz w:val="16"/>
              </w:rPr>
              <w:t>204.22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485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C5D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3E9B">
            <w:pPr>
              <w:jc w:val="center"/>
            </w:pPr>
            <w:r>
              <w:rPr>
                <w:rFonts w:ascii="宋体" w:hAnsi="宋体" w:eastAsia="宋体"/>
                <w:sz w:val="16"/>
              </w:rPr>
              <w:t>-</w:t>
            </w:r>
          </w:p>
        </w:tc>
      </w:tr>
      <w:tr w14:paraId="2DC982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2E5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1C76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8D1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E65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8BC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A7E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8BC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17ED">
            <w:pPr>
              <w:jc w:val="center"/>
            </w:pPr>
            <w:r>
              <w:rPr>
                <w:rFonts w:ascii="宋体" w:hAnsi="宋体" w:eastAsia="宋体"/>
                <w:sz w:val="16"/>
              </w:rPr>
              <w:t>-</w:t>
            </w:r>
          </w:p>
        </w:tc>
      </w:tr>
      <w:tr w14:paraId="3C6B3A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1E4D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F1A5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468BE4">
            <w:pPr>
              <w:jc w:val="center"/>
            </w:pPr>
            <w:r>
              <w:rPr>
                <w:rFonts w:ascii="宋体" w:hAnsi="宋体" w:eastAsia="宋体"/>
                <w:sz w:val="16"/>
              </w:rPr>
              <w:t>总体目标完成情况</w:t>
            </w:r>
          </w:p>
        </w:tc>
      </w:tr>
      <w:tr w14:paraId="13F879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2448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4E3EEE">
            <w:pPr>
              <w:jc w:val="both"/>
            </w:pPr>
            <w:r>
              <w:rPr>
                <w:rFonts w:ascii="宋体" w:hAnsi="宋体" w:eastAsia="宋体"/>
                <w:sz w:val="16"/>
              </w:rPr>
              <w:t>根据州工信局要求，完成14家企业，9个项目的清偿工作，清偿金额232.65万元，保障中小企业权益。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D96CD6">
            <w:pPr>
              <w:jc w:val="both"/>
            </w:pPr>
            <w:r>
              <w:rPr>
                <w:rFonts w:ascii="宋体" w:hAnsi="宋体" w:eastAsia="宋体"/>
                <w:sz w:val="16"/>
              </w:rPr>
              <w:t>及时完成了2010-2012年农村公路欠款清欠企业数量11家，清欠项目数量9个，保障了施工企业的合法权益，逐步减少了拖欠事件，得到了施工企业的大力认可，提高了政府公信力。</w:t>
            </w:r>
          </w:p>
        </w:tc>
      </w:tr>
      <w:tr w14:paraId="6D01E3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3A53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57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62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DE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4A6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43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1BB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063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34E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F2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964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5EE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F6A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9AF6">
            <w:pPr>
              <w:jc w:val="center"/>
            </w:pPr>
            <w:r>
              <w:rPr>
                <w:rFonts w:ascii="宋体" w:hAnsi="宋体" w:eastAsia="宋体"/>
                <w:sz w:val="16"/>
              </w:rPr>
              <w:t>偏差原因分析及改进措施</w:t>
            </w:r>
          </w:p>
        </w:tc>
      </w:tr>
      <w:tr w14:paraId="1BF54F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5EE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884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916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B482">
            <w:pPr>
              <w:jc w:val="center"/>
            </w:pPr>
            <w:r>
              <w:rPr>
                <w:rFonts w:ascii="宋体" w:hAnsi="宋体" w:eastAsia="宋体"/>
                <w:sz w:val="16"/>
              </w:rPr>
              <w:t>完成清欠企业数量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27FC">
            <w:pPr>
              <w:jc w:val="center"/>
            </w:pPr>
            <w:r>
              <w:rPr>
                <w:rFonts w:ascii="宋体" w:hAnsi="宋体" w:eastAsia="宋体"/>
                <w:sz w:val="16"/>
              </w:rPr>
              <w:t>=14家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E1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C19F">
            <w:pPr>
              <w:jc w:val="center"/>
            </w:pPr>
            <w:r>
              <w:rPr>
                <w:rFonts w:hint="eastAsia" w:ascii="宋体" w:hAnsi="宋体" w:eastAsia="宋体"/>
                <w:sz w:val="16"/>
              </w:rPr>
              <w:t>15家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D9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4F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27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C56E">
            <w:pPr>
              <w:jc w:val="center"/>
            </w:pPr>
            <w:r>
              <w:rPr>
                <w:rFonts w:ascii="宋体" w:hAnsi="宋体" w:eastAsia="宋体"/>
                <w:sz w:val="16"/>
              </w:rPr>
              <w:t>=11家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45FA">
            <w:pPr>
              <w:jc w:val="center"/>
            </w:pPr>
            <w:r>
              <w:rPr>
                <w:rFonts w:ascii="宋体" w:hAnsi="宋体" w:eastAsia="宋体"/>
                <w:sz w:val="16"/>
              </w:rPr>
              <w:t>78.57%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D908">
            <w:pPr>
              <w:jc w:val="center"/>
            </w:pPr>
            <w:r>
              <w:rPr>
                <w:rFonts w:ascii="宋体" w:hAnsi="宋体" w:eastAsia="宋体"/>
                <w:sz w:val="16"/>
              </w:rPr>
              <w:t>4.64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64ED">
            <w:pPr>
              <w:jc w:val="center"/>
            </w:pPr>
            <w:r>
              <w:rPr>
                <w:rFonts w:ascii="宋体" w:hAnsi="宋体" w:eastAsia="宋体"/>
                <w:sz w:val="16"/>
              </w:rPr>
              <w:t>偏差原因：已按项目审计价完成清欠企业欠款。改进措施：进一步加强预算绩效管理目标的执行力度，确保科学、合理、严谨</w:t>
            </w:r>
            <w:r>
              <w:rPr>
                <w:rFonts w:hint="eastAsia" w:ascii="宋体" w:hAnsi="宋体"/>
                <w:sz w:val="16"/>
                <w:lang w:eastAsia="zh-CN"/>
              </w:rPr>
              <w:t>地</w:t>
            </w:r>
            <w:r>
              <w:rPr>
                <w:rFonts w:ascii="宋体" w:hAnsi="宋体" w:eastAsia="宋体"/>
                <w:sz w:val="16"/>
              </w:rPr>
              <w:t>编制预算，提高预算资金使用效益和使用效率。</w:t>
            </w:r>
          </w:p>
        </w:tc>
      </w:tr>
      <w:tr w14:paraId="61325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B99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456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CCC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9C4F">
            <w:pPr>
              <w:jc w:val="center"/>
            </w:pPr>
            <w:r>
              <w:rPr>
                <w:rFonts w:ascii="宋体" w:hAnsi="宋体" w:eastAsia="宋体"/>
                <w:sz w:val="16"/>
              </w:rPr>
              <w:t>完成清欠项目数量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F791">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59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600C">
            <w:pPr>
              <w:jc w:val="center"/>
            </w:pPr>
            <w:r>
              <w:rPr>
                <w:rFonts w:hint="eastAsia" w:ascii="宋体" w:hAnsi="宋体" w:eastAsia="宋体"/>
                <w:sz w:val="16"/>
              </w:rPr>
              <w: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36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1B1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F3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33F8A">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C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DB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66AF">
            <w:pPr>
              <w:jc w:val="center"/>
            </w:pPr>
          </w:p>
        </w:tc>
      </w:tr>
      <w:tr w14:paraId="60D93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5F0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EF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E0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CCE4">
            <w:pPr>
              <w:jc w:val="center"/>
            </w:pPr>
            <w:r>
              <w:rPr>
                <w:rFonts w:ascii="宋体" w:hAnsi="宋体" w:eastAsia="宋体"/>
                <w:sz w:val="16"/>
              </w:rPr>
              <w:t>欠款清偿完结率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E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19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1159">
            <w:pPr>
              <w:jc w:val="center"/>
            </w:pPr>
            <w:r>
              <w:rPr>
                <w:rFonts w:hint="eastAsia"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75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72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4F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D9F2">
            <w:pPr>
              <w:jc w:val="center"/>
            </w:pPr>
            <w:r>
              <w:rPr>
                <w:rFonts w:ascii="宋体" w:hAnsi="宋体" w:eastAsia="宋体"/>
                <w:sz w:val="16"/>
              </w:rPr>
              <w:t>=87.78%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D867">
            <w:pPr>
              <w:jc w:val="center"/>
            </w:pPr>
            <w:r>
              <w:rPr>
                <w:rFonts w:ascii="宋体" w:hAnsi="宋体" w:eastAsia="宋体"/>
                <w:sz w:val="16"/>
              </w:rPr>
              <w:t>87.78%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C421">
            <w:pPr>
              <w:jc w:val="center"/>
            </w:pPr>
            <w:r>
              <w:rPr>
                <w:rFonts w:ascii="宋体" w:hAnsi="宋体" w:eastAsia="宋体"/>
                <w:sz w:val="16"/>
              </w:rPr>
              <w:t>6.95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EBD5">
            <w:pPr>
              <w:jc w:val="center"/>
            </w:pPr>
            <w:r>
              <w:rPr>
                <w:rFonts w:ascii="宋体" w:hAnsi="宋体" w:eastAsia="宋体"/>
                <w:sz w:val="16"/>
              </w:rPr>
              <w:t>偏差原因：已按项目审计价完成清欠企业欠款。改进措施：进一步加强预算绩效管理目标的执行力度，确保科学、合理、严谨</w:t>
            </w:r>
            <w:r>
              <w:rPr>
                <w:rFonts w:hint="eastAsia" w:ascii="宋体" w:hAnsi="宋体"/>
                <w:sz w:val="16"/>
                <w:lang w:eastAsia="zh-CN"/>
              </w:rPr>
              <w:t>地</w:t>
            </w:r>
            <w:r>
              <w:rPr>
                <w:rFonts w:ascii="宋体" w:hAnsi="宋体" w:eastAsia="宋体"/>
                <w:sz w:val="16"/>
              </w:rPr>
              <w:t>编制预算，提高预算资金使用效益和使用效率。</w:t>
            </w:r>
          </w:p>
        </w:tc>
      </w:tr>
      <w:tr w14:paraId="3EF7E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8CC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3FE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23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76B2">
            <w:pPr>
              <w:jc w:val="center"/>
            </w:pPr>
            <w:r>
              <w:rPr>
                <w:rFonts w:ascii="宋体" w:hAnsi="宋体" w:eastAsia="宋体"/>
                <w:sz w:val="16"/>
              </w:rPr>
              <w:t>清欠工作及时率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17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E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B136">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751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7F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06C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CFCA">
            <w:pPr>
              <w:jc w:val="center"/>
            </w:pPr>
            <w:r>
              <w:rPr>
                <w:rFonts w:ascii="宋体" w:hAnsi="宋体" w:eastAsia="宋体"/>
                <w:sz w:val="16"/>
              </w:rPr>
              <w:t>=87.78%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6DFB">
            <w:pPr>
              <w:jc w:val="center"/>
            </w:pPr>
            <w:r>
              <w:rPr>
                <w:rFonts w:ascii="宋体" w:hAnsi="宋体" w:eastAsia="宋体"/>
                <w:sz w:val="16"/>
              </w:rPr>
              <w:t>87.78%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C5EB">
            <w:pPr>
              <w:jc w:val="center"/>
            </w:pPr>
            <w:r>
              <w:rPr>
                <w:rFonts w:ascii="宋体" w:hAnsi="宋体" w:eastAsia="宋体"/>
                <w:sz w:val="16"/>
              </w:rPr>
              <w:t>6.95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7C75">
            <w:pPr>
              <w:jc w:val="center"/>
            </w:pPr>
            <w:r>
              <w:rPr>
                <w:rFonts w:ascii="宋体" w:hAnsi="宋体" w:eastAsia="宋体"/>
                <w:sz w:val="16"/>
              </w:rPr>
              <w:t>偏差原因：已按项目审计价完成清欠企业欠款。改进措施：进一步加强预算绩效管理目标的执行力度，确保科学、合理、严谨</w:t>
            </w:r>
            <w:r>
              <w:rPr>
                <w:rFonts w:hint="eastAsia" w:ascii="宋体" w:hAnsi="宋体"/>
                <w:sz w:val="16"/>
                <w:lang w:eastAsia="zh-CN"/>
              </w:rPr>
              <w:t>地</w:t>
            </w:r>
            <w:r>
              <w:rPr>
                <w:rFonts w:ascii="宋体" w:hAnsi="宋体" w:eastAsia="宋体"/>
                <w:sz w:val="16"/>
              </w:rPr>
              <w:t>编制预算，提高预算资金使用效益和使用效率。</w:t>
            </w:r>
          </w:p>
        </w:tc>
      </w:tr>
      <w:tr w14:paraId="35C85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B73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4CF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7C4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7DA7">
            <w:pPr>
              <w:jc w:val="center"/>
            </w:pPr>
            <w:r>
              <w:rPr>
                <w:rFonts w:ascii="宋体" w:hAnsi="宋体" w:eastAsia="宋体"/>
                <w:sz w:val="16"/>
              </w:rPr>
              <w:t>清欠监理费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D8D9">
            <w:pPr>
              <w:jc w:val="center"/>
            </w:pPr>
            <w:r>
              <w:rPr>
                <w:rFonts w:ascii="宋体" w:hAnsi="宋体" w:eastAsia="宋体"/>
                <w:sz w:val="16"/>
              </w:rPr>
              <w:t>&lt;=140.17万元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30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F3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2CA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89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B8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4BEA">
            <w:pPr>
              <w:jc w:val="center"/>
            </w:pPr>
            <w:r>
              <w:rPr>
                <w:rFonts w:ascii="宋体" w:hAnsi="宋体" w:eastAsia="宋体"/>
                <w:sz w:val="16"/>
              </w:rPr>
              <w:t>=120.38万元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5E11">
            <w:pPr>
              <w:jc w:val="center"/>
            </w:pPr>
            <w:r>
              <w:rPr>
                <w:rFonts w:ascii="宋体" w:hAnsi="宋体" w:eastAsia="宋体"/>
                <w:sz w:val="16"/>
              </w:rPr>
              <w:t>85.88%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CBA8">
            <w:pPr>
              <w:jc w:val="center"/>
            </w:pPr>
            <w:r>
              <w:rPr>
                <w:rFonts w:ascii="宋体" w:hAnsi="宋体" w:eastAsia="宋体"/>
                <w:sz w:val="16"/>
              </w:rPr>
              <w:t>1.29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8A25">
            <w:pPr>
              <w:jc w:val="center"/>
            </w:pPr>
            <w:r>
              <w:rPr>
                <w:rFonts w:ascii="宋体" w:hAnsi="宋体" w:eastAsia="宋体"/>
                <w:sz w:val="16"/>
              </w:rPr>
              <w:t>偏差原因：已按项目审计价完成清欠企业欠款。改进措施：进一步加强预算绩效管理目标的执行力度，确保科学、合理、严谨</w:t>
            </w:r>
            <w:r>
              <w:rPr>
                <w:rFonts w:hint="eastAsia" w:ascii="宋体" w:hAnsi="宋体"/>
                <w:sz w:val="16"/>
                <w:lang w:eastAsia="zh-CN"/>
              </w:rPr>
              <w:t>地</w:t>
            </w:r>
            <w:r>
              <w:rPr>
                <w:rFonts w:ascii="宋体" w:hAnsi="宋体" w:eastAsia="宋体"/>
                <w:sz w:val="16"/>
              </w:rPr>
              <w:t>编制预算，提高预算资金使用效益和使用效率。</w:t>
            </w:r>
          </w:p>
        </w:tc>
      </w:tr>
      <w:tr w14:paraId="39540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BC4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14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8C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2F9B">
            <w:pPr>
              <w:jc w:val="center"/>
            </w:pPr>
            <w:r>
              <w:rPr>
                <w:rFonts w:ascii="宋体" w:hAnsi="宋体" w:eastAsia="宋体"/>
                <w:sz w:val="16"/>
              </w:rPr>
              <w:t>清欠设计费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F51D">
            <w:pPr>
              <w:jc w:val="center"/>
            </w:pPr>
            <w:r>
              <w:rPr>
                <w:rFonts w:ascii="宋体" w:hAnsi="宋体" w:eastAsia="宋体"/>
                <w:sz w:val="16"/>
              </w:rPr>
              <w:t>&lt;=24.03万元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A6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91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1F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AE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73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90FC">
            <w:pPr>
              <w:jc w:val="center"/>
            </w:pPr>
            <w:r>
              <w:rPr>
                <w:rFonts w:ascii="宋体" w:hAnsi="宋体" w:eastAsia="宋体"/>
                <w:sz w:val="16"/>
              </w:rPr>
              <w:t>=15.4万元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AA0A">
            <w:pPr>
              <w:jc w:val="center"/>
            </w:pPr>
            <w:r>
              <w:rPr>
                <w:rFonts w:ascii="宋体" w:hAnsi="宋体" w:eastAsia="宋体"/>
                <w:sz w:val="16"/>
              </w:rPr>
              <w:t>64.09%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A7C4">
            <w:pPr>
              <w:jc w:val="center"/>
            </w:pPr>
            <w:r>
              <w:rPr>
                <w:rFonts w:ascii="宋体" w:hAnsi="宋体" w:eastAsia="宋体"/>
                <w:sz w:val="16"/>
              </w:rPr>
              <w:t>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9B65">
            <w:pPr>
              <w:jc w:val="center"/>
            </w:pPr>
            <w:r>
              <w:rPr>
                <w:rFonts w:ascii="宋体" w:hAnsi="宋体" w:eastAsia="宋体"/>
                <w:sz w:val="16"/>
              </w:rPr>
              <w:t>偏差原因：已按项目审计价完成清欠企业欠款。改进措施：进一步加强预算绩效管理目标的执行力度，确保科学、合理、严谨</w:t>
            </w:r>
            <w:r>
              <w:rPr>
                <w:rFonts w:hint="eastAsia" w:ascii="宋体" w:hAnsi="宋体"/>
                <w:sz w:val="16"/>
                <w:lang w:eastAsia="zh-CN"/>
              </w:rPr>
              <w:t>地</w:t>
            </w:r>
            <w:r>
              <w:rPr>
                <w:rFonts w:ascii="宋体" w:hAnsi="宋体" w:eastAsia="宋体"/>
                <w:sz w:val="16"/>
              </w:rPr>
              <w:t>编制预算，提高预算资金使用效益和使用效率。</w:t>
            </w:r>
          </w:p>
        </w:tc>
      </w:tr>
      <w:tr w14:paraId="0B4D36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D0D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132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8B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6B9C6">
            <w:pPr>
              <w:jc w:val="center"/>
            </w:pPr>
            <w:r>
              <w:rPr>
                <w:rFonts w:ascii="宋体" w:hAnsi="宋体" w:eastAsia="宋体"/>
                <w:sz w:val="16"/>
              </w:rPr>
              <w:t>清欠试验检测费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EA46">
            <w:pPr>
              <w:jc w:val="center"/>
            </w:pPr>
            <w:r>
              <w:rPr>
                <w:rFonts w:ascii="宋体" w:hAnsi="宋体" w:eastAsia="宋体"/>
                <w:sz w:val="16"/>
              </w:rPr>
              <w:t>&lt;=21.30万元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2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6B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C3A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A2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93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5AC4">
            <w:pPr>
              <w:jc w:val="center"/>
            </w:pPr>
            <w:r>
              <w:rPr>
                <w:rFonts w:ascii="宋体" w:hAnsi="宋体" w:eastAsia="宋体"/>
                <w:sz w:val="16"/>
              </w:rPr>
              <w:t>=21.3万元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5B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347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4FFE">
            <w:pPr>
              <w:jc w:val="center"/>
            </w:pPr>
          </w:p>
        </w:tc>
      </w:tr>
      <w:tr w14:paraId="09041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9F8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2E2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462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A121">
            <w:pPr>
              <w:jc w:val="center"/>
            </w:pPr>
            <w:r>
              <w:rPr>
                <w:rFonts w:ascii="宋体" w:hAnsi="宋体" w:eastAsia="宋体"/>
                <w:sz w:val="16"/>
              </w:rPr>
              <w:t>清欠水土保持验收费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C1CB">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B8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98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AC8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2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17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A173">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AB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1F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933A">
            <w:pPr>
              <w:jc w:val="center"/>
            </w:pPr>
          </w:p>
        </w:tc>
      </w:tr>
      <w:tr w14:paraId="28256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5F6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983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649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4AC36">
            <w:pPr>
              <w:jc w:val="center"/>
            </w:pPr>
            <w:r>
              <w:rPr>
                <w:rFonts w:ascii="宋体" w:hAnsi="宋体" w:eastAsia="宋体"/>
                <w:sz w:val="16"/>
              </w:rPr>
              <w:t>清欠土地预审报告费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D156">
            <w:pPr>
              <w:jc w:val="center"/>
            </w:pPr>
            <w:r>
              <w:rPr>
                <w:rFonts w:ascii="宋体" w:hAnsi="宋体" w:eastAsia="宋体"/>
                <w:sz w:val="16"/>
              </w:rPr>
              <w:t>&lt;=10.14万元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7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13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13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A2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58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E039">
            <w:pPr>
              <w:jc w:val="center"/>
            </w:pPr>
            <w:r>
              <w:rPr>
                <w:rFonts w:ascii="宋体" w:hAnsi="宋体" w:eastAsia="宋体"/>
                <w:sz w:val="16"/>
              </w:rPr>
              <w:t>=10.14万元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9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EB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ECF0">
            <w:pPr>
              <w:jc w:val="center"/>
            </w:pPr>
          </w:p>
        </w:tc>
      </w:tr>
      <w:tr w14:paraId="03397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866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22A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F37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CA3E">
            <w:pPr>
              <w:jc w:val="center"/>
            </w:pPr>
            <w:r>
              <w:rPr>
                <w:rFonts w:ascii="宋体" w:hAnsi="宋体" w:eastAsia="宋体"/>
                <w:sz w:val="16"/>
              </w:rPr>
              <w:t>压覆矿产资源储量评估费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6F2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7F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5D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97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8C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CF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5E45">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74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6C9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C762">
            <w:pPr>
              <w:jc w:val="center"/>
            </w:pPr>
          </w:p>
        </w:tc>
      </w:tr>
      <w:tr w14:paraId="34DD3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617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C434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10D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C043">
            <w:pPr>
              <w:jc w:val="center"/>
            </w:pPr>
            <w:r>
              <w:rPr>
                <w:rFonts w:ascii="宋体" w:hAnsi="宋体" w:eastAsia="宋体"/>
                <w:sz w:val="16"/>
              </w:rPr>
              <w:t>保障施工企业合法权益金额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6938">
            <w:pPr>
              <w:jc w:val="center"/>
            </w:pPr>
            <w:r>
              <w:rPr>
                <w:rFonts w:ascii="宋体" w:hAnsi="宋体" w:eastAsia="宋体"/>
                <w:sz w:val="16"/>
              </w:rPr>
              <w:t>&lt;=232.65万元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F5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54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6EAC">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23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7C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7063">
            <w:pPr>
              <w:jc w:val="center"/>
            </w:pPr>
            <w:r>
              <w:rPr>
                <w:rFonts w:ascii="宋体" w:hAnsi="宋体" w:eastAsia="宋体"/>
                <w:sz w:val="16"/>
              </w:rPr>
              <w:t>=204.22万元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44BF">
            <w:pPr>
              <w:jc w:val="center"/>
            </w:pPr>
            <w:r>
              <w:rPr>
                <w:rFonts w:ascii="宋体" w:hAnsi="宋体" w:eastAsia="宋体"/>
                <w:sz w:val="16"/>
              </w:rPr>
              <w:t>87.78%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717E">
            <w:pPr>
              <w:jc w:val="center"/>
            </w:pPr>
            <w:r>
              <w:rPr>
                <w:rFonts w:ascii="宋体" w:hAnsi="宋体" w:eastAsia="宋体"/>
                <w:sz w:val="16"/>
              </w:rPr>
              <w:t>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92F3">
            <w:pPr>
              <w:jc w:val="center"/>
            </w:pPr>
            <w:r>
              <w:rPr>
                <w:rFonts w:ascii="宋体" w:hAnsi="宋体" w:eastAsia="宋体"/>
                <w:sz w:val="16"/>
              </w:rPr>
              <w:t>偏差原因：已按项目审计价完成清欠企业欠款。改进措施：进一步加强预算绩效管理目标的执行力度，确保科学、合理、严谨</w:t>
            </w:r>
            <w:r>
              <w:rPr>
                <w:rFonts w:hint="eastAsia" w:ascii="宋体" w:hAnsi="宋体"/>
                <w:sz w:val="16"/>
                <w:lang w:eastAsia="zh-CN"/>
              </w:rPr>
              <w:t>地</w:t>
            </w:r>
            <w:r>
              <w:rPr>
                <w:rFonts w:ascii="宋体" w:hAnsi="宋体" w:eastAsia="宋体"/>
                <w:sz w:val="16"/>
              </w:rPr>
              <w:t>编制预算，提高预算资金使用效益和使用效率。</w:t>
            </w:r>
          </w:p>
        </w:tc>
      </w:tr>
      <w:tr w14:paraId="57FC3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EED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35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CF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158A6">
            <w:pPr>
              <w:jc w:val="center"/>
            </w:pPr>
            <w:r>
              <w:rPr>
                <w:rFonts w:ascii="宋体" w:hAnsi="宋体" w:eastAsia="宋体"/>
                <w:sz w:val="16"/>
              </w:rPr>
              <w:t>减少拖欠事件数量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4FDD">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5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640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02EA">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13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BD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65D78">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C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9C7F">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4D0A">
            <w:pPr>
              <w:jc w:val="center"/>
            </w:pPr>
          </w:p>
        </w:tc>
      </w:tr>
      <w:tr w14:paraId="7B52E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B17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CA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37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3AB4">
            <w:pPr>
              <w:jc w:val="center"/>
            </w:pPr>
            <w:r>
              <w:rPr>
                <w:rFonts w:ascii="宋体" w:hAnsi="宋体" w:eastAsia="宋体"/>
                <w:sz w:val="16"/>
              </w:rPr>
              <w:t>施工企业满意度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DC1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78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E5E3">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AE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E0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7E4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1E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4BD3">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6E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751C">
            <w:pPr>
              <w:jc w:val="center"/>
            </w:pPr>
            <w:r>
              <w:rPr>
                <w:rFonts w:ascii="宋体" w:hAnsi="宋体" w:eastAsia="宋体"/>
                <w:sz w:val="16"/>
              </w:rPr>
              <w:t>偏差原因：满意度指标设置较低，改进措施：精准设置满意度指标并作出及时调整。</w:t>
            </w:r>
          </w:p>
        </w:tc>
      </w:tr>
      <w:tr w14:paraId="37B79A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787EC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9DE9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C4BD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76D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640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8DBE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07FC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D715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04C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0B9B">
            <w:pPr>
              <w:jc w:val="center"/>
            </w:pPr>
            <w:r>
              <w:rPr>
                <w:rFonts w:ascii="宋体" w:hAnsi="宋体" w:eastAsia="宋体"/>
                <w:sz w:val="16"/>
              </w:rPr>
              <w:t>78.70分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A48A2E"/>
        </w:tc>
      </w:tr>
    </w:tbl>
    <w:p w14:paraId="3CE2AF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96"/>
        <w:gridCol w:w="632"/>
      </w:tblGrid>
      <w:tr w14:paraId="5EF4D898">
        <w:tblPrEx>
          <w:tblCellMar>
            <w:top w:w="0" w:type="dxa"/>
            <w:left w:w="108" w:type="dxa"/>
            <w:bottom w:w="0" w:type="dxa"/>
            <w:right w:w="108" w:type="dxa"/>
          </w:tblCellMar>
        </w:tblPrEx>
        <w:tc>
          <w:tcPr>
            <w:tcW w:w="8848" w:type="dxa"/>
            <w:gridSpan w:val="14"/>
            <w:vAlign w:val="center"/>
          </w:tcPr>
          <w:p w14:paraId="00D9502A">
            <w:pPr>
              <w:jc w:val="center"/>
            </w:pPr>
            <w:r>
              <w:rPr>
                <w:rFonts w:ascii="宋体" w:hAnsi="宋体" w:eastAsia="宋体"/>
                <w:sz w:val="24"/>
              </w:rPr>
              <w:t>项目支出绩效自评表</w:t>
            </w:r>
          </w:p>
        </w:tc>
      </w:tr>
      <w:tr w14:paraId="3BCD8202">
        <w:tblPrEx>
          <w:tblCellMar>
            <w:top w:w="0" w:type="dxa"/>
            <w:left w:w="108" w:type="dxa"/>
            <w:bottom w:w="0" w:type="dxa"/>
            <w:right w:w="108" w:type="dxa"/>
          </w:tblCellMar>
        </w:tblPrEx>
        <w:tc>
          <w:tcPr>
            <w:tcW w:w="8848" w:type="dxa"/>
            <w:gridSpan w:val="14"/>
            <w:vAlign w:val="center"/>
          </w:tcPr>
          <w:p w14:paraId="6ACB77EA">
            <w:pPr>
              <w:jc w:val="center"/>
            </w:pPr>
            <w:r>
              <w:rPr>
                <w:rFonts w:ascii="宋体" w:hAnsi="宋体" w:eastAsia="宋体"/>
                <w:sz w:val="24"/>
              </w:rPr>
              <w:t>(2024年度)</w:t>
            </w:r>
          </w:p>
        </w:tc>
      </w:tr>
      <w:tr w14:paraId="0E1E70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B7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0A61EF">
            <w:pPr>
              <w:jc w:val="center"/>
            </w:pPr>
            <w:r>
              <w:rPr>
                <w:rFonts w:ascii="宋体" w:hAnsi="宋体" w:eastAsia="宋体"/>
                <w:sz w:val="16"/>
              </w:rPr>
              <w:t>巴州公路建设项目质量监督经费</w:t>
            </w:r>
          </w:p>
        </w:tc>
      </w:tr>
      <w:tr w14:paraId="05049F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40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07162B">
            <w:pPr>
              <w:jc w:val="center"/>
            </w:pPr>
            <w:r>
              <w:rPr>
                <w:rFonts w:ascii="宋体" w:hAnsi="宋体" w:eastAsia="宋体"/>
                <w:sz w:val="16"/>
              </w:rPr>
              <w:t>巴音郭楞蒙古自治州交通运输局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8362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0CFB27">
            <w:pPr>
              <w:jc w:val="center"/>
            </w:pPr>
            <w:r>
              <w:rPr>
                <w:rFonts w:ascii="宋体" w:hAnsi="宋体" w:eastAsia="宋体"/>
                <w:sz w:val="16"/>
              </w:rPr>
              <w:t>巴音郭楞蒙古自治州交通运输局</w:t>
            </w:r>
          </w:p>
        </w:tc>
      </w:tr>
      <w:tr w14:paraId="06A957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AE8D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326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197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3DE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1D0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7600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83E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27E2">
            <w:pPr>
              <w:jc w:val="center"/>
            </w:pPr>
            <w:r>
              <w:rPr>
                <w:rFonts w:ascii="宋体" w:hAnsi="宋体" w:eastAsia="宋体"/>
                <w:sz w:val="16"/>
              </w:rPr>
              <w:t>得分</w:t>
            </w:r>
          </w:p>
        </w:tc>
      </w:tr>
      <w:tr w14:paraId="737956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43E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EC6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C26C9">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95177">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3B86A">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1F2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B2B0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77E4">
            <w:pPr>
              <w:jc w:val="center"/>
            </w:pPr>
            <w:r>
              <w:rPr>
                <w:rFonts w:ascii="宋体" w:hAnsi="宋体" w:eastAsia="宋体"/>
                <w:sz w:val="16"/>
              </w:rPr>
              <w:t>10.00</w:t>
            </w:r>
          </w:p>
        </w:tc>
      </w:tr>
      <w:tr w14:paraId="4E91E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37A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0FB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5B9EF">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85BE1">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0A11D">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57F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EDB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E1C3">
            <w:pPr>
              <w:jc w:val="center"/>
            </w:pPr>
            <w:r>
              <w:rPr>
                <w:rFonts w:ascii="宋体" w:hAnsi="宋体" w:eastAsia="宋体"/>
                <w:sz w:val="16"/>
              </w:rPr>
              <w:t>-</w:t>
            </w:r>
          </w:p>
        </w:tc>
      </w:tr>
      <w:tr w14:paraId="4B38B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188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FE35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35E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C70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22F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B38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EEF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C319">
            <w:pPr>
              <w:jc w:val="center"/>
            </w:pPr>
            <w:r>
              <w:rPr>
                <w:rFonts w:ascii="宋体" w:hAnsi="宋体" w:eastAsia="宋体"/>
                <w:sz w:val="16"/>
              </w:rPr>
              <w:t>-</w:t>
            </w:r>
          </w:p>
        </w:tc>
      </w:tr>
      <w:tr w14:paraId="23D5CD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92D9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2C52C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9D17B4">
            <w:pPr>
              <w:jc w:val="center"/>
            </w:pPr>
            <w:r>
              <w:rPr>
                <w:rFonts w:ascii="宋体" w:hAnsi="宋体" w:eastAsia="宋体"/>
                <w:sz w:val="16"/>
              </w:rPr>
              <w:t>总体目标完成情况</w:t>
            </w:r>
          </w:p>
        </w:tc>
      </w:tr>
      <w:tr w14:paraId="301E8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1ED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BD0C2F">
            <w:pPr>
              <w:jc w:val="both"/>
            </w:pPr>
            <w:r>
              <w:rPr>
                <w:rFonts w:ascii="宋体" w:hAnsi="宋体" w:eastAsia="宋体"/>
                <w:sz w:val="16"/>
              </w:rPr>
              <w:t>认真组织3次质量安全监督工作，严格执行过程质量标准和规程，努力提升巴州交通工程质量监督工作质效，公路工程质量监督意识不断加强、质量监督体系不断完善、质量监督手段不断强化，确保了公路工程施工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68D2F2">
            <w:pPr>
              <w:jc w:val="both"/>
            </w:pPr>
            <w:r>
              <w:rPr>
                <w:rFonts w:ascii="宋体" w:hAnsi="宋体" w:eastAsia="宋体"/>
                <w:sz w:val="16"/>
              </w:rPr>
              <w:t>通过组织3次质量安全监督工作，巴州公路工程质量监督站认真履行政府监督职能，根据巴州公路工程建设实际情况，认真组织实施质量安全监督工作，严格执行过程质量标准和规程，努力提高巴州交通工程质量监督工作水平。持续深入开展“质量提升”专项行动，进一步完善公路建设项目质量安全管理体系，对质量通病、薄弱环节、典型问题进行重点监督，着力提升公路工程建设质量水平。</w:t>
            </w:r>
          </w:p>
        </w:tc>
      </w:tr>
      <w:tr w14:paraId="34EDC5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4C80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D1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1D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F5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7F2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FB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358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DF4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764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2C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35B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C9F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8A0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8650">
            <w:pPr>
              <w:jc w:val="center"/>
            </w:pPr>
            <w:r>
              <w:rPr>
                <w:rFonts w:ascii="宋体" w:hAnsi="宋体" w:eastAsia="宋体"/>
                <w:sz w:val="16"/>
              </w:rPr>
              <w:t>偏差原因分析及改进措施</w:t>
            </w:r>
          </w:p>
        </w:tc>
      </w:tr>
      <w:tr w14:paraId="6F488C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1BC7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3BFC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84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9D2C">
            <w:pPr>
              <w:jc w:val="center"/>
            </w:pPr>
            <w:r>
              <w:rPr>
                <w:rFonts w:ascii="宋体" w:hAnsi="宋体" w:eastAsia="宋体"/>
                <w:sz w:val="16"/>
              </w:rPr>
              <w:t>日常监督检查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8B02">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2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37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DB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57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AC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15E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6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05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92DF">
            <w:pPr>
              <w:jc w:val="center"/>
            </w:pPr>
          </w:p>
        </w:tc>
      </w:tr>
      <w:tr w14:paraId="5A1A3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E0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D75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88B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063B">
            <w:pPr>
              <w:jc w:val="center"/>
            </w:pPr>
            <w:r>
              <w:rPr>
                <w:rFonts w:ascii="宋体" w:hAnsi="宋体" w:eastAsia="宋体"/>
                <w:sz w:val="16"/>
              </w:rPr>
              <w:t>实体抽检合格率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33B1">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05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17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1B5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9A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DC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A269">
            <w:pPr>
              <w:jc w:val="center"/>
            </w:pPr>
            <w:r>
              <w:rPr>
                <w:rFonts w:ascii="宋体" w:hAnsi="宋体" w:eastAsia="宋体"/>
                <w:sz w:val="16"/>
              </w:rPr>
              <w:t>=95.5%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DE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8F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D2EE">
            <w:pPr>
              <w:jc w:val="center"/>
            </w:pPr>
          </w:p>
        </w:tc>
      </w:tr>
      <w:tr w14:paraId="00DE7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40C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377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4C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D65F">
            <w:pPr>
              <w:jc w:val="center"/>
            </w:pPr>
            <w:r>
              <w:rPr>
                <w:rFonts w:ascii="宋体" w:hAnsi="宋体" w:eastAsia="宋体"/>
                <w:sz w:val="16"/>
              </w:rPr>
              <w:t>原</w:t>
            </w:r>
            <w:r>
              <w:rPr>
                <w:rFonts w:hint="eastAsia" w:ascii="宋体" w:hAnsi="宋体"/>
                <w:sz w:val="16"/>
                <w:lang w:eastAsia="zh-CN"/>
              </w:rPr>
              <w:t>材料</w:t>
            </w:r>
            <w:r>
              <w:rPr>
                <w:rFonts w:ascii="宋体" w:hAnsi="宋体" w:eastAsia="宋体"/>
                <w:sz w:val="16"/>
              </w:rPr>
              <w:t>抽检合格率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8EC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B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59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24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78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62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6F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40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AD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EE77">
            <w:pPr>
              <w:jc w:val="center"/>
            </w:pPr>
          </w:p>
        </w:tc>
      </w:tr>
      <w:tr w14:paraId="56FDE5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40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C07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F1B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441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520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8B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D5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32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1A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09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E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F6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03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F4D2">
            <w:pPr>
              <w:jc w:val="center"/>
            </w:pPr>
          </w:p>
        </w:tc>
      </w:tr>
      <w:tr w14:paraId="7C287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98F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4F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DCA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1E28">
            <w:pPr>
              <w:jc w:val="center"/>
            </w:pPr>
            <w:r>
              <w:rPr>
                <w:rFonts w:ascii="宋体" w:hAnsi="宋体" w:eastAsia="宋体"/>
                <w:sz w:val="16"/>
              </w:rPr>
              <w:t>项目按计划检查率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15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55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35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55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BD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56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1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1C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5E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EF11">
            <w:pPr>
              <w:jc w:val="center"/>
            </w:pPr>
          </w:p>
        </w:tc>
      </w:tr>
      <w:tr w14:paraId="3468B6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4D9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C41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A1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4837">
            <w:pPr>
              <w:jc w:val="center"/>
            </w:pPr>
            <w:r>
              <w:rPr>
                <w:rFonts w:ascii="宋体" w:hAnsi="宋体" w:eastAsia="宋体"/>
                <w:sz w:val="16"/>
              </w:rPr>
              <w:t>项目资金使用控制误差率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E780">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03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59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9C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549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E1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ED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7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32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09A7">
            <w:pPr>
              <w:jc w:val="center"/>
            </w:pPr>
          </w:p>
        </w:tc>
      </w:tr>
      <w:tr w14:paraId="4B62D3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FD5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C6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8E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304A">
            <w:pPr>
              <w:jc w:val="center"/>
            </w:pPr>
            <w:r>
              <w:rPr>
                <w:rFonts w:ascii="宋体" w:hAnsi="宋体" w:eastAsia="宋体"/>
                <w:sz w:val="16"/>
              </w:rPr>
              <w:t>提升公路的使用寿命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A7CB">
            <w:pPr>
              <w:jc w:val="center"/>
            </w:pPr>
            <w:r>
              <w:rPr>
                <w:rFonts w:ascii="宋体" w:hAnsi="宋体" w:eastAsia="宋体"/>
                <w:sz w:val="16"/>
              </w:rPr>
              <w:t>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D3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AD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715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52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8F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25A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8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EC5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CE0B">
            <w:pPr>
              <w:jc w:val="center"/>
            </w:pPr>
          </w:p>
        </w:tc>
      </w:tr>
      <w:tr w14:paraId="20E1C61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756F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B42B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EE12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35E7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20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BED2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F9F7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3EC0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E70D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94E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2A88EE"/>
        </w:tc>
      </w:tr>
    </w:tbl>
    <w:p w14:paraId="74F234A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3225925">
        <w:tblPrEx>
          <w:tblCellMar>
            <w:top w:w="0" w:type="dxa"/>
            <w:left w:w="108" w:type="dxa"/>
            <w:bottom w:w="0" w:type="dxa"/>
            <w:right w:w="108" w:type="dxa"/>
          </w:tblCellMar>
        </w:tblPrEx>
        <w:tc>
          <w:tcPr>
            <w:tcW w:w="8848" w:type="dxa"/>
            <w:gridSpan w:val="14"/>
            <w:vAlign w:val="center"/>
          </w:tcPr>
          <w:p w14:paraId="55E830D3">
            <w:pPr>
              <w:jc w:val="center"/>
            </w:pPr>
            <w:r>
              <w:rPr>
                <w:rFonts w:ascii="宋体" w:hAnsi="宋体" w:eastAsia="宋体"/>
                <w:sz w:val="24"/>
              </w:rPr>
              <w:t>项目支出绩效自评表</w:t>
            </w:r>
          </w:p>
        </w:tc>
      </w:tr>
      <w:tr w14:paraId="73DDFD64">
        <w:tblPrEx>
          <w:tblCellMar>
            <w:top w:w="0" w:type="dxa"/>
            <w:left w:w="108" w:type="dxa"/>
            <w:bottom w:w="0" w:type="dxa"/>
            <w:right w:w="108" w:type="dxa"/>
          </w:tblCellMar>
        </w:tblPrEx>
        <w:tc>
          <w:tcPr>
            <w:tcW w:w="8848" w:type="dxa"/>
            <w:gridSpan w:val="14"/>
            <w:vAlign w:val="center"/>
          </w:tcPr>
          <w:p w14:paraId="2A5254BE">
            <w:pPr>
              <w:jc w:val="center"/>
            </w:pPr>
            <w:r>
              <w:rPr>
                <w:rFonts w:ascii="宋体" w:hAnsi="宋体" w:eastAsia="宋体"/>
                <w:sz w:val="24"/>
              </w:rPr>
              <w:t>(2024年度)</w:t>
            </w:r>
          </w:p>
        </w:tc>
      </w:tr>
      <w:tr w14:paraId="14DDE3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50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AC9F15">
            <w:pPr>
              <w:jc w:val="center"/>
            </w:pPr>
            <w:r>
              <w:rPr>
                <w:rFonts w:ascii="宋体" w:hAnsi="宋体" w:eastAsia="宋体"/>
                <w:sz w:val="16"/>
              </w:rPr>
              <w:t>自治州“十五五”规划前期重大研究课题经费</w:t>
            </w:r>
          </w:p>
        </w:tc>
      </w:tr>
      <w:tr w14:paraId="04B129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7F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9EA168">
            <w:pPr>
              <w:jc w:val="center"/>
            </w:pPr>
            <w:r>
              <w:rPr>
                <w:rFonts w:ascii="宋体" w:hAnsi="宋体" w:eastAsia="宋体"/>
                <w:sz w:val="16"/>
              </w:rPr>
              <w:t>巴音郭楞蒙古自治州交通运输局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2D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309723">
            <w:pPr>
              <w:jc w:val="center"/>
            </w:pPr>
            <w:r>
              <w:rPr>
                <w:rFonts w:ascii="宋体" w:hAnsi="宋体" w:eastAsia="宋体"/>
                <w:sz w:val="16"/>
              </w:rPr>
              <w:t>巴音郭楞蒙古自治州交通运输局</w:t>
            </w:r>
          </w:p>
        </w:tc>
      </w:tr>
      <w:tr w14:paraId="495CE7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C947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D77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114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825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C00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B654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783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9119">
            <w:pPr>
              <w:jc w:val="center"/>
            </w:pPr>
            <w:r>
              <w:rPr>
                <w:rFonts w:ascii="宋体" w:hAnsi="宋体" w:eastAsia="宋体"/>
                <w:sz w:val="16"/>
              </w:rPr>
              <w:t>得分</w:t>
            </w:r>
          </w:p>
        </w:tc>
      </w:tr>
      <w:tr w14:paraId="38ED7D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4A2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9B1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7A06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CE3F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401D4">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184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88FDD">
            <w:pPr>
              <w:jc w:val="center"/>
            </w:pPr>
            <w:r>
              <w:rPr>
                <w:rFonts w:ascii="宋体" w:hAnsi="宋体" w:eastAsia="宋体"/>
                <w:sz w:val="16"/>
              </w:rPr>
              <w:t>98.00%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898E">
            <w:pPr>
              <w:jc w:val="center"/>
            </w:pPr>
            <w:r>
              <w:rPr>
                <w:rFonts w:ascii="宋体" w:hAnsi="宋体" w:eastAsia="宋体"/>
                <w:sz w:val="16"/>
              </w:rPr>
              <w:t>9.50</w:t>
            </w:r>
          </w:p>
        </w:tc>
      </w:tr>
      <w:tr w14:paraId="7699D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330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2A7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E1DF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63B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CBB0E">
            <w:pPr>
              <w:jc w:val="center"/>
            </w:pPr>
            <w:r>
              <w:rPr>
                <w:rFonts w:ascii="宋体" w:hAnsi="宋体" w:eastAsia="宋体"/>
                <w:sz w:val="16"/>
              </w:rPr>
              <w:t>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928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741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E47D">
            <w:pPr>
              <w:jc w:val="center"/>
            </w:pPr>
            <w:r>
              <w:rPr>
                <w:rFonts w:ascii="宋体" w:hAnsi="宋体" w:eastAsia="宋体"/>
                <w:sz w:val="16"/>
              </w:rPr>
              <w:t>-</w:t>
            </w:r>
          </w:p>
        </w:tc>
      </w:tr>
      <w:tr w14:paraId="458299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083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371E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25C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083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89E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891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487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4DCE">
            <w:pPr>
              <w:jc w:val="center"/>
            </w:pPr>
            <w:r>
              <w:rPr>
                <w:rFonts w:ascii="宋体" w:hAnsi="宋体" w:eastAsia="宋体"/>
                <w:sz w:val="16"/>
              </w:rPr>
              <w:t>-</w:t>
            </w:r>
          </w:p>
        </w:tc>
      </w:tr>
      <w:tr w14:paraId="35509D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680F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899E7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622AC0">
            <w:pPr>
              <w:jc w:val="center"/>
            </w:pPr>
            <w:r>
              <w:rPr>
                <w:rFonts w:ascii="宋体" w:hAnsi="宋体" w:eastAsia="宋体"/>
                <w:sz w:val="16"/>
              </w:rPr>
              <w:t>总体目标完成情况</w:t>
            </w:r>
          </w:p>
        </w:tc>
      </w:tr>
      <w:tr w14:paraId="40B9C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284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3186B1">
            <w:pPr>
              <w:jc w:val="both"/>
            </w:pPr>
            <w:r>
              <w:rPr>
                <w:rFonts w:ascii="宋体" w:hAnsi="宋体" w:eastAsia="宋体"/>
                <w:sz w:val="16"/>
              </w:rPr>
              <w:t>通过收集、整理、分析数据资料，实地调研，研究重大问题，形成自治州“十五五”综合交通体系战略研究成果。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1E5F0C">
            <w:pPr>
              <w:jc w:val="both"/>
            </w:pPr>
            <w:bookmarkStart w:id="0" w:name="_GoBack"/>
            <w:r>
              <w:rPr>
                <w:rFonts w:hint="eastAsia" w:ascii="宋体" w:hAnsi="宋体"/>
                <w:sz w:val="16"/>
                <w:lang w:eastAsia="zh-CN"/>
              </w:rPr>
              <w:t>本单位</w:t>
            </w:r>
            <w:bookmarkEnd w:id="0"/>
            <w:r>
              <w:rPr>
                <w:rFonts w:ascii="宋体" w:hAnsi="宋体" w:eastAsia="宋体"/>
                <w:sz w:val="16"/>
              </w:rPr>
              <w:t>委托社会科研机构成立科研小组，完成开展巴州“十五五”综合交通体系战略研究，深入巴州境内充分调研，梳理巴州交通资源、查摆问题、明确发展方向、目标和重点任务，并出具科学性调研报告1份，为后续科学高效地编制高质量、前瞻性、可落地、可实施的《巴州“十五五”综合交通体系战略规划》提供依据。</w:t>
            </w:r>
          </w:p>
        </w:tc>
      </w:tr>
      <w:tr w14:paraId="355A12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9D4E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1A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06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C8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B04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1D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3EC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80F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907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F8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682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03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62B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9D0D">
            <w:pPr>
              <w:jc w:val="center"/>
            </w:pPr>
            <w:r>
              <w:rPr>
                <w:rFonts w:ascii="宋体" w:hAnsi="宋体" w:eastAsia="宋体"/>
                <w:sz w:val="16"/>
              </w:rPr>
              <w:t>偏差原因分析及改进措施</w:t>
            </w:r>
          </w:p>
        </w:tc>
      </w:tr>
      <w:tr w14:paraId="5BED7E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75E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A2B6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458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6026">
            <w:pPr>
              <w:jc w:val="center"/>
            </w:pPr>
            <w:r>
              <w:rPr>
                <w:rFonts w:ascii="宋体" w:hAnsi="宋体" w:eastAsia="宋体"/>
                <w:sz w:val="16"/>
              </w:rPr>
              <w:t>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B6D5">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B4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D3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916C">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A2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A8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5C18">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6A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4989">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E1E9">
            <w:pPr>
              <w:jc w:val="center"/>
            </w:pPr>
          </w:p>
        </w:tc>
      </w:tr>
      <w:tr w14:paraId="419BB4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EF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73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C8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8C53">
            <w:pPr>
              <w:jc w:val="center"/>
            </w:pPr>
            <w:r>
              <w:rPr>
                <w:rFonts w:ascii="宋体" w:hAnsi="宋体" w:eastAsia="宋体"/>
                <w:sz w:val="16"/>
              </w:rPr>
              <w:t>调研走访次数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E04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C4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5F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6C03">
            <w:pPr>
              <w:jc w:val="center"/>
            </w:pPr>
            <w:r>
              <w:rPr>
                <w:rFonts w:ascii="宋体" w:hAnsi="宋体" w:eastAsia="宋体"/>
                <w:sz w:val="16"/>
              </w:rPr>
              <w:t>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76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A2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0FD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3D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EB5A">
            <w:pPr>
              <w:jc w:val="center"/>
            </w:pPr>
            <w:r>
              <w:rPr>
                <w:rFonts w:ascii="宋体" w:hAnsi="宋体" w:eastAsia="宋体"/>
                <w:sz w:val="16"/>
              </w:rPr>
              <w:t>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5C21">
            <w:pPr>
              <w:jc w:val="center"/>
            </w:pPr>
          </w:p>
        </w:tc>
      </w:tr>
      <w:tr w14:paraId="56458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19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AE7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DF5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E2B5">
            <w:pPr>
              <w:jc w:val="center"/>
            </w:pPr>
            <w:r>
              <w:rPr>
                <w:rFonts w:ascii="宋体" w:hAnsi="宋体" w:eastAsia="宋体"/>
                <w:sz w:val="16"/>
              </w:rPr>
              <w:t>项目验收通过率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C2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7E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AA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3012">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9E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FB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10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D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069A">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D50F">
            <w:pPr>
              <w:jc w:val="center"/>
            </w:pPr>
          </w:p>
        </w:tc>
      </w:tr>
      <w:tr w14:paraId="2DFA0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B82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C3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69A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C8A3">
            <w:pPr>
              <w:jc w:val="center"/>
            </w:pPr>
            <w:r>
              <w:rPr>
                <w:rFonts w:ascii="宋体" w:hAnsi="宋体" w:eastAsia="宋体"/>
                <w:sz w:val="16"/>
              </w:rPr>
              <w:t>项目前期工作开展率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96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B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32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A6A5">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FC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DA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18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5F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65B7">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E98B">
            <w:pPr>
              <w:jc w:val="center"/>
            </w:pPr>
          </w:p>
        </w:tc>
      </w:tr>
      <w:tr w14:paraId="0D9CBD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AC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910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183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1120">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F9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62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37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6A07">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02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E0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2A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54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36DA">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3B4D">
            <w:pPr>
              <w:jc w:val="center"/>
            </w:pPr>
          </w:p>
        </w:tc>
      </w:tr>
      <w:tr w14:paraId="15FDD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81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ED5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B3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365B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92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E4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1E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435F">
            <w:pPr>
              <w:jc w:val="center"/>
            </w:pPr>
            <w:r>
              <w:rPr>
                <w:rFonts w:ascii="宋体" w:hAnsi="宋体" w:eastAsia="宋体"/>
                <w:sz w:val="16"/>
              </w:rPr>
              <w:t>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1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E3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3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8BD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E9F6">
            <w:pPr>
              <w:jc w:val="center"/>
            </w:pPr>
            <w:r>
              <w:rPr>
                <w:rFonts w:ascii="宋体" w:hAnsi="宋体" w:eastAsia="宋体"/>
                <w:sz w:val="16"/>
              </w:rPr>
              <w:t>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F1AF">
            <w:pPr>
              <w:jc w:val="center"/>
            </w:pPr>
          </w:p>
        </w:tc>
      </w:tr>
      <w:tr w14:paraId="2EE84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A25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018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594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2857">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E83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B3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DD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75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4D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49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E1A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22D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CDD2">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7C1A">
            <w:pPr>
              <w:jc w:val="center"/>
            </w:pPr>
            <w:r>
              <w:rPr>
                <w:rFonts w:ascii="宋体" w:hAnsi="宋体" w:eastAsia="宋体"/>
                <w:sz w:val="16"/>
              </w:rPr>
              <w:t>偏差原因：节约2000元支出。改进措施：提高预算资金使用效益和使用效率，确保资金支出实现预期</w:t>
            </w:r>
            <w:r>
              <w:rPr>
                <w:rFonts w:hint="eastAsia" w:ascii="宋体" w:hAnsi="宋体"/>
                <w:sz w:val="16"/>
                <w:lang w:eastAsia="zh-CN"/>
              </w:rPr>
              <w:t>目标</w:t>
            </w:r>
            <w:r>
              <w:rPr>
                <w:rFonts w:ascii="宋体" w:hAnsi="宋体" w:eastAsia="宋体"/>
                <w:sz w:val="16"/>
              </w:rPr>
              <w:t>。</w:t>
            </w:r>
          </w:p>
        </w:tc>
      </w:tr>
      <w:tr w14:paraId="4E323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6E0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05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DF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191D">
            <w:pPr>
              <w:jc w:val="center"/>
            </w:pPr>
            <w:r>
              <w:rPr>
                <w:rFonts w:ascii="宋体" w:hAnsi="宋体" w:eastAsia="宋体"/>
                <w:sz w:val="16"/>
              </w:rPr>
              <w:t>研究成果为形成自治州“十五五”规划基本思路提供决策参考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7C56">
            <w:pPr>
              <w:jc w:val="center"/>
            </w:pPr>
            <w:r>
              <w:rPr>
                <w:rFonts w:ascii="宋体" w:hAnsi="宋体" w:eastAsia="宋体"/>
                <w:sz w:val="16"/>
              </w:rPr>
              <w:t>作用明显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3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FE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A7D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66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D04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F23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06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773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2EEB">
            <w:pPr>
              <w:jc w:val="center"/>
            </w:pPr>
          </w:p>
        </w:tc>
      </w:tr>
      <w:tr w14:paraId="2AE647B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FADC1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E42E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B820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8734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C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3A43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01F4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A1C3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ABD0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EACE">
            <w:pPr>
              <w:jc w:val="center"/>
            </w:pPr>
            <w:r>
              <w:rPr>
                <w:rFonts w:ascii="宋体" w:hAnsi="宋体" w:eastAsia="宋体"/>
                <w:sz w:val="16"/>
              </w:rPr>
              <w:t>98.50分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6F9A5C"/>
        </w:tc>
      </w:tr>
    </w:tbl>
    <w:p w14:paraId="776746E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70ED5FD1">
        <w:tblPrEx>
          <w:tblCellMar>
            <w:top w:w="0" w:type="dxa"/>
            <w:left w:w="108" w:type="dxa"/>
            <w:bottom w:w="0" w:type="dxa"/>
            <w:right w:w="108" w:type="dxa"/>
          </w:tblCellMar>
        </w:tblPrEx>
        <w:tc>
          <w:tcPr>
            <w:tcW w:w="8848" w:type="dxa"/>
            <w:gridSpan w:val="14"/>
            <w:vAlign w:val="center"/>
          </w:tcPr>
          <w:p w14:paraId="617F59DC">
            <w:pPr>
              <w:jc w:val="center"/>
            </w:pPr>
            <w:r>
              <w:rPr>
                <w:rFonts w:ascii="宋体" w:hAnsi="宋体" w:eastAsia="宋体"/>
                <w:sz w:val="24"/>
              </w:rPr>
              <w:t>项目支出绩效自评表</w:t>
            </w:r>
          </w:p>
        </w:tc>
      </w:tr>
      <w:tr w14:paraId="67A86813">
        <w:tblPrEx>
          <w:tblCellMar>
            <w:top w:w="0" w:type="dxa"/>
            <w:left w:w="108" w:type="dxa"/>
            <w:bottom w:w="0" w:type="dxa"/>
            <w:right w:w="108" w:type="dxa"/>
          </w:tblCellMar>
        </w:tblPrEx>
        <w:tc>
          <w:tcPr>
            <w:tcW w:w="8848" w:type="dxa"/>
            <w:gridSpan w:val="14"/>
            <w:vAlign w:val="center"/>
          </w:tcPr>
          <w:p w14:paraId="748747FD">
            <w:pPr>
              <w:jc w:val="center"/>
            </w:pPr>
            <w:r>
              <w:rPr>
                <w:rFonts w:ascii="宋体" w:hAnsi="宋体" w:eastAsia="宋体"/>
                <w:sz w:val="24"/>
              </w:rPr>
              <w:t>(2024年度)</w:t>
            </w:r>
          </w:p>
        </w:tc>
      </w:tr>
      <w:tr w14:paraId="12DA19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85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932C4D">
            <w:pPr>
              <w:jc w:val="center"/>
            </w:pPr>
            <w:r>
              <w:rPr>
                <w:rFonts w:ascii="宋体" w:hAnsi="宋体" w:eastAsia="宋体"/>
                <w:sz w:val="16"/>
              </w:rPr>
              <w:t>2024年临时工工资及职业年金</w:t>
            </w:r>
          </w:p>
        </w:tc>
      </w:tr>
      <w:tr w14:paraId="36218C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1E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B47CDF">
            <w:pPr>
              <w:jc w:val="center"/>
            </w:pPr>
            <w:r>
              <w:rPr>
                <w:rFonts w:ascii="宋体" w:hAnsi="宋体" w:eastAsia="宋体"/>
                <w:sz w:val="16"/>
              </w:rPr>
              <w:t>新疆巴音郭楞蒙古自治州交通运输综合行政执法局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56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CC4E89">
            <w:pPr>
              <w:jc w:val="center"/>
            </w:pPr>
            <w:r>
              <w:rPr>
                <w:rFonts w:ascii="宋体" w:hAnsi="宋体" w:eastAsia="宋体"/>
                <w:sz w:val="16"/>
              </w:rPr>
              <w:t>新疆巴音郭楞蒙古自治州交通运输综合行政执法局</w:t>
            </w:r>
          </w:p>
        </w:tc>
      </w:tr>
      <w:tr w14:paraId="115BF1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C67A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FC2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CC1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D55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1DD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321D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3D5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66EF">
            <w:pPr>
              <w:jc w:val="center"/>
            </w:pPr>
            <w:r>
              <w:rPr>
                <w:rFonts w:ascii="宋体" w:hAnsi="宋体" w:eastAsia="宋体"/>
                <w:sz w:val="16"/>
              </w:rPr>
              <w:t>得分</w:t>
            </w:r>
          </w:p>
        </w:tc>
      </w:tr>
      <w:tr w14:paraId="2C043E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9FD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677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E6CF5">
            <w:pPr>
              <w:jc w:val="center"/>
            </w:pPr>
            <w:r>
              <w:rPr>
                <w:rFonts w:ascii="宋体" w:hAnsi="宋体" w:eastAsia="宋体"/>
                <w:sz w:val="16"/>
              </w:rPr>
              <w:t>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F314F">
            <w:pPr>
              <w:jc w:val="center"/>
            </w:pPr>
            <w:r>
              <w:rPr>
                <w:rFonts w:ascii="宋体" w:hAnsi="宋体" w:eastAsia="宋体"/>
                <w:sz w:val="16"/>
              </w:rPr>
              <w:t>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432FD">
            <w:pPr>
              <w:jc w:val="center"/>
            </w:pPr>
            <w:r>
              <w:rPr>
                <w:rFonts w:ascii="宋体" w:hAnsi="宋体" w:eastAsia="宋体"/>
                <w:sz w:val="16"/>
              </w:rPr>
              <w:t>34.84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B27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6C43C">
            <w:pPr>
              <w:jc w:val="center"/>
            </w:pPr>
            <w:r>
              <w:rPr>
                <w:rFonts w:ascii="宋体" w:hAnsi="宋体" w:eastAsia="宋体"/>
                <w:sz w:val="16"/>
              </w:rPr>
              <w:t>79.18%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EBAC">
            <w:pPr>
              <w:jc w:val="center"/>
            </w:pPr>
            <w:r>
              <w:rPr>
                <w:rFonts w:ascii="宋体" w:hAnsi="宋体" w:eastAsia="宋体"/>
                <w:sz w:val="16"/>
              </w:rPr>
              <w:t>4.80</w:t>
            </w:r>
          </w:p>
        </w:tc>
      </w:tr>
      <w:tr w14:paraId="7A085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08D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65B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231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8E9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6AA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7C1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5BF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60E0">
            <w:pPr>
              <w:jc w:val="center"/>
            </w:pPr>
            <w:r>
              <w:rPr>
                <w:rFonts w:ascii="宋体" w:hAnsi="宋体" w:eastAsia="宋体"/>
                <w:sz w:val="16"/>
              </w:rPr>
              <w:t>-</w:t>
            </w:r>
          </w:p>
        </w:tc>
      </w:tr>
      <w:tr w14:paraId="0CE67E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A6C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7CE7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64244">
            <w:pPr>
              <w:jc w:val="center"/>
            </w:pPr>
            <w:r>
              <w:rPr>
                <w:rFonts w:ascii="宋体" w:hAnsi="宋体" w:eastAsia="宋体"/>
                <w:sz w:val="16"/>
              </w:rPr>
              <w:t>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66F04">
            <w:pPr>
              <w:jc w:val="center"/>
            </w:pPr>
            <w:r>
              <w:rPr>
                <w:rFonts w:ascii="宋体" w:hAnsi="宋体" w:eastAsia="宋体"/>
                <w:sz w:val="16"/>
              </w:rPr>
              <w:t>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B91A7">
            <w:pPr>
              <w:jc w:val="center"/>
            </w:pPr>
            <w:r>
              <w:rPr>
                <w:rFonts w:ascii="宋体" w:hAnsi="宋体" w:eastAsia="宋体"/>
                <w:sz w:val="16"/>
              </w:rPr>
              <w:t>34.84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D2A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844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D13A">
            <w:pPr>
              <w:jc w:val="center"/>
            </w:pPr>
            <w:r>
              <w:rPr>
                <w:rFonts w:ascii="宋体" w:hAnsi="宋体" w:eastAsia="宋体"/>
                <w:sz w:val="16"/>
              </w:rPr>
              <w:t>-</w:t>
            </w:r>
          </w:p>
        </w:tc>
      </w:tr>
      <w:tr w14:paraId="42C246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A775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D3FC1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2CA2D2">
            <w:pPr>
              <w:jc w:val="center"/>
            </w:pPr>
            <w:r>
              <w:rPr>
                <w:rFonts w:ascii="宋体" w:hAnsi="宋体" w:eastAsia="宋体"/>
                <w:sz w:val="16"/>
              </w:rPr>
              <w:t>总体目标完成情况</w:t>
            </w:r>
          </w:p>
        </w:tc>
      </w:tr>
      <w:tr w14:paraId="0CF212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36BD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9A1854">
            <w:pPr>
              <w:jc w:val="both"/>
            </w:pPr>
            <w:r>
              <w:rPr>
                <w:rFonts w:ascii="宋体" w:hAnsi="宋体" w:eastAsia="宋体"/>
                <w:sz w:val="16"/>
              </w:rPr>
              <w:t>1.为确保巴州交通运输行业平稳高效运行，提升我局执法人员工作效率，用于支付聘用的司机、保洁、业务档案员等6名临时工人工工资。2.用于因单位机构改革，改革前调动的4名干部职业年金的支付。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FAB0F2">
            <w:pPr>
              <w:jc w:val="both"/>
            </w:pPr>
            <w:r>
              <w:rPr>
                <w:rFonts w:ascii="宋体" w:hAnsi="宋体" w:eastAsia="宋体"/>
                <w:sz w:val="16"/>
              </w:rPr>
              <w:t>已完成支付聘用的司机、保洁、业务档案员等6名临时工人工工资每月1.87万元，12个月共22.43万元。已完成支付改革前调动的4名干部职业年金12.41万元。确保巴州交通运输行业平稳高效运行，提升我局执法人员工作效率。</w:t>
            </w:r>
          </w:p>
        </w:tc>
      </w:tr>
      <w:tr w14:paraId="53786C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F29D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FE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09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1F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A3B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EA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A1A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41D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494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69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84D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F8E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D7F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51806">
            <w:pPr>
              <w:jc w:val="center"/>
            </w:pPr>
            <w:r>
              <w:rPr>
                <w:rFonts w:ascii="宋体" w:hAnsi="宋体" w:eastAsia="宋体"/>
                <w:sz w:val="16"/>
              </w:rPr>
              <w:t>偏差原因分析及改进措施</w:t>
            </w:r>
          </w:p>
        </w:tc>
      </w:tr>
      <w:tr w14:paraId="1090E9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39E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D64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2D4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BEAB">
            <w:pPr>
              <w:jc w:val="center"/>
            </w:pPr>
            <w:r>
              <w:rPr>
                <w:rFonts w:ascii="宋体" w:hAnsi="宋体" w:eastAsia="宋体"/>
                <w:sz w:val="16"/>
              </w:rPr>
              <w:t>发放临时工工资人数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3302">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7B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4A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B0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4B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97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1BD2">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4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91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8571">
            <w:pPr>
              <w:jc w:val="center"/>
            </w:pPr>
          </w:p>
        </w:tc>
      </w:tr>
      <w:tr w14:paraId="5E61E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86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9BB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D12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BCEF">
            <w:pPr>
              <w:jc w:val="center"/>
            </w:pPr>
            <w:r>
              <w:rPr>
                <w:rFonts w:ascii="宋体" w:hAnsi="宋体" w:eastAsia="宋体"/>
                <w:sz w:val="16"/>
              </w:rPr>
              <w:t>发放职业年金人数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7D63">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22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67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DFD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3E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FE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044B">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6E2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59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2C44">
            <w:pPr>
              <w:jc w:val="center"/>
            </w:pPr>
          </w:p>
        </w:tc>
      </w:tr>
      <w:tr w14:paraId="35CF7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984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9C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2F6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3790">
            <w:pPr>
              <w:jc w:val="center"/>
            </w:pPr>
            <w:r>
              <w:rPr>
                <w:rFonts w:ascii="宋体" w:hAnsi="宋体" w:eastAsia="宋体"/>
                <w:sz w:val="16"/>
              </w:rPr>
              <w:t>发放临时工工资次数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A92B">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99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DB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AB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87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40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8CF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31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7E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D97E">
            <w:pPr>
              <w:jc w:val="center"/>
            </w:pPr>
          </w:p>
        </w:tc>
      </w:tr>
      <w:tr w14:paraId="17DB19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55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A4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911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74EB">
            <w:pPr>
              <w:jc w:val="center"/>
            </w:pPr>
            <w:r>
              <w:rPr>
                <w:rFonts w:ascii="宋体" w:hAnsi="宋体" w:eastAsia="宋体"/>
                <w:sz w:val="16"/>
              </w:rPr>
              <w:t>发放职业年金次数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4B9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2C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9B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3B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D4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19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687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D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E16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C745">
            <w:pPr>
              <w:jc w:val="center"/>
            </w:pPr>
          </w:p>
        </w:tc>
      </w:tr>
      <w:tr w14:paraId="0514C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B1E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18D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E2B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E394">
            <w:pPr>
              <w:jc w:val="center"/>
            </w:pPr>
            <w:r>
              <w:rPr>
                <w:rFonts w:ascii="宋体" w:hAnsi="宋体" w:eastAsia="宋体"/>
                <w:sz w:val="16"/>
              </w:rPr>
              <w:t>发放临时工工资准确率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71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B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4A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C0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6E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E8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AE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FC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90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6D94">
            <w:pPr>
              <w:jc w:val="center"/>
            </w:pPr>
          </w:p>
        </w:tc>
      </w:tr>
      <w:tr w14:paraId="5A4B6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30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0DC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EE1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1BBB">
            <w:pPr>
              <w:jc w:val="center"/>
            </w:pPr>
            <w:r>
              <w:rPr>
                <w:rFonts w:ascii="宋体" w:hAnsi="宋体" w:eastAsia="宋体"/>
                <w:sz w:val="16"/>
              </w:rPr>
              <w:t>发放职业年金准确率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95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8B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A4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E9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52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DA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5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C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88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AE3A">
            <w:pPr>
              <w:jc w:val="center"/>
            </w:pPr>
          </w:p>
        </w:tc>
      </w:tr>
      <w:tr w14:paraId="6EE1E1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81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458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A91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D0FA">
            <w:pPr>
              <w:jc w:val="center"/>
            </w:pPr>
            <w:r>
              <w:rPr>
                <w:rFonts w:ascii="宋体" w:hAnsi="宋体" w:eastAsia="宋体"/>
                <w:sz w:val="16"/>
              </w:rPr>
              <w:t>发放临时工工资及时率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56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C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8F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D1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04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E2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E0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74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4B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2DA9">
            <w:pPr>
              <w:jc w:val="center"/>
            </w:pPr>
          </w:p>
        </w:tc>
      </w:tr>
      <w:tr w14:paraId="1E72E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E49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63D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9BE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C950">
            <w:pPr>
              <w:jc w:val="center"/>
            </w:pPr>
            <w:r>
              <w:rPr>
                <w:rFonts w:ascii="宋体" w:hAnsi="宋体" w:eastAsia="宋体"/>
                <w:sz w:val="16"/>
              </w:rPr>
              <w:t>发放职业年金及时率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517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D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1D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07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4B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D0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D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9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B9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CCE4">
            <w:pPr>
              <w:jc w:val="center"/>
            </w:pPr>
          </w:p>
        </w:tc>
      </w:tr>
      <w:tr w14:paraId="1F8FD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A87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8CA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5AC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065E">
            <w:pPr>
              <w:jc w:val="center"/>
            </w:pPr>
            <w:r>
              <w:rPr>
                <w:rFonts w:ascii="宋体" w:hAnsi="宋体" w:eastAsia="宋体"/>
                <w:sz w:val="16"/>
              </w:rPr>
              <w:t>每次发放临时工资金数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9EAC">
            <w:pPr>
              <w:jc w:val="center"/>
            </w:pPr>
            <w:r>
              <w:rPr>
                <w:rFonts w:ascii="宋体" w:hAnsi="宋体" w:eastAsia="宋体"/>
                <w:sz w:val="16"/>
              </w:rPr>
              <w:t>&lt;=1.90万元/次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2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34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52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D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C2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7790">
            <w:pPr>
              <w:jc w:val="center"/>
            </w:pPr>
            <w:r>
              <w:rPr>
                <w:rFonts w:ascii="宋体" w:hAnsi="宋体" w:eastAsia="宋体"/>
                <w:sz w:val="16"/>
              </w:rPr>
              <w:t>=1.87万元/次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837A">
            <w:pPr>
              <w:jc w:val="center"/>
            </w:pPr>
            <w:r>
              <w:rPr>
                <w:rFonts w:ascii="宋体" w:hAnsi="宋体" w:eastAsia="宋体"/>
                <w:sz w:val="16"/>
              </w:rPr>
              <w:t>98.42%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51407">
            <w:pPr>
              <w:jc w:val="center"/>
            </w:pPr>
            <w:r>
              <w:rPr>
                <w:rFonts w:ascii="宋体" w:hAnsi="宋体" w:eastAsia="宋体"/>
                <w:sz w:val="16"/>
              </w:rPr>
              <w:t>9.61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A246">
            <w:pPr>
              <w:jc w:val="center"/>
            </w:pPr>
            <w:r>
              <w:rPr>
                <w:rFonts w:ascii="宋体" w:hAnsi="宋体" w:eastAsia="宋体"/>
                <w:sz w:val="16"/>
              </w:rPr>
              <w:t>因存在年初根据上年度支付数据测算，未考虑今年工资变动增减的实际情况，导致测算金额不够精准。今后我局将严肃计算要求，对资金计算考虑清楚可能发生的情况，确保资金计算精准。</w:t>
            </w:r>
          </w:p>
        </w:tc>
      </w:tr>
      <w:tr w14:paraId="5E5E1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BB5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B52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2F8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C623">
            <w:pPr>
              <w:jc w:val="center"/>
            </w:pPr>
            <w:r>
              <w:rPr>
                <w:rFonts w:ascii="宋体" w:hAnsi="宋体" w:eastAsia="宋体"/>
                <w:sz w:val="16"/>
              </w:rPr>
              <w:t>发放职业年金成本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4F2A">
            <w:pPr>
              <w:jc w:val="center"/>
            </w:pPr>
            <w:r>
              <w:rPr>
                <w:rFonts w:ascii="宋体" w:hAnsi="宋体" w:eastAsia="宋体"/>
                <w:sz w:val="16"/>
              </w:rPr>
              <w:t>&lt;=21.20万元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77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2A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FE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04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18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43D4">
            <w:pPr>
              <w:jc w:val="center"/>
            </w:pPr>
            <w:r>
              <w:rPr>
                <w:rFonts w:ascii="宋体" w:hAnsi="宋体" w:eastAsia="宋体"/>
                <w:sz w:val="16"/>
              </w:rPr>
              <w:t>=12.41万元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24E74">
            <w:pPr>
              <w:jc w:val="center"/>
            </w:pPr>
            <w:r>
              <w:rPr>
                <w:rFonts w:ascii="宋体" w:hAnsi="宋体" w:eastAsia="宋体"/>
                <w:sz w:val="16"/>
              </w:rPr>
              <w:t>58.58%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FBA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E41F">
            <w:pPr>
              <w:jc w:val="center"/>
            </w:pPr>
            <w:r>
              <w:rPr>
                <w:rFonts w:ascii="宋体" w:hAnsi="宋体" w:eastAsia="宋体"/>
                <w:sz w:val="16"/>
              </w:rPr>
              <w:t>因</w:t>
            </w:r>
            <w:r>
              <w:rPr>
                <w:rFonts w:hint="eastAsia" w:ascii="宋体" w:hAnsi="宋体"/>
                <w:sz w:val="16"/>
                <w:lang w:eastAsia="zh-CN"/>
              </w:rPr>
              <w:t>在</w:t>
            </w:r>
            <w:r>
              <w:rPr>
                <w:rFonts w:ascii="宋体" w:hAnsi="宋体" w:eastAsia="宋体"/>
                <w:sz w:val="16"/>
              </w:rPr>
              <w:t>年初根据社保局提供数据测算并预留了滞纳金和利息，导致测算金额不够精准。今后我局将严肃计算要求，对资金计算考虑清楚可能发生的情况，确保资金计算精准</w:t>
            </w:r>
          </w:p>
        </w:tc>
      </w:tr>
      <w:tr w14:paraId="72FE49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5A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F9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52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3DD6">
            <w:pPr>
              <w:jc w:val="center"/>
            </w:pPr>
            <w:r>
              <w:rPr>
                <w:rFonts w:ascii="宋体" w:hAnsi="宋体" w:eastAsia="宋体"/>
                <w:sz w:val="16"/>
              </w:rPr>
              <w:t>提升人员工作效率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9AD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15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89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2D10">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3E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E51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A9E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FE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ABB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287E">
            <w:pPr>
              <w:jc w:val="center"/>
            </w:pPr>
          </w:p>
        </w:tc>
      </w:tr>
      <w:tr w14:paraId="3FBF288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F4F3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B352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4FF3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919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E9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3269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6F5B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9045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44D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C91A">
            <w:pPr>
              <w:jc w:val="center"/>
            </w:pPr>
            <w:r>
              <w:rPr>
                <w:rFonts w:ascii="宋体" w:hAnsi="宋体" w:eastAsia="宋体"/>
                <w:sz w:val="16"/>
              </w:rPr>
              <w:t>84.41分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0F590C"/>
        </w:tc>
      </w:tr>
    </w:tbl>
    <w:p w14:paraId="15E3361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53212D67">
        <w:tblPrEx>
          <w:tblCellMar>
            <w:top w:w="0" w:type="dxa"/>
            <w:left w:w="108" w:type="dxa"/>
            <w:bottom w:w="0" w:type="dxa"/>
            <w:right w:w="108" w:type="dxa"/>
          </w:tblCellMar>
        </w:tblPrEx>
        <w:tc>
          <w:tcPr>
            <w:tcW w:w="8848" w:type="dxa"/>
            <w:gridSpan w:val="14"/>
            <w:vAlign w:val="center"/>
          </w:tcPr>
          <w:p w14:paraId="2055E34F">
            <w:pPr>
              <w:jc w:val="center"/>
            </w:pPr>
            <w:r>
              <w:rPr>
                <w:rFonts w:ascii="宋体" w:hAnsi="宋体" w:eastAsia="宋体"/>
                <w:sz w:val="24"/>
              </w:rPr>
              <w:t>项目支出绩效自评表</w:t>
            </w:r>
          </w:p>
        </w:tc>
      </w:tr>
      <w:tr w14:paraId="79837409">
        <w:tblPrEx>
          <w:tblCellMar>
            <w:top w:w="0" w:type="dxa"/>
            <w:left w:w="108" w:type="dxa"/>
            <w:bottom w:w="0" w:type="dxa"/>
            <w:right w:w="108" w:type="dxa"/>
          </w:tblCellMar>
        </w:tblPrEx>
        <w:tc>
          <w:tcPr>
            <w:tcW w:w="8848" w:type="dxa"/>
            <w:gridSpan w:val="14"/>
            <w:vAlign w:val="center"/>
          </w:tcPr>
          <w:p w14:paraId="61C848DB">
            <w:pPr>
              <w:jc w:val="center"/>
            </w:pPr>
            <w:r>
              <w:rPr>
                <w:rFonts w:ascii="宋体" w:hAnsi="宋体" w:eastAsia="宋体"/>
                <w:sz w:val="24"/>
              </w:rPr>
              <w:t>(2024年度)</w:t>
            </w:r>
          </w:p>
        </w:tc>
      </w:tr>
      <w:tr w14:paraId="577BDC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70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161C74">
            <w:pPr>
              <w:jc w:val="center"/>
            </w:pPr>
            <w:r>
              <w:rPr>
                <w:rFonts w:ascii="宋体" w:hAnsi="宋体" w:eastAsia="宋体"/>
                <w:sz w:val="16"/>
              </w:rPr>
              <w:t>海事监督管理和交通执法项目</w:t>
            </w:r>
          </w:p>
        </w:tc>
      </w:tr>
      <w:tr w14:paraId="573333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72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2B17E8">
            <w:pPr>
              <w:jc w:val="center"/>
            </w:pPr>
            <w:r>
              <w:rPr>
                <w:rFonts w:ascii="宋体" w:hAnsi="宋体" w:eastAsia="宋体"/>
                <w:sz w:val="16"/>
              </w:rPr>
              <w:t>新疆巴音郭楞蒙古自治州交通运输综合行政执法局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ED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13C26D">
            <w:pPr>
              <w:jc w:val="center"/>
            </w:pPr>
            <w:r>
              <w:rPr>
                <w:rFonts w:ascii="宋体" w:hAnsi="宋体" w:eastAsia="宋体"/>
                <w:sz w:val="16"/>
              </w:rPr>
              <w:t>新疆巴音郭楞蒙古自治州交通运输综合行政执法局</w:t>
            </w:r>
          </w:p>
        </w:tc>
      </w:tr>
      <w:tr w14:paraId="5E69A8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80ED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8A2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DCD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D16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675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6D6E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7A6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5993">
            <w:pPr>
              <w:jc w:val="center"/>
            </w:pPr>
            <w:r>
              <w:rPr>
                <w:rFonts w:ascii="宋体" w:hAnsi="宋体" w:eastAsia="宋体"/>
                <w:sz w:val="16"/>
              </w:rPr>
              <w:t>得分</w:t>
            </w:r>
          </w:p>
        </w:tc>
      </w:tr>
      <w:tr w14:paraId="012C9C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A900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4BD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E747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FA78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242D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716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92C9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CF8B">
            <w:pPr>
              <w:jc w:val="center"/>
            </w:pPr>
            <w:r>
              <w:rPr>
                <w:rFonts w:ascii="宋体" w:hAnsi="宋体" w:eastAsia="宋体"/>
                <w:sz w:val="16"/>
              </w:rPr>
              <w:t>10.00</w:t>
            </w:r>
          </w:p>
        </w:tc>
      </w:tr>
      <w:tr w14:paraId="3793AE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EA2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3AA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2E61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7D46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E69A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6BC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EF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1663">
            <w:pPr>
              <w:jc w:val="center"/>
            </w:pPr>
            <w:r>
              <w:rPr>
                <w:rFonts w:ascii="宋体" w:hAnsi="宋体" w:eastAsia="宋体"/>
                <w:sz w:val="16"/>
              </w:rPr>
              <w:t>-</w:t>
            </w:r>
          </w:p>
        </w:tc>
      </w:tr>
      <w:tr w14:paraId="3AC4B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C11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BD0C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CBC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64A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D40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A36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B88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38C3">
            <w:pPr>
              <w:jc w:val="center"/>
            </w:pPr>
            <w:r>
              <w:rPr>
                <w:rFonts w:ascii="宋体" w:hAnsi="宋体" w:eastAsia="宋体"/>
                <w:sz w:val="16"/>
              </w:rPr>
              <w:t>-</w:t>
            </w:r>
          </w:p>
        </w:tc>
      </w:tr>
      <w:tr w14:paraId="4B8EF7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6BDC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A04D7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01FAB0">
            <w:pPr>
              <w:jc w:val="center"/>
            </w:pPr>
            <w:r>
              <w:rPr>
                <w:rFonts w:ascii="宋体" w:hAnsi="宋体" w:eastAsia="宋体"/>
                <w:sz w:val="16"/>
              </w:rPr>
              <w:t>总体目标完成情况</w:t>
            </w:r>
          </w:p>
        </w:tc>
      </w:tr>
      <w:tr w14:paraId="51872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E6B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F96BF4">
            <w:pPr>
              <w:jc w:val="both"/>
            </w:pPr>
            <w:r>
              <w:rPr>
                <w:rFonts w:ascii="宋体" w:hAnsi="宋体" w:eastAsia="宋体"/>
                <w:sz w:val="16"/>
              </w:rPr>
              <w:t>贯彻和执行国家和地方有关水上交通安全等方面的法律、法规和规范，</w:t>
            </w:r>
            <w:r>
              <w:rPr>
                <w:rFonts w:hint="eastAsia" w:ascii="宋体" w:hAnsi="宋体"/>
                <w:sz w:val="16"/>
                <w:lang w:eastAsia="zh-CN"/>
              </w:rPr>
              <w:t>维护国家利益</w:t>
            </w:r>
            <w:r>
              <w:rPr>
                <w:rFonts w:ascii="宋体" w:hAnsi="宋体" w:eastAsia="宋体"/>
                <w:sz w:val="16"/>
              </w:rPr>
              <w:t>；保证执法工作高效有序开展，保障道路运输安全，维护道路运输市场秩序。对交通枢纽场站、旅游景区、农村地区等客流集中区域“黑车”等违法行为进行专项治理，坚决打击非法营运违法行为，做好重点水域、重点船，全力保障水上运输安全，加大水上知识宣传力度。派出执法人员进行全年不间断执法检查，全年执法检查200次并完成相关检查报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72D6AE">
            <w:pPr>
              <w:jc w:val="both"/>
            </w:pPr>
            <w:r>
              <w:rPr>
                <w:rFonts w:ascii="宋体" w:hAnsi="宋体" w:eastAsia="宋体"/>
                <w:sz w:val="16"/>
              </w:rPr>
              <w:t>完成船舶年度检验，下水船舶</w:t>
            </w:r>
            <w:r>
              <w:rPr>
                <w:rFonts w:hint="eastAsia" w:ascii="宋体" w:hAnsi="宋体"/>
                <w:sz w:val="16"/>
                <w:lang w:eastAsia="zh-CN"/>
              </w:rPr>
              <w:t>执法</w:t>
            </w:r>
            <w:r>
              <w:rPr>
                <w:rFonts w:ascii="宋体" w:hAnsi="宋体" w:eastAsia="宋体"/>
                <w:sz w:val="16"/>
              </w:rPr>
              <w:t>检查，做好重点水域、重点船，全力保障水上运输安全，对旅游码头、水上运输企业、交通枢纽场站、全州“两客一危”道路运输企业，派出41名执法人员进行全年不间断安全生产执法检查，全年执法检查193次,已全部整改形成闭环管理，整改率100%。</w:t>
            </w:r>
          </w:p>
        </w:tc>
      </w:tr>
      <w:tr w14:paraId="79F4B2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5A51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18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F4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DD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C64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62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B36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9364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62A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42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ADA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A4B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18E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4203">
            <w:pPr>
              <w:jc w:val="center"/>
            </w:pPr>
            <w:r>
              <w:rPr>
                <w:rFonts w:ascii="宋体" w:hAnsi="宋体" w:eastAsia="宋体"/>
                <w:sz w:val="16"/>
              </w:rPr>
              <w:t>偏差原因分析及改进措施</w:t>
            </w:r>
          </w:p>
        </w:tc>
      </w:tr>
      <w:tr w14:paraId="0DCCB5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2C8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D25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54F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C2277">
            <w:pPr>
              <w:jc w:val="center"/>
            </w:pPr>
            <w:r>
              <w:rPr>
                <w:rFonts w:ascii="宋体" w:hAnsi="宋体" w:eastAsia="宋体"/>
                <w:sz w:val="16"/>
              </w:rPr>
              <w:t>执法检查频次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FE8B">
            <w:pPr>
              <w:jc w:val="center"/>
            </w:pPr>
            <w:r>
              <w:rPr>
                <w:rFonts w:ascii="宋体" w:hAnsi="宋体" w:eastAsia="宋体"/>
                <w:sz w:val="16"/>
              </w:rPr>
              <w:t>&gt;=200次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EB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91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EC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23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BA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AA6C">
            <w:pPr>
              <w:jc w:val="center"/>
            </w:pPr>
            <w:r>
              <w:rPr>
                <w:rFonts w:ascii="宋体" w:hAnsi="宋体" w:eastAsia="宋体"/>
                <w:sz w:val="16"/>
              </w:rPr>
              <w:t>=193次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AEAE">
            <w:pPr>
              <w:jc w:val="center"/>
            </w:pPr>
            <w:r>
              <w:rPr>
                <w:rFonts w:ascii="宋体" w:hAnsi="宋体" w:eastAsia="宋体"/>
                <w:sz w:val="16"/>
              </w:rPr>
              <w:t>96.5%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F464">
            <w:pPr>
              <w:jc w:val="center"/>
            </w:pPr>
            <w:r>
              <w:rPr>
                <w:rFonts w:ascii="宋体" w:hAnsi="宋体" w:eastAsia="宋体"/>
                <w:sz w:val="16"/>
              </w:rPr>
              <w:t>9.13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84B7">
            <w:pPr>
              <w:jc w:val="center"/>
            </w:pPr>
            <w:r>
              <w:rPr>
                <w:rFonts w:ascii="宋体" w:hAnsi="宋体" w:eastAsia="宋体"/>
                <w:sz w:val="16"/>
              </w:rPr>
              <w:t>因全年实际执法检查天数193天次，与年初设定目标值200次有偏差，未达到执法年初设定目标，今后我局将</w:t>
            </w:r>
            <w:r>
              <w:rPr>
                <w:rFonts w:hint="eastAsia" w:ascii="宋体" w:hAnsi="宋体"/>
                <w:sz w:val="16"/>
                <w:lang w:eastAsia="zh-CN"/>
              </w:rPr>
              <w:t>加强</w:t>
            </w:r>
            <w:r>
              <w:rPr>
                <w:rFonts w:ascii="宋体" w:hAnsi="宋体" w:eastAsia="宋体"/>
                <w:sz w:val="16"/>
              </w:rPr>
              <w:t>执法检查频次，规范检查行为，确保全州交通运输市场和谐稳定。</w:t>
            </w:r>
          </w:p>
        </w:tc>
      </w:tr>
      <w:tr w14:paraId="3E65B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9A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A17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48E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1E71">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2B23">
            <w:pPr>
              <w:jc w:val="center"/>
            </w:pPr>
            <w:r>
              <w:rPr>
                <w:rFonts w:ascii="宋体" w:hAnsi="宋体" w:eastAsia="宋体"/>
                <w:sz w:val="16"/>
              </w:rPr>
              <w:t>&gt;=200个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B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2B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69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D8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81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BE5A">
            <w:pPr>
              <w:jc w:val="center"/>
            </w:pPr>
            <w:r>
              <w:rPr>
                <w:rFonts w:ascii="宋体" w:hAnsi="宋体" w:eastAsia="宋体"/>
                <w:sz w:val="16"/>
              </w:rPr>
              <w:t>=193个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0E3A">
            <w:pPr>
              <w:jc w:val="center"/>
            </w:pPr>
            <w:r>
              <w:rPr>
                <w:rFonts w:ascii="宋体" w:hAnsi="宋体" w:eastAsia="宋体"/>
                <w:sz w:val="16"/>
              </w:rPr>
              <w:t>96.5%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C9DC">
            <w:pPr>
              <w:jc w:val="center"/>
            </w:pPr>
            <w:r>
              <w:rPr>
                <w:rFonts w:ascii="宋体" w:hAnsi="宋体" w:eastAsia="宋体"/>
                <w:sz w:val="16"/>
              </w:rPr>
              <w:t>9.13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633E">
            <w:pPr>
              <w:jc w:val="center"/>
            </w:pPr>
            <w:r>
              <w:rPr>
                <w:rFonts w:ascii="宋体" w:hAnsi="宋体" w:eastAsia="宋体"/>
                <w:sz w:val="16"/>
              </w:rPr>
              <w:t>因全年实际执法检查天数193天次，与年初设定目标值200次有偏差，未达到执法年初设定目标，今后我局将</w:t>
            </w:r>
            <w:r>
              <w:rPr>
                <w:rFonts w:hint="eastAsia" w:ascii="宋体" w:hAnsi="宋体"/>
                <w:sz w:val="16"/>
                <w:lang w:eastAsia="zh-CN"/>
              </w:rPr>
              <w:t>加强</w:t>
            </w:r>
            <w:r>
              <w:rPr>
                <w:rFonts w:ascii="宋体" w:hAnsi="宋体" w:eastAsia="宋体"/>
                <w:sz w:val="16"/>
              </w:rPr>
              <w:t>执法检查频次，规范检查行为，确保全州交通运输市场和谐稳定。</w:t>
            </w:r>
          </w:p>
        </w:tc>
      </w:tr>
      <w:tr w14:paraId="47564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684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049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E5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A8C4">
            <w:pPr>
              <w:jc w:val="center"/>
            </w:pPr>
            <w:r>
              <w:rPr>
                <w:rFonts w:ascii="宋体" w:hAnsi="宋体" w:eastAsia="宋体"/>
                <w:sz w:val="16"/>
              </w:rPr>
              <w:t>执法检查覆盖率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F7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29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88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A5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2F8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841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D7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D3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72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C335">
            <w:pPr>
              <w:jc w:val="center"/>
            </w:pPr>
            <w:r>
              <w:rPr>
                <w:rFonts w:ascii="宋体" w:hAnsi="宋体" w:eastAsia="宋体"/>
                <w:sz w:val="16"/>
              </w:rPr>
              <w:t>因该工作完成较好，监督检查全覆盖，圆满</w:t>
            </w:r>
            <w:r>
              <w:rPr>
                <w:rFonts w:hint="eastAsia" w:ascii="宋体" w:hAnsi="宋体"/>
                <w:sz w:val="16"/>
                <w:lang w:eastAsia="zh-CN"/>
              </w:rPr>
              <w:t>地</w:t>
            </w:r>
            <w:r>
              <w:rPr>
                <w:rFonts w:ascii="宋体" w:hAnsi="宋体" w:eastAsia="宋体"/>
                <w:sz w:val="16"/>
              </w:rPr>
              <w:t>完成了工作任务。</w:t>
            </w:r>
          </w:p>
        </w:tc>
      </w:tr>
      <w:tr w14:paraId="0996F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4F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35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30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CA17">
            <w:pPr>
              <w:jc w:val="center"/>
            </w:pPr>
            <w:r>
              <w:rPr>
                <w:rFonts w:ascii="宋体" w:hAnsi="宋体" w:eastAsia="宋体"/>
                <w:sz w:val="16"/>
              </w:rPr>
              <w:t>年度检查任务按时完成率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37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42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2D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34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10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7734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4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4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36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317B">
            <w:pPr>
              <w:jc w:val="center"/>
            </w:pPr>
            <w:r>
              <w:rPr>
                <w:rFonts w:ascii="宋体" w:hAnsi="宋体" w:eastAsia="宋体"/>
                <w:sz w:val="16"/>
              </w:rPr>
              <w:t>因该工作完成较好，年度检查超额完成检查任务，圆满</w:t>
            </w:r>
            <w:r>
              <w:rPr>
                <w:rFonts w:hint="eastAsia" w:ascii="宋体" w:hAnsi="宋体"/>
                <w:sz w:val="16"/>
                <w:lang w:eastAsia="zh-CN"/>
              </w:rPr>
              <w:t>地</w:t>
            </w:r>
            <w:r>
              <w:rPr>
                <w:rFonts w:ascii="宋体" w:hAnsi="宋体" w:eastAsia="宋体"/>
                <w:sz w:val="16"/>
              </w:rPr>
              <w:t>完成了工作任务。</w:t>
            </w:r>
          </w:p>
        </w:tc>
      </w:tr>
      <w:tr w14:paraId="24B39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AB6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ECC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6B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8F6D">
            <w:pPr>
              <w:jc w:val="center"/>
            </w:pPr>
            <w:r>
              <w:rPr>
                <w:rFonts w:ascii="宋体" w:hAnsi="宋体" w:eastAsia="宋体"/>
                <w:sz w:val="16"/>
              </w:rPr>
              <w:t>每次执法检查成本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997B">
            <w:pPr>
              <w:jc w:val="center"/>
            </w:pPr>
            <w:r>
              <w:rPr>
                <w:rFonts w:ascii="宋体" w:hAnsi="宋体" w:eastAsia="宋体"/>
                <w:sz w:val="16"/>
              </w:rPr>
              <w:t>&lt;=500元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B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80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39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41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59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9E72">
            <w:pPr>
              <w:jc w:val="center"/>
            </w:pPr>
            <w:r>
              <w:rPr>
                <w:rFonts w:ascii="宋体" w:hAnsi="宋体" w:eastAsia="宋体"/>
                <w:sz w:val="16"/>
              </w:rPr>
              <w:t>=518.13元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24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2E2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6F82">
            <w:pPr>
              <w:jc w:val="center"/>
            </w:pPr>
            <w:r>
              <w:rPr>
                <w:rFonts w:ascii="宋体" w:hAnsi="宋体" w:eastAsia="宋体"/>
                <w:sz w:val="16"/>
              </w:rPr>
              <w:t>因全年实际执法检查天数193天次，与年初设定目标值200次有偏差，未达到执法年初设定目标，今后我局将</w:t>
            </w:r>
            <w:r>
              <w:rPr>
                <w:rFonts w:hint="eastAsia" w:ascii="宋体" w:hAnsi="宋体"/>
                <w:sz w:val="16"/>
                <w:lang w:eastAsia="zh-CN"/>
              </w:rPr>
              <w:t>加大</w:t>
            </w:r>
            <w:r>
              <w:rPr>
                <w:rFonts w:ascii="宋体" w:hAnsi="宋体" w:eastAsia="宋体"/>
                <w:sz w:val="16"/>
              </w:rPr>
              <w:t>执法检查频次，规范年初执法检查成本计算，确保此类情况不再发生。</w:t>
            </w:r>
          </w:p>
        </w:tc>
      </w:tr>
      <w:tr w14:paraId="0AD36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6EF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D3B2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478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1A52">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04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FF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F4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6AE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4F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5FBE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85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8B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69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FAE7E">
            <w:pPr>
              <w:jc w:val="center"/>
            </w:pPr>
            <w:r>
              <w:rPr>
                <w:rFonts w:ascii="宋体" w:hAnsi="宋体" w:eastAsia="宋体"/>
                <w:sz w:val="16"/>
              </w:rPr>
              <w:t>因该工作完成较好，检查结果全部公示公开，完成整改，促进了巴州交通运输行业更加稳定。</w:t>
            </w:r>
          </w:p>
        </w:tc>
      </w:tr>
      <w:tr w14:paraId="272F8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C78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E3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16F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4CFC">
            <w:pPr>
              <w:jc w:val="center"/>
            </w:pPr>
            <w:r>
              <w:rPr>
                <w:rFonts w:ascii="宋体" w:hAnsi="宋体" w:eastAsia="宋体"/>
                <w:sz w:val="16"/>
              </w:rPr>
              <w:t>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21F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E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19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08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A7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C53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2F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73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C0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4466">
            <w:pPr>
              <w:jc w:val="center"/>
            </w:pPr>
            <w:r>
              <w:rPr>
                <w:rFonts w:ascii="宋体" w:hAnsi="宋体" w:eastAsia="宋体"/>
                <w:sz w:val="16"/>
              </w:rPr>
              <w:t>因该工作完成较好，所有检查问题全部整改完毕形成了</w:t>
            </w:r>
            <w:r>
              <w:rPr>
                <w:rFonts w:hint="eastAsia" w:ascii="宋体" w:hAnsi="宋体"/>
                <w:sz w:val="16"/>
                <w:lang w:eastAsia="zh-CN"/>
              </w:rPr>
              <w:t>闭环</w:t>
            </w:r>
            <w:r>
              <w:rPr>
                <w:rFonts w:ascii="宋体" w:hAnsi="宋体" w:eastAsia="宋体"/>
                <w:sz w:val="16"/>
              </w:rPr>
              <w:t>管理，促进了巴州交通运输行业更加稳定。</w:t>
            </w:r>
          </w:p>
        </w:tc>
      </w:tr>
      <w:tr w14:paraId="6B19EA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A52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1D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DF7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C7A3">
            <w:pPr>
              <w:jc w:val="center"/>
            </w:pPr>
            <w:r>
              <w:rPr>
                <w:rFonts w:ascii="宋体" w:hAnsi="宋体" w:eastAsia="宋体"/>
                <w:sz w:val="16"/>
              </w:rPr>
              <w:t>执法人员被投诉次数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2685">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4C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A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E8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5C3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7C6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E021">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79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08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4D6C">
            <w:pPr>
              <w:jc w:val="center"/>
            </w:pPr>
          </w:p>
        </w:tc>
      </w:tr>
      <w:tr w14:paraId="30A36D1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0CD5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FE39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AD28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C4FA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AB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27DF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6AC0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73D6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51DE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F645">
            <w:pPr>
              <w:jc w:val="center"/>
            </w:pPr>
            <w:r>
              <w:rPr>
                <w:rFonts w:ascii="宋体" w:hAnsi="宋体" w:eastAsia="宋体"/>
                <w:sz w:val="16"/>
              </w:rPr>
              <w:t>78.26分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7F872A"/>
        </w:tc>
      </w:tr>
    </w:tbl>
    <w:p w14:paraId="1290EC25">
      <w:r>
        <w:br w:type="page"/>
      </w:r>
    </w:p>
    <w:p w14:paraId="750D879E">
      <w:pPr>
        <w:spacing w:line="640" w:lineRule="exact"/>
        <w:ind w:firstLine="640"/>
        <w:jc w:val="both"/>
        <w:outlineLvl w:val="2"/>
      </w:pPr>
      <w:r>
        <w:rPr>
          <w:rFonts w:ascii="黑体" w:hAnsi="黑体" w:eastAsia="黑体"/>
          <w:sz w:val="32"/>
        </w:rPr>
        <w:t>十二、其他需说明的事项</w:t>
      </w:r>
    </w:p>
    <w:p w14:paraId="4AC1E5A7">
      <w:pPr>
        <w:spacing w:line="580" w:lineRule="exact"/>
        <w:ind w:firstLine="640"/>
        <w:jc w:val="both"/>
      </w:pPr>
      <w:r>
        <w:rPr>
          <w:rFonts w:ascii="仿宋_GB2312" w:hAnsi="仿宋_GB2312" w:eastAsia="仿宋_GB2312"/>
          <w:b w:val="0"/>
          <w:sz w:val="32"/>
        </w:rPr>
        <w:t>本部门无其他需说明的事项。</w:t>
      </w:r>
    </w:p>
    <w:p w14:paraId="664289B1">
      <w:r>
        <w:br w:type="page"/>
      </w:r>
    </w:p>
    <w:p w14:paraId="7C212D18">
      <w:pPr>
        <w:spacing w:line="240" w:lineRule="auto"/>
        <w:jc w:val="center"/>
        <w:outlineLvl w:val="1"/>
      </w:pPr>
      <w:r>
        <w:rPr>
          <w:rFonts w:ascii="黑体" w:hAnsi="黑体" w:eastAsia="黑体"/>
          <w:sz w:val="32"/>
        </w:rPr>
        <w:t>第三部分 专业名词解释</w:t>
      </w:r>
    </w:p>
    <w:p w14:paraId="395D684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7D77B5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D65DBB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502412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11D597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01A2B7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CCF711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4AAD9C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E96CA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0AEF4C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51974A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FEAE0F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983771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BC3C20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1BE8A01">
      <w:r>
        <w:br w:type="page"/>
      </w:r>
    </w:p>
    <w:p w14:paraId="6D165F23">
      <w:pPr>
        <w:spacing w:line="240" w:lineRule="auto"/>
        <w:jc w:val="center"/>
        <w:outlineLvl w:val="1"/>
      </w:pPr>
      <w:r>
        <w:rPr>
          <w:rFonts w:ascii="黑体" w:hAnsi="黑体" w:eastAsia="黑体"/>
          <w:sz w:val="32"/>
        </w:rPr>
        <w:t>第四部分 部门决算报表（见附表）</w:t>
      </w:r>
    </w:p>
    <w:p w14:paraId="22C31BEE">
      <w:pPr>
        <w:spacing w:line="240" w:lineRule="auto"/>
        <w:ind w:firstLine="640"/>
        <w:jc w:val="both"/>
      </w:pPr>
      <w:r>
        <w:rPr>
          <w:rFonts w:ascii="仿宋_GB2312" w:hAnsi="仿宋_GB2312" w:eastAsia="仿宋_GB2312"/>
          <w:b w:val="0"/>
          <w:sz w:val="32"/>
        </w:rPr>
        <w:t>一、《收入支出决算总表》</w:t>
      </w:r>
    </w:p>
    <w:p w14:paraId="478EDB74">
      <w:pPr>
        <w:spacing w:line="240" w:lineRule="auto"/>
        <w:ind w:firstLine="640"/>
        <w:jc w:val="both"/>
      </w:pPr>
      <w:r>
        <w:rPr>
          <w:rFonts w:ascii="仿宋_GB2312" w:hAnsi="仿宋_GB2312" w:eastAsia="仿宋_GB2312"/>
          <w:b w:val="0"/>
          <w:sz w:val="32"/>
        </w:rPr>
        <w:t>二、《收入决算表》</w:t>
      </w:r>
    </w:p>
    <w:p w14:paraId="3F921F4E">
      <w:pPr>
        <w:spacing w:line="240" w:lineRule="auto"/>
        <w:ind w:firstLine="640"/>
        <w:jc w:val="both"/>
      </w:pPr>
      <w:r>
        <w:rPr>
          <w:rFonts w:ascii="仿宋_GB2312" w:hAnsi="仿宋_GB2312" w:eastAsia="仿宋_GB2312"/>
          <w:b w:val="0"/>
          <w:sz w:val="32"/>
        </w:rPr>
        <w:t>三、《支出决算表》</w:t>
      </w:r>
    </w:p>
    <w:p w14:paraId="5A193014">
      <w:pPr>
        <w:spacing w:line="240" w:lineRule="auto"/>
        <w:ind w:firstLine="640"/>
        <w:jc w:val="both"/>
      </w:pPr>
      <w:r>
        <w:rPr>
          <w:rFonts w:ascii="仿宋_GB2312" w:hAnsi="仿宋_GB2312" w:eastAsia="仿宋_GB2312"/>
          <w:b w:val="0"/>
          <w:sz w:val="32"/>
        </w:rPr>
        <w:t>四、《财政拨款收入支出决算总表》</w:t>
      </w:r>
    </w:p>
    <w:p w14:paraId="30E83FF7">
      <w:pPr>
        <w:spacing w:line="240" w:lineRule="auto"/>
        <w:ind w:firstLine="640"/>
        <w:jc w:val="both"/>
      </w:pPr>
      <w:r>
        <w:rPr>
          <w:rFonts w:ascii="仿宋_GB2312" w:hAnsi="仿宋_GB2312" w:eastAsia="仿宋_GB2312"/>
          <w:b w:val="0"/>
          <w:sz w:val="32"/>
        </w:rPr>
        <w:t>五、《一般公共预算财政拨款支出决算表》</w:t>
      </w:r>
    </w:p>
    <w:p w14:paraId="1E7A2B3F">
      <w:pPr>
        <w:spacing w:line="240" w:lineRule="auto"/>
        <w:ind w:firstLine="640"/>
        <w:jc w:val="both"/>
      </w:pPr>
      <w:r>
        <w:rPr>
          <w:rFonts w:ascii="仿宋_GB2312" w:hAnsi="仿宋_GB2312" w:eastAsia="仿宋_GB2312"/>
          <w:b w:val="0"/>
          <w:sz w:val="32"/>
        </w:rPr>
        <w:t>六、《一般公共预算财政拨款基本支出决算表》</w:t>
      </w:r>
    </w:p>
    <w:p w14:paraId="1CC2E5B5">
      <w:pPr>
        <w:spacing w:line="240" w:lineRule="auto"/>
        <w:ind w:firstLine="640"/>
        <w:jc w:val="both"/>
      </w:pPr>
      <w:r>
        <w:rPr>
          <w:rFonts w:ascii="仿宋_GB2312" w:hAnsi="仿宋_GB2312" w:eastAsia="仿宋_GB2312"/>
          <w:b w:val="0"/>
          <w:sz w:val="32"/>
        </w:rPr>
        <w:t>七、《政府性基金预算财政拨款收入支出决算表》</w:t>
      </w:r>
    </w:p>
    <w:p w14:paraId="107A8753">
      <w:pPr>
        <w:spacing w:line="240" w:lineRule="auto"/>
        <w:ind w:firstLine="640"/>
        <w:jc w:val="both"/>
      </w:pPr>
      <w:r>
        <w:rPr>
          <w:rFonts w:ascii="仿宋_GB2312" w:hAnsi="仿宋_GB2312" w:eastAsia="仿宋_GB2312"/>
          <w:b w:val="0"/>
          <w:sz w:val="32"/>
        </w:rPr>
        <w:t>八、《国有资本经营预算财政拨款收入支出决算表》</w:t>
      </w:r>
    </w:p>
    <w:p w14:paraId="5DD79CFC">
      <w:pPr>
        <w:spacing w:line="240" w:lineRule="auto"/>
        <w:ind w:firstLine="640"/>
        <w:jc w:val="both"/>
      </w:pPr>
      <w:r>
        <w:rPr>
          <w:rFonts w:ascii="仿宋_GB2312" w:hAnsi="仿宋_GB2312" w:eastAsia="仿宋_GB2312"/>
          <w:b w:val="0"/>
          <w:sz w:val="32"/>
        </w:rPr>
        <w:t>九、《财政拨款“三公”经费支出决算表》</w:t>
      </w:r>
    </w:p>
    <w:p w14:paraId="165DB7E0">
      <w:pPr>
        <w:spacing w:line="240" w:lineRule="auto"/>
        <w:ind w:firstLine="640"/>
        <w:jc w:val="both"/>
      </w:pPr>
    </w:p>
    <w:p w14:paraId="61865EB2">
      <w:pPr>
        <w:spacing w:line="240" w:lineRule="auto"/>
        <w:ind w:firstLine="640"/>
        <w:jc w:val="both"/>
      </w:pPr>
    </w:p>
    <w:p w14:paraId="5767A6D1">
      <w:pPr>
        <w:spacing w:line="240" w:lineRule="auto"/>
        <w:ind w:firstLine="640"/>
        <w:jc w:val="both"/>
      </w:pPr>
    </w:p>
    <w:p w14:paraId="3856EDAA">
      <w:pPr>
        <w:spacing w:line="240" w:lineRule="auto"/>
        <w:ind w:firstLine="640"/>
        <w:jc w:val="both"/>
      </w:pPr>
    </w:p>
    <w:p w14:paraId="3EAB721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FAE94D-9296-4655-B9D5-227273395D1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39EA06B-41E2-486B-AD58-6C8750C57ABB}"/>
  </w:font>
  <w:font w:name="仿宋_GB2312">
    <w:panose1 w:val="02010609030101010101"/>
    <w:charset w:val="86"/>
    <w:family w:val="modern"/>
    <w:pitch w:val="default"/>
    <w:sig w:usb0="00000001" w:usb1="080E0000" w:usb2="00000000" w:usb3="00000000" w:csb0="00040000" w:csb1="00000000"/>
    <w:embedRegular r:id="rId3" w:fontKey="{DA7D41CB-03B2-48C2-B43C-3E542092436C}"/>
  </w:font>
  <w:font w:name="楷体_GB2312">
    <w:panose1 w:val="02010609030101010101"/>
    <w:charset w:val="86"/>
    <w:family w:val="auto"/>
    <w:pitch w:val="default"/>
    <w:sig w:usb0="00000001" w:usb1="080E0000" w:usb2="00000000" w:usb3="00000000" w:csb0="00040000" w:csb1="00000000"/>
    <w:embedRegular r:id="rId4" w:fontKey="{4CC70092-3313-4921-9693-E64E3F6BB85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4A0C72"/>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2E2A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60</Pages>
  <Words>7750</Words>
  <Characters>8761</Characters>
  <Lines>0</Lines>
  <Paragraphs>0</Paragraphs>
  <TotalTime>24</TotalTime>
  <ScaleCrop>false</ScaleCrop>
  <LinksUpToDate>false</LinksUpToDate>
  <CharactersWithSpaces>8771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2025-09-11T08:20:55Z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