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w:t>
      </w:r>
      <w:bookmarkStart w:id="0" w:name="_GoBack"/>
      <w:r>
        <w:rPr>
          <w:rFonts w:hint="eastAsia" w:ascii="方正小标宋_GBK" w:hAnsi="宋体" w:eastAsia="方正小标宋_GBK"/>
          <w:sz w:val="44"/>
          <w:szCs w:val="44"/>
          <w:highlight w:val="none"/>
          <w:lang w:val="en-US" w:eastAsia="zh-CN"/>
        </w:rPr>
        <w:t>巴音郭楞</w:t>
      </w:r>
      <w:bookmarkEnd w:id="0"/>
      <w:r>
        <w:rPr>
          <w:rFonts w:hint="eastAsia" w:ascii="方正小标宋_GBK" w:hAnsi="宋体" w:eastAsia="方正小标宋_GBK"/>
          <w:sz w:val="44"/>
          <w:szCs w:val="44"/>
          <w:highlight w:val="none"/>
          <w:lang w:val="en-US" w:eastAsia="zh-CN"/>
        </w:rPr>
        <w:t>蒙古自治州交通运输综合行政执法局2024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D2B22BB">
      <w:r>
        <w:br w:type="page"/>
      </w:r>
    </w:p>
    <w:p w14:paraId="6646F634">
      <w:pPr>
        <w:spacing w:line="640" w:lineRule="exact"/>
        <w:jc w:val="center"/>
        <w:outlineLvl w:val="1"/>
      </w:pPr>
      <w:r>
        <w:rPr>
          <w:rFonts w:ascii="黑体" w:hAnsi="黑体" w:eastAsia="黑体"/>
          <w:sz w:val="32"/>
        </w:rPr>
        <w:t>第一部分 单位概况</w:t>
      </w:r>
    </w:p>
    <w:p w14:paraId="794DF5F4">
      <w:pPr>
        <w:spacing w:line="640" w:lineRule="exact"/>
        <w:ind w:firstLine="640"/>
        <w:jc w:val="both"/>
        <w:outlineLvl w:val="2"/>
      </w:pPr>
      <w:r>
        <w:rPr>
          <w:rFonts w:ascii="黑体" w:hAnsi="黑体" w:eastAsia="黑体"/>
          <w:sz w:val="32"/>
        </w:rPr>
        <w:t>一、主要职能</w:t>
      </w:r>
    </w:p>
    <w:p w14:paraId="3C1B5875">
      <w:pPr>
        <w:spacing w:line="580" w:lineRule="exact"/>
        <w:ind w:firstLine="640"/>
        <w:jc w:val="both"/>
      </w:pPr>
      <w:r>
        <w:rPr>
          <w:rFonts w:ascii="仿宋_GB2312" w:hAnsi="仿宋_GB2312" w:eastAsia="仿宋_GB2312"/>
          <w:sz w:val="32"/>
        </w:rPr>
        <w:t>巴州交通运输综合行政执法局肩负全州行政区域交通运输管理事权行政执法的监督指导和组织协调等工作。主要负责职责。</w:t>
      </w:r>
    </w:p>
    <w:p w14:paraId="2546E2F8">
      <w:pPr>
        <w:spacing w:line="580" w:lineRule="exact"/>
        <w:ind w:firstLine="640"/>
        <w:jc w:val="both"/>
      </w:pPr>
      <w:r>
        <w:rPr>
          <w:rFonts w:ascii="仿宋_GB2312" w:hAnsi="仿宋_GB2312" w:eastAsia="仿宋_GB2312"/>
          <w:sz w:val="32"/>
        </w:rPr>
        <w:t>(一)贯彻执行国家、自治区及自治州有关交通运输工作的方针、政策和法律、法规。</w:t>
      </w:r>
    </w:p>
    <w:p w14:paraId="54BB8E58">
      <w:pPr>
        <w:spacing w:line="580" w:lineRule="exact"/>
        <w:ind w:firstLine="640"/>
        <w:jc w:val="both"/>
      </w:pPr>
      <w:r>
        <w:rPr>
          <w:rFonts w:ascii="仿宋_GB2312" w:hAnsi="仿宋_GB2312" w:eastAsia="仿宋_GB2312"/>
          <w:sz w:val="32"/>
        </w:rPr>
        <w:t>(二)负责职责范围内的道路运输经营、地方海事、渔业船舶检测等方面的行政执法工作。</w:t>
      </w:r>
    </w:p>
    <w:p w14:paraId="11F682DE">
      <w:pPr>
        <w:spacing w:line="580" w:lineRule="exact"/>
        <w:ind w:firstLine="640"/>
        <w:jc w:val="both"/>
      </w:pPr>
      <w:r>
        <w:rPr>
          <w:rFonts w:ascii="仿宋_GB2312" w:hAnsi="仿宋_GB2312" w:eastAsia="仿宋_GB2312"/>
          <w:sz w:val="32"/>
        </w:rPr>
        <w:t>(三)负责对职责范围内公民、法人或者其他组织遵守交通行政管理法律、法规、规章的情况进行监督检查，受理投诉举报,依法纠正和查处违法违规行为。</w:t>
      </w:r>
    </w:p>
    <w:p w14:paraId="47EB71C3">
      <w:pPr>
        <w:spacing w:line="580" w:lineRule="exact"/>
        <w:ind w:firstLine="640"/>
        <w:jc w:val="both"/>
      </w:pPr>
      <w:r>
        <w:rPr>
          <w:rFonts w:ascii="仿宋_GB2312" w:hAnsi="仿宋_GB2312" w:eastAsia="仿宋_GB2312"/>
          <w:sz w:val="32"/>
        </w:rPr>
        <w:t>(四)统筹组织、指挥协调全州交通运输行业的专项整治</w:t>
      </w:r>
      <w:r>
        <w:rPr>
          <w:rFonts w:hint="eastAsia" w:ascii="仿宋_GB2312" w:hAnsi="仿宋_GB2312" w:eastAsia="仿宋_GB2312"/>
          <w:sz w:val="32"/>
          <w:lang w:eastAsia="zh-CN"/>
        </w:rPr>
        <w:t>；</w:t>
      </w:r>
      <w:r>
        <w:rPr>
          <w:rFonts w:ascii="仿宋_GB2312" w:hAnsi="仿宋_GB2312" w:eastAsia="仿宋_GB2312"/>
          <w:sz w:val="32"/>
        </w:rPr>
        <w:t>负责组织查处跨区域、上级交办和具有重大影响的复杂案件。</w:t>
      </w:r>
    </w:p>
    <w:p w14:paraId="1578C26B">
      <w:pPr>
        <w:spacing w:line="580" w:lineRule="exact"/>
        <w:ind w:firstLine="640"/>
        <w:jc w:val="both"/>
      </w:pPr>
      <w:r>
        <w:rPr>
          <w:rFonts w:ascii="仿宋_GB2312" w:hAnsi="仿宋_GB2312" w:eastAsia="仿宋_GB2312"/>
          <w:sz w:val="32"/>
        </w:rPr>
        <w:t>(五)负责交通运输行业安全生产执法工作</w:t>
      </w:r>
      <w:r>
        <w:rPr>
          <w:rFonts w:hint="eastAsia" w:ascii="仿宋_GB2312" w:hAnsi="仿宋_GB2312" w:eastAsia="仿宋_GB2312"/>
          <w:sz w:val="32"/>
          <w:lang w:eastAsia="zh-CN"/>
        </w:rPr>
        <w:t>；</w:t>
      </w:r>
      <w:r>
        <w:rPr>
          <w:rFonts w:ascii="仿宋_GB2312" w:hAnsi="仿宋_GB2312" w:eastAsia="仿宋_GB2312"/>
          <w:sz w:val="32"/>
        </w:rPr>
        <w:t>参与交通运输安全事故调查和应急处置工作</w:t>
      </w:r>
      <w:r>
        <w:rPr>
          <w:rFonts w:hint="eastAsia" w:ascii="仿宋_GB2312" w:hAnsi="仿宋_GB2312" w:eastAsia="仿宋_GB2312"/>
          <w:sz w:val="32"/>
          <w:lang w:eastAsia="zh-CN"/>
        </w:rPr>
        <w:t>；</w:t>
      </w:r>
      <w:r>
        <w:rPr>
          <w:rFonts w:ascii="仿宋_GB2312" w:hAnsi="仿宋_GB2312" w:eastAsia="仿宋_GB2312"/>
          <w:sz w:val="32"/>
        </w:rPr>
        <w:t>参与保障国家重点物资道路运输、紧急客货运输、军事和抢险救灾物资等运输有关工作。</w:t>
      </w:r>
    </w:p>
    <w:p w14:paraId="6286A8D5">
      <w:pPr>
        <w:spacing w:line="580" w:lineRule="exact"/>
        <w:ind w:firstLine="640"/>
        <w:jc w:val="both"/>
      </w:pPr>
      <w:r>
        <w:rPr>
          <w:rFonts w:ascii="仿宋_GB2312" w:hAnsi="仿宋_GB2312" w:eastAsia="仿宋_GB2312"/>
          <w:sz w:val="32"/>
        </w:rPr>
        <w:t>(六)承担交通运输行政执法队伍的教育培训、考核、监督和行风建设工作</w:t>
      </w:r>
      <w:r>
        <w:rPr>
          <w:rFonts w:hint="eastAsia" w:ascii="仿宋_GB2312" w:hAnsi="仿宋_GB2312" w:eastAsia="仿宋_GB2312"/>
          <w:sz w:val="32"/>
          <w:lang w:eastAsia="zh-CN"/>
        </w:rPr>
        <w:t>；</w:t>
      </w:r>
      <w:r>
        <w:rPr>
          <w:rFonts w:ascii="仿宋_GB2312" w:hAnsi="仿宋_GB2312" w:eastAsia="仿宋_GB2312"/>
          <w:sz w:val="32"/>
        </w:rPr>
        <w:t>指导全州各县市交通运输综合行政执法工作。</w:t>
      </w:r>
    </w:p>
    <w:p w14:paraId="64694E05">
      <w:pPr>
        <w:spacing w:line="580" w:lineRule="exact"/>
        <w:ind w:firstLine="640"/>
        <w:jc w:val="both"/>
      </w:pPr>
      <w:r>
        <w:rPr>
          <w:rFonts w:ascii="仿宋_GB2312" w:hAnsi="仿宋_GB2312" w:eastAsia="仿宋_GB2312"/>
          <w:sz w:val="32"/>
        </w:rPr>
        <w:t>(七)依法履行法律法规赋予的其他职责。</w:t>
      </w:r>
    </w:p>
    <w:p w14:paraId="7431A870">
      <w:pPr>
        <w:spacing w:line="580" w:lineRule="exact"/>
        <w:ind w:firstLine="640"/>
        <w:jc w:val="both"/>
      </w:pPr>
      <w:r>
        <w:rPr>
          <w:rFonts w:ascii="仿宋_GB2312" w:hAnsi="仿宋_GB2312" w:eastAsia="仿宋_GB2312"/>
          <w:sz w:val="32"/>
        </w:rPr>
        <w:t>(八)完成自治州交通运输局交办的其他任务。</w:t>
      </w:r>
    </w:p>
    <w:p w14:paraId="7B75480E">
      <w:pPr>
        <w:spacing w:line="640" w:lineRule="exact"/>
        <w:ind w:firstLine="640"/>
        <w:jc w:val="both"/>
        <w:outlineLvl w:val="2"/>
      </w:pPr>
      <w:r>
        <w:rPr>
          <w:rFonts w:ascii="黑体" w:hAnsi="黑体" w:eastAsia="黑体"/>
          <w:sz w:val="32"/>
        </w:rPr>
        <w:t>二、机构设置及人员情况</w:t>
      </w:r>
    </w:p>
    <w:p w14:paraId="2A585776">
      <w:pPr>
        <w:spacing w:line="580" w:lineRule="exact"/>
        <w:ind w:firstLine="640"/>
        <w:jc w:val="both"/>
      </w:pPr>
      <w:r>
        <w:rPr>
          <w:rFonts w:ascii="仿宋_GB2312" w:hAnsi="仿宋_GB2312" w:eastAsia="仿宋_GB2312"/>
          <w:sz w:val="32"/>
        </w:rPr>
        <w:t>新疆巴音郭楞蒙古自治州交通运输综合行政执法局2024年度，实有人数47人，其中：在职人员41人，增加0人；离休人员0人，增加0人；退休人员6人,增加2人。</w:t>
      </w:r>
    </w:p>
    <w:p w14:paraId="3DC6386D">
      <w:pPr>
        <w:spacing w:line="580" w:lineRule="exact"/>
        <w:ind w:firstLine="640"/>
        <w:jc w:val="both"/>
      </w:pPr>
      <w:r>
        <w:rPr>
          <w:rFonts w:ascii="仿宋_GB2312" w:hAnsi="仿宋_GB2312" w:eastAsia="仿宋_GB2312"/>
          <w:sz w:val="32"/>
        </w:rPr>
        <w:t>新疆巴音郭楞蒙古自治州交通运输综合行政执法局无下属预算单位，下设5个科室，分别是：党政办公室、法制监督科、执法一科、执法二科、执法三科。</w:t>
      </w:r>
    </w:p>
    <w:p w14:paraId="4EA3B30B">
      <w:r>
        <w:br w:type="page"/>
      </w:r>
    </w:p>
    <w:p w14:paraId="7327157C">
      <w:pPr>
        <w:spacing w:line="240" w:lineRule="auto"/>
        <w:jc w:val="center"/>
        <w:outlineLvl w:val="1"/>
      </w:pPr>
      <w:r>
        <w:rPr>
          <w:rFonts w:ascii="黑体" w:hAnsi="黑体" w:eastAsia="黑体"/>
          <w:sz w:val="32"/>
        </w:rPr>
        <w:t>第二部分 部门决算情况说明</w:t>
      </w:r>
    </w:p>
    <w:p w14:paraId="7A15BF2C">
      <w:pPr>
        <w:spacing w:line="640" w:lineRule="exact"/>
        <w:ind w:firstLine="640"/>
        <w:jc w:val="both"/>
        <w:outlineLvl w:val="2"/>
      </w:pPr>
      <w:r>
        <w:rPr>
          <w:rFonts w:ascii="黑体" w:hAnsi="黑体" w:eastAsia="黑体"/>
          <w:sz w:val="32"/>
        </w:rPr>
        <w:t>一、收入支出决算总体情况说明</w:t>
      </w:r>
    </w:p>
    <w:p w14:paraId="03F6EEDF">
      <w:pPr>
        <w:spacing w:line="580" w:lineRule="exact"/>
        <w:ind w:firstLine="640"/>
        <w:jc w:val="both"/>
      </w:pPr>
      <w:r>
        <w:rPr>
          <w:rFonts w:ascii="仿宋_GB2312" w:hAnsi="仿宋_GB2312" w:eastAsia="仿宋_GB2312"/>
          <w:b/>
          <w:sz w:val="32"/>
        </w:rPr>
        <w:t>2024年度收入总计767.91万元，</w:t>
      </w:r>
      <w:r>
        <w:rPr>
          <w:rFonts w:ascii="仿宋_GB2312" w:hAnsi="仿宋_GB2312" w:eastAsia="仿宋_GB2312"/>
          <w:b w:val="0"/>
          <w:sz w:val="32"/>
        </w:rPr>
        <w:t>其中：本年收入合计767.91万元，使用非财政拨款结余（含专用结余）0.00万元，年初结转和结余0.00万元。</w:t>
      </w:r>
    </w:p>
    <w:p w14:paraId="7AA509AC">
      <w:pPr>
        <w:spacing w:line="580" w:lineRule="exact"/>
        <w:ind w:firstLine="640"/>
        <w:jc w:val="both"/>
      </w:pPr>
      <w:r>
        <w:rPr>
          <w:rFonts w:ascii="仿宋_GB2312" w:hAnsi="仿宋_GB2312" w:eastAsia="仿宋_GB2312"/>
          <w:b/>
          <w:sz w:val="32"/>
        </w:rPr>
        <w:t>2024年度支出总计767.91万元，</w:t>
      </w:r>
      <w:r>
        <w:rPr>
          <w:rFonts w:ascii="仿宋_GB2312" w:hAnsi="仿宋_GB2312" w:eastAsia="仿宋_GB2312"/>
          <w:b w:val="0"/>
          <w:sz w:val="32"/>
        </w:rPr>
        <w:t>其中：本年支出合计767.91万元，结余分配0.00万元，年末结转和结余0.00万元。</w:t>
      </w:r>
    </w:p>
    <w:p w14:paraId="33C2FD14">
      <w:pPr>
        <w:spacing w:line="580" w:lineRule="exact"/>
        <w:ind w:firstLine="640"/>
        <w:jc w:val="both"/>
      </w:pPr>
      <w:r>
        <w:rPr>
          <w:rFonts w:ascii="仿宋_GB2312" w:hAnsi="仿宋_GB2312" w:eastAsia="仿宋_GB2312"/>
          <w:b w:val="0"/>
          <w:sz w:val="32"/>
        </w:rPr>
        <w:t>收入支出总体与上年相比，减少6.57万元，下降0.85%，主要原因是：本年减少为民办实事工作经费，导致经费支出较上年减少。</w:t>
      </w:r>
    </w:p>
    <w:p w14:paraId="2ED24172">
      <w:pPr>
        <w:spacing w:line="640" w:lineRule="exact"/>
        <w:ind w:firstLine="640"/>
        <w:jc w:val="both"/>
        <w:outlineLvl w:val="2"/>
      </w:pPr>
      <w:r>
        <w:rPr>
          <w:rFonts w:ascii="黑体" w:hAnsi="黑体" w:eastAsia="黑体"/>
          <w:sz w:val="32"/>
        </w:rPr>
        <w:t>二、收入决算情况说明</w:t>
      </w:r>
    </w:p>
    <w:p w14:paraId="392B9442">
      <w:pPr>
        <w:spacing w:line="580" w:lineRule="exact"/>
        <w:ind w:firstLine="640"/>
        <w:jc w:val="both"/>
      </w:pPr>
      <w:r>
        <w:rPr>
          <w:rFonts w:ascii="仿宋_GB2312" w:hAnsi="仿宋_GB2312" w:eastAsia="仿宋_GB2312"/>
          <w:b/>
          <w:sz w:val="32"/>
        </w:rPr>
        <w:t>本年收入767.91万元，</w:t>
      </w:r>
      <w:r>
        <w:rPr>
          <w:rFonts w:ascii="仿宋_GB2312" w:hAnsi="仿宋_GB2312" w:eastAsia="仿宋_GB2312"/>
          <w:b w:val="0"/>
          <w:sz w:val="32"/>
        </w:rPr>
        <w:t>其中：财政拨款收入732.00万元，占95.32%；上级补助收入0.00万元，占0.00%；事业收入0.00万元，占0.00%；经营收入0.00万元，占0.00%；附属单位上缴收入0.00万元，占0.00%；其他收入35.92万元，占4.68%。</w:t>
      </w:r>
    </w:p>
    <w:p w14:paraId="15158FEA">
      <w:pPr>
        <w:spacing w:line="640" w:lineRule="exact"/>
        <w:ind w:firstLine="640"/>
        <w:jc w:val="both"/>
        <w:outlineLvl w:val="2"/>
      </w:pPr>
      <w:r>
        <w:rPr>
          <w:rFonts w:ascii="黑体" w:hAnsi="黑体" w:eastAsia="黑体"/>
          <w:sz w:val="32"/>
        </w:rPr>
        <w:t>三、支出决算情况说明</w:t>
      </w:r>
    </w:p>
    <w:p w14:paraId="15376FE9">
      <w:pPr>
        <w:spacing w:line="580" w:lineRule="exact"/>
        <w:ind w:firstLine="640"/>
        <w:jc w:val="both"/>
      </w:pPr>
      <w:r>
        <w:rPr>
          <w:rFonts w:ascii="仿宋_GB2312" w:hAnsi="仿宋_GB2312" w:eastAsia="仿宋_GB2312"/>
          <w:b/>
          <w:sz w:val="32"/>
        </w:rPr>
        <w:t>本年支出767.91万元，</w:t>
      </w:r>
      <w:r>
        <w:rPr>
          <w:rFonts w:ascii="仿宋_GB2312" w:hAnsi="仿宋_GB2312" w:eastAsia="仿宋_GB2312"/>
          <w:b w:val="0"/>
          <w:sz w:val="32"/>
        </w:rPr>
        <w:t>其中：基本支出757.91万元，占98.70%；项目支出10.00万元，占1.30%；上缴上级支出0.00万元，占0.00%；经营支出0.00万元，占0.00%；对附属单位补助支出0.00万元，占0.00%。</w:t>
      </w:r>
    </w:p>
    <w:p w14:paraId="57983F9A">
      <w:pPr>
        <w:spacing w:line="640" w:lineRule="exact"/>
        <w:ind w:firstLine="640"/>
        <w:jc w:val="both"/>
        <w:outlineLvl w:val="2"/>
      </w:pPr>
      <w:r>
        <w:rPr>
          <w:rFonts w:ascii="黑体" w:hAnsi="黑体" w:eastAsia="黑体"/>
          <w:sz w:val="32"/>
        </w:rPr>
        <w:t>四、财政拨款收入支出决算总体情况说明</w:t>
      </w:r>
    </w:p>
    <w:p w14:paraId="19F39208">
      <w:pPr>
        <w:spacing w:line="580" w:lineRule="exact"/>
        <w:ind w:firstLine="640"/>
        <w:jc w:val="both"/>
      </w:pPr>
      <w:r>
        <w:rPr>
          <w:rFonts w:ascii="仿宋_GB2312" w:hAnsi="仿宋_GB2312" w:eastAsia="仿宋_GB2312"/>
          <w:b/>
          <w:sz w:val="32"/>
        </w:rPr>
        <w:t>2024年度财政拨款收入总计732.00万元，</w:t>
      </w:r>
      <w:r>
        <w:rPr>
          <w:rFonts w:ascii="仿宋_GB2312" w:hAnsi="仿宋_GB2312" w:eastAsia="仿宋_GB2312"/>
          <w:b w:val="0"/>
          <w:sz w:val="32"/>
        </w:rPr>
        <w:t>其中：年初财政拨款结转和结余0.00万元，本年财政拨款收入732.00万元。</w:t>
      </w:r>
      <w:r>
        <w:rPr>
          <w:rFonts w:ascii="仿宋_GB2312" w:hAnsi="仿宋_GB2312" w:eastAsia="仿宋_GB2312"/>
          <w:b/>
          <w:sz w:val="32"/>
        </w:rPr>
        <w:t>财政拨款支出总计732.00万元，</w:t>
      </w:r>
      <w:r>
        <w:rPr>
          <w:rFonts w:ascii="仿宋_GB2312" w:hAnsi="仿宋_GB2312" w:eastAsia="仿宋_GB2312"/>
          <w:b w:val="0"/>
          <w:sz w:val="32"/>
        </w:rPr>
        <w:t>其中：年末财政拨款结转和结余0.00万元，本年财政拨款支出732.00万元。</w:t>
      </w:r>
    </w:p>
    <w:p w14:paraId="3418DF9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减少42.48万元，下降5.48%，主要原因是：本年减少办公场所搬迁经费项目，导致经费支出较上年减少。</w:t>
      </w:r>
      <w:r>
        <w:rPr>
          <w:rFonts w:ascii="仿宋_GB2312" w:hAnsi="仿宋_GB2312" w:eastAsia="仿宋_GB2312"/>
          <w:b/>
          <w:sz w:val="32"/>
        </w:rPr>
        <w:t>与年初预算相比，</w:t>
      </w:r>
      <w:r>
        <w:rPr>
          <w:rFonts w:ascii="仿宋_GB2312" w:hAnsi="仿宋_GB2312" w:eastAsia="仿宋_GB2312"/>
          <w:b w:val="0"/>
          <w:sz w:val="32"/>
        </w:rPr>
        <w:t>年初预算数753.73万元，决算数732.00万元，预决算差异率-2.88%，主要原因是：严格落实中央八项规定精神，厉行节约，减少不必要的开支。</w:t>
      </w:r>
    </w:p>
    <w:p w14:paraId="65BFDDFF">
      <w:pPr>
        <w:spacing w:line="640" w:lineRule="exact"/>
        <w:ind w:firstLine="640"/>
        <w:jc w:val="both"/>
        <w:outlineLvl w:val="2"/>
      </w:pPr>
      <w:r>
        <w:rPr>
          <w:rFonts w:ascii="黑体" w:hAnsi="黑体" w:eastAsia="黑体"/>
          <w:sz w:val="32"/>
        </w:rPr>
        <w:t>五、一般公共预算财政拨款支出决算情况说明</w:t>
      </w:r>
    </w:p>
    <w:p w14:paraId="3300EC22">
      <w:pPr>
        <w:spacing w:line="640" w:lineRule="exact"/>
        <w:ind w:firstLine="640"/>
        <w:jc w:val="both"/>
        <w:outlineLvl w:val="3"/>
      </w:pPr>
      <w:r>
        <w:rPr>
          <w:rFonts w:ascii="楷体_GB2312" w:hAnsi="楷体_GB2312" w:eastAsia="楷体_GB2312"/>
          <w:b/>
          <w:sz w:val="32"/>
        </w:rPr>
        <w:t>（一）一般公共预算财政拨款支出决算总体情况</w:t>
      </w:r>
    </w:p>
    <w:p w14:paraId="15C3701F">
      <w:pPr>
        <w:spacing w:line="580" w:lineRule="exact"/>
        <w:ind w:firstLine="640"/>
        <w:jc w:val="both"/>
      </w:pPr>
      <w:r>
        <w:rPr>
          <w:rFonts w:ascii="仿宋_GB2312" w:hAnsi="仿宋_GB2312" w:eastAsia="仿宋_GB2312"/>
          <w:b/>
          <w:sz w:val="32"/>
        </w:rPr>
        <w:t>2024年度一般公共预算财政拨款支出732.00万元，</w:t>
      </w:r>
      <w:r>
        <w:rPr>
          <w:rFonts w:ascii="仿宋_GB2312" w:hAnsi="仿宋_GB2312" w:eastAsia="仿宋_GB2312"/>
          <w:b w:val="0"/>
          <w:sz w:val="32"/>
        </w:rPr>
        <w:t>占本年支出合计的95.32%。</w:t>
      </w:r>
      <w:r>
        <w:rPr>
          <w:rFonts w:ascii="仿宋_GB2312" w:hAnsi="仿宋_GB2312" w:eastAsia="仿宋_GB2312"/>
          <w:b/>
          <w:sz w:val="32"/>
        </w:rPr>
        <w:t>与上年相比，</w:t>
      </w:r>
      <w:r>
        <w:rPr>
          <w:rFonts w:ascii="仿宋_GB2312" w:hAnsi="仿宋_GB2312" w:eastAsia="仿宋_GB2312"/>
          <w:b w:val="0"/>
          <w:sz w:val="32"/>
        </w:rPr>
        <w:t>减少42.48万元，下降5.48%，主要原因是：本年减少办公场所搬迁经费项目，导致经费支出较上年减少。</w:t>
      </w:r>
      <w:r>
        <w:rPr>
          <w:rFonts w:ascii="仿宋_GB2312" w:hAnsi="仿宋_GB2312" w:eastAsia="仿宋_GB2312"/>
          <w:b/>
          <w:sz w:val="32"/>
        </w:rPr>
        <w:t>与年初预算相比,</w:t>
      </w:r>
      <w:r>
        <w:rPr>
          <w:rFonts w:ascii="仿宋_GB2312" w:hAnsi="仿宋_GB2312" w:eastAsia="仿宋_GB2312"/>
          <w:b w:val="0"/>
          <w:sz w:val="32"/>
        </w:rPr>
        <w:t>年初预算数753.73万元，决算数732.00万元，预决算差异率-2.88%，主要原因是：严格落实中央八项规定精神，厉行节约，减少不必要的开支。</w:t>
      </w:r>
    </w:p>
    <w:p w14:paraId="3DB1CA5E">
      <w:pPr>
        <w:spacing w:line="640" w:lineRule="exact"/>
        <w:ind w:firstLine="640"/>
        <w:jc w:val="both"/>
        <w:outlineLvl w:val="3"/>
      </w:pPr>
      <w:r>
        <w:rPr>
          <w:rFonts w:ascii="楷体_GB2312" w:hAnsi="楷体_GB2312" w:eastAsia="楷体_GB2312"/>
          <w:b/>
          <w:sz w:val="32"/>
        </w:rPr>
        <w:t>（二）一般公共预算财政拨款支出决算结构情况</w:t>
      </w:r>
    </w:p>
    <w:p w14:paraId="3C384306">
      <w:pPr>
        <w:spacing w:line="580" w:lineRule="exact"/>
        <w:ind w:firstLine="640"/>
        <w:jc w:val="both"/>
      </w:pPr>
      <w:r>
        <w:rPr>
          <w:rFonts w:ascii="仿宋_GB2312" w:hAnsi="仿宋_GB2312" w:eastAsia="仿宋_GB2312"/>
          <w:b w:val="0"/>
          <w:sz w:val="32"/>
        </w:rPr>
        <w:t>1.教育支出(类)0.97万元,占0.13%。</w:t>
      </w:r>
    </w:p>
    <w:p w14:paraId="1513D720">
      <w:pPr>
        <w:spacing w:line="580" w:lineRule="exact"/>
        <w:ind w:firstLine="640"/>
        <w:jc w:val="both"/>
      </w:pPr>
      <w:r>
        <w:rPr>
          <w:rFonts w:ascii="仿宋_GB2312" w:hAnsi="仿宋_GB2312" w:eastAsia="仿宋_GB2312"/>
          <w:b w:val="0"/>
          <w:sz w:val="32"/>
        </w:rPr>
        <w:t>2.社会保障和就业支出(类)82.03万元,占11.21%。</w:t>
      </w:r>
    </w:p>
    <w:p w14:paraId="2D5C76E6">
      <w:pPr>
        <w:spacing w:line="580" w:lineRule="exact"/>
        <w:ind w:firstLine="640"/>
        <w:jc w:val="both"/>
      </w:pPr>
      <w:r>
        <w:rPr>
          <w:rFonts w:ascii="仿宋_GB2312" w:hAnsi="仿宋_GB2312" w:eastAsia="仿宋_GB2312"/>
          <w:b w:val="0"/>
          <w:sz w:val="32"/>
        </w:rPr>
        <w:t>3.卫生健康支出(类)40.36万元,占5.51%。</w:t>
      </w:r>
    </w:p>
    <w:p w14:paraId="2C05011A">
      <w:pPr>
        <w:spacing w:line="580" w:lineRule="exact"/>
        <w:ind w:firstLine="640"/>
        <w:jc w:val="both"/>
      </w:pPr>
      <w:r>
        <w:rPr>
          <w:rFonts w:ascii="仿宋_GB2312" w:hAnsi="仿宋_GB2312" w:eastAsia="仿宋_GB2312"/>
          <w:b w:val="0"/>
          <w:sz w:val="32"/>
        </w:rPr>
        <w:t>4.交通运输支出(类)555.40万元,占75.87%。</w:t>
      </w:r>
    </w:p>
    <w:p w14:paraId="2DC4EA8C">
      <w:pPr>
        <w:spacing w:line="580" w:lineRule="exact"/>
        <w:ind w:firstLine="640"/>
        <w:jc w:val="both"/>
      </w:pPr>
      <w:r>
        <w:rPr>
          <w:rFonts w:ascii="仿宋_GB2312" w:hAnsi="仿宋_GB2312" w:eastAsia="仿宋_GB2312"/>
          <w:b w:val="0"/>
          <w:sz w:val="32"/>
        </w:rPr>
        <w:t>5.住房保障支出(类)53.23万元,占7.27%。</w:t>
      </w:r>
    </w:p>
    <w:p w14:paraId="5541DC03">
      <w:pPr>
        <w:spacing w:line="640" w:lineRule="exact"/>
        <w:ind w:firstLine="640"/>
        <w:jc w:val="both"/>
        <w:outlineLvl w:val="3"/>
      </w:pPr>
      <w:r>
        <w:rPr>
          <w:rFonts w:ascii="楷体_GB2312" w:hAnsi="楷体_GB2312" w:eastAsia="楷体_GB2312"/>
          <w:b/>
          <w:sz w:val="32"/>
        </w:rPr>
        <w:t>（三）一般公共预算财政拨款支出决算具体情况</w:t>
      </w:r>
    </w:p>
    <w:p w14:paraId="2119666A">
      <w:pPr>
        <w:spacing w:line="580" w:lineRule="exact"/>
        <w:ind w:firstLine="640"/>
        <w:jc w:val="both"/>
      </w:pPr>
      <w:r>
        <w:rPr>
          <w:rFonts w:ascii="仿宋_GB2312" w:hAnsi="仿宋_GB2312" w:eastAsia="仿宋_GB2312"/>
          <w:b w:val="0"/>
          <w:sz w:val="32"/>
        </w:rPr>
        <w:t>1.教育支出(类)进修及培训(款)培训支出(项):支出决算数为0.97万元，比上年决算减少1.26万元，下降56.50%,主要原因是：本年减少外出培训业务活动经费，相关支出减少。</w:t>
      </w:r>
    </w:p>
    <w:p w14:paraId="2E75A2FD">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2.社会保障和就业支出(类)行政事业单位养老支出(款)行政单位离退休(项):支出决算数为4.03万元，比上年决算增加0.91万元，增长29.17%,主要原因是：本年退休人员增加，退休费支出增加。</w:t>
      </w:r>
    </w:p>
    <w:p w14:paraId="39E8992F">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67.36万元，比上年决算增加14.53万元，增长27.50%,主要原因是：本年在职人员工资基数调增，养老缴费基数上涨，相应支出增加。</w:t>
      </w:r>
    </w:p>
    <w:p w14:paraId="30905243">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4.社会保障和就业支出(类)行政事业单位养老支出(款)机关事业单位职业年金缴费支出(项):支出决算数为10.64万元，比上年决算增加0.38万元，增长3.70%,主要原因是：本年新增退休人员</w:t>
      </w:r>
      <w:r>
        <w:rPr>
          <w:rFonts w:hint="eastAsia" w:ascii="仿宋_GB2312" w:hAnsi="仿宋_GB2312" w:eastAsia="仿宋_GB2312"/>
          <w:b w:val="0"/>
          <w:sz w:val="32"/>
          <w:lang w:eastAsia="zh-CN"/>
        </w:rPr>
        <w:t>增加</w:t>
      </w:r>
      <w:r>
        <w:rPr>
          <w:rFonts w:ascii="仿宋_GB2312" w:hAnsi="仿宋_GB2312" w:eastAsia="仿宋_GB2312"/>
          <w:b w:val="0"/>
          <w:sz w:val="32"/>
        </w:rPr>
        <w:t>，职业年金缴费支出增加。</w:t>
      </w:r>
    </w:p>
    <w:p w14:paraId="41994FD5">
      <w:pPr>
        <w:spacing w:line="580" w:lineRule="exact"/>
        <w:ind w:firstLine="640"/>
        <w:jc w:val="both"/>
      </w:pPr>
      <w:r>
        <w:rPr>
          <w:rFonts w:ascii="仿宋_GB2312" w:hAnsi="仿宋_GB2312" w:eastAsia="仿宋_GB2312"/>
          <w:b w:val="0"/>
          <w:sz w:val="32"/>
        </w:rPr>
        <w:t>5.卫生健康支出(类)行政事业单位医疗(款)行政单位医疗(项):支出决算数为24.71万元，比上年决算增加5.25万元，增长26.98%,主要原因是：本年在职人员工资基数调增，医疗缴费基数上涨，相应支出增加。</w:t>
      </w:r>
    </w:p>
    <w:p w14:paraId="3CD55525">
      <w:pPr>
        <w:spacing w:line="580" w:lineRule="exact"/>
        <w:ind w:firstLine="640"/>
        <w:jc w:val="both"/>
      </w:pPr>
      <w:r>
        <w:rPr>
          <w:rFonts w:ascii="仿宋_GB2312" w:hAnsi="仿宋_GB2312" w:eastAsia="仿宋_GB2312"/>
          <w:b w:val="0"/>
          <w:sz w:val="32"/>
        </w:rPr>
        <w:t>6.卫生健康支出(类)行政事业单位医疗(款)事业单位医疗(项):支出决算数为4.49万元，比上年决算增加4.49万元，增长100.00%,主要原因是：本年功能科目调整，事业单位医疗上年度在行政单位医疗科目列支，本年单独列支，导致经费较上年增加。</w:t>
      </w:r>
    </w:p>
    <w:p w14:paraId="5F6652B0">
      <w:pPr>
        <w:spacing w:line="580" w:lineRule="exact"/>
        <w:ind w:firstLine="640"/>
        <w:jc w:val="both"/>
      </w:pPr>
      <w:r>
        <w:rPr>
          <w:rFonts w:ascii="仿宋_GB2312" w:hAnsi="仿宋_GB2312" w:eastAsia="仿宋_GB2312"/>
          <w:b w:val="0"/>
          <w:sz w:val="32"/>
        </w:rPr>
        <w:t>7.卫生健康支出(类)行政事业单位医疗(款)公务员医疗补助(项):支出决算数为10.47万元，比上年决算增加0.97万元，增长10.21%,主要原因是：本年在职人员工资基数调增，医疗缴费基数上涨，相应支出增加。</w:t>
      </w:r>
    </w:p>
    <w:p w14:paraId="5292E162">
      <w:pPr>
        <w:spacing w:line="580" w:lineRule="exact"/>
        <w:ind w:firstLine="640"/>
        <w:jc w:val="both"/>
      </w:pPr>
      <w:r>
        <w:rPr>
          <w:rFonts w:ascii="仿宋_GB2312" w:hAnsi="仿宋_GB2312" w:eastAsia="仿宋_GB2312"/>
          <w:b w:val="0"/>
          <w:sz w:val="32"/>
        </w:rPr>
        <w:t>8.卫生健康支出(类)行政事业单位医疗(款)其他行政事业单位医疗支出(项):支出决算数为0.69万元，比上年决算减少0.26万元，下降27.37%,主要原因是：本年在职人员调入调出，人员职级不同，缴费基数不同，导致其他行政事业单位医疗较上年减少。</w:t>
      </w:r>
    </w:p>
    <w:p w14:paraId="3F8C6FAF">
      <w:pPr>
        <w:spacing w:line="580" w:lineRule="exact"/>
        <w:ind w:firstLine="640"/>
        <w:jc w:val="both"/>
      </w:pPr>
      <w:r>
        <w:rPr>
          <w:rFonts w:ascii="仿宋_GB2312" w:hAnsi="仿宋_GB2312" w:eastAsia="仿宋_GB2312"/>
          <w:b w:val="0"/>
          <w:sz w:val="32"/>
        </w:rPr>
        <w:t>9.交通运输支出(类)公路水路运输(款)行政运行(项):支出决算数为545.40万元，比上年决算减少50.91万元，下降8.54%,主要原因是：本年在职人员调入调出，人员职级不同，工资基数不同，人员经费减少，本年</w:t>
      </w:r>
      <w:r>
        <w:rPr>
          <w:rFonts w:hint="eastAsia" w:ascii="仿宋_GB2312" w:hAnsi="仿宋_GB2312" w:eastAsia="仿宋_GB2312"/>
          <w:b w:val="0"/>
          <w:sz w:val="32"/>
          <w:lang w:eastAsia="zh-CN"/>
        </w:rPr>
        <w:t>减少</w:t>
      </w:r>
      <w:r>
        <w:rPr>
          <w:rFonts w:ascii="仿宋_GB2312" w:hAnsi="仿宋_GB2312" w:eastAsia="仿宋_GB2312"/>
          <w:b w:val="0"/>
          <w:sz w:val="32"/>
        </w:rPr>
        <w:t>办公场所搬迁经费，办公设备购置费减少，相关支出减少。</w:t>
      </w:r>
    </w:p>
    <w:p w14:paraId="5D8ED2F7">
      <w:pPr>
        <w:spacing w:line="580" w:lineRule="exact"/>
        <w:ind w:firstLine="640"/>
        <w:jc w:val="both"/>
      </w:pPr>
      <w:r>
        <w:rPr>
          <w:rFonts w:ascii="仿宋_GB2312" w:hAnsi="仿宋_GB2312" w:eastAsia="仿宋_GB2312"/>
          <w:b w:val="0"/>
          <w:sz w:val="32"/>
        </w:rPr>
        <w:t>10.交通运输支出(类)公路水路运输(款)一般行政管理事务(项):支出决算数为0.00万元，比上年决算减少32.00万元，下降100.00%,主要原因是：本年功能科目调整，海事监督管理和交通执法项目上年在一般行政管理事务科目列支，本年调整至海事管理科目列支；本年未安排为民办实事经费项目，导致经费减少。</w:t>
      </w:r>
    </w:p>
    <w:p w14:paraId="7B76F168">
      <w:pPr>
        <w:spacing w:line="580" w:lineRule="exact"/>
        <w:ind w:firstLine="640"/>
        <w:jc w:val="both"/>
      </w:pPr>
      <w:r>
        <w:rPr>
          <w:rFonts w:ascii="仿宋_GB2312" w:hAnsi="仿宋_GB2312" w:eastAsia="仿宋_GB2312"/>
          <w:b w:val="0"/>
          <w:sz w:val="32"/>
        </w:rPr>
        <w:t>11.交通运输支出(类)公路水路运输(款)海事管理(项):支出决算数为10.00万元，比上年决算增加10.00万元，增长100.00%,主要原因是：本年功能科目调整，海事监督管理和交通执法项目上年在一般行政管理事务科目列支，本年调整至海事管理科目列支，导致经费增加。</w:t>
      </w:r>
    </w:p>
    <w:p w14:paraId="177256D9">
      <w:pPr>
        <w:spacing w:line="580" w:lineRule="exact"/>
        <w:ind w:firstLine="640"/>
        <w:jc w:val="both"/>
      </w:pPr>
      <w:r>
        <w:rPr>
          <w:rFonts w:ascii="仿宋_GB2312" w:hAnsi="仿宋_GB2312" w:eastAsia="仿宋_GB2312"/>
          <w:b w:val="0"/>
          <w:sz w:val="32"/>
        </w:rPr>
        <w:t>12.住房保障支出(类)住房改革支出(款)住房公积金(项):支出决算数为53.23万元，比上年决算增加5.40万元，增长11.29%,主要原因是：本年在职人员工资基数调增，公积金缴费基数上涨，相应支出增加。</w:t>
      </w:r>
    </w:p>
    <w:p w14:paraId="08F2162D">
      <w:pPr>
        <w:spacing w:line="640" w:lineRule="exact"/>
        <w:ind w:firstLine="640"/>
        <w:jc w:val="both"/>
        <w:outlineLvl w:val="2"/>
      </w:pPr>
      <w:r>
        <w:rPr>
          <w:rFonts w:ascii="黑体" w:hAnsi="黑体" w:eastAsia="黑体"/>
          <w:sz w:val="32"/>
        </w:rPr>
        <w:t>六、一般公共预算财政拨款基本支出决算情况说明</w:t>
      </w:r>
    </w:p>
    <w:p w14:paraId="26D9567D">
      <w:pPr>
        <w:spacing w:line="580" w:lineRule="exact"/>
        <w:ind w:firstLine="640"/>
        <w:jc w:val="both"/>
      </w:pPr>
      <w:r>
        <w:rPr>
          <w:rFonts w:ascii="仿宋_GB2312" w:hAnsi="仿宋_GB2312" w:eastAsia="仿宋_GB2312"/>
          <w:b w:val="0"/>
          <w:sz w:val="32"/>
        </w:rPr>
        <w:t>2024年度一般公共预算财政拨款基本支出722.00万元，其中：</w:t>
      </w:r>
      <w:r>
        <w:rPr>
          <w:rFonts w:ascii="仿宋_GB2312" w:hAnsi="仿宋_GB2312" w:eastAsia="仿宋_GB2312"/>
          <w:b/>
          <w:sz w:val="32"/>
        </w:rPr>
        <w:t>人员经费668.67万元，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医疗费、其他工资福利支出、退休费、生活补助、奖励金。</w:t>
      </w:r>
    </w:p>
    <w:p w14:paraId="54BBF4EE">
      <w:pPr>
        <w:spacing w:line="580" w:lineRule="exact"/>
        <w:ind w:firstLine="640"/>
        <w:jc w:val="both"/>
      </w:pPr>
      <w:r>
        <w:rPr>
          <w:rFonts w:ascii="仿宋_GB2312" w:hAnsi="仿宋_GB2312" w:eastAsia="仿宋_GB2312"/>
          <w:b/>
          <w:sz w:val="32"/>
        </w:rPr>
        <w:t>公用经费53.33万元，</w:t>
      </w:r>
      <w:r>
        <w:rPr>
          <w:rFonts w:ascii="仿宋_GB2312" w:hAnsi="仿宋_GB2312" w:eastAsia="仿宋_GB2312"/>
          <w:b w:val="0"/>
          <w:sz w:val="32"/>
        </w:rPr>
        <w:t>包括：办公费、水费、电费、邮电费、取暖费、差旅费、维修（护）费、培训费、公务接待费、工会经费、福利费、公务用车运行维护费、其他商品和服务支出。</w:t>
      </w:r>
    </w:p>
    <w:p w14:paraId="654A0910">
      <w:pPr>
        <w:spacing w:line="640" w:lineRule="exact"/>
        <w:ind w:firstLine="640"/>
        <w:jc w:val="both"/>
        <w:outlineLvl w:val="2"/>
      </w:pPr>
      <w:r>
        <w:rPr>
          <w:rFonts w:ascii="黑体" w:hAnsi="黑体" w:eastAsia="黑体"/>
          <w:sz w:val="32"/>
        </w:rPr>
        <w:t>七、政府性基金预算财政拨款收入支出决算情况说明</w:t>
      </w:r>
    </w:p>
    <w:p w14:paraId="42D6784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B601E7A">
      <w:pPr>
        <w:spacing w:line="640" w:lineRule="exact"/>
        <w:ind w:firstLine="640"/>
        <w:jc w:val="both"/>
        <w:outlineLvl w:val="2"/>
      </w:pPr>
      <w:r>
        <w:rPr>
          <w:rFonts w:ascii="黑体" w:hAnsi="黑体" w:eastAsia="黑体"/>
          <w:sz w:val="32"/>
        </w:rPr>
        <w:t>八、国有资本经营预算财政拨款收入支出决算情况说明</w:t>
      </w:r>
    </w:p>
    <w:p w14:paraId="2A0F68A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29E26A4">
      <w:pPr>
        <w:spacing w:line="640" w:lineRule="exact"/>
        <w:ind w:firstLine="640"/>
        <w:jc w:val="both"/>
        <w:outlineLvl w:val="2"/>
      </w:pPr>
      <w:r>
        <w:rPr>
          <w:rFonts w:ascii="黑体" w:hAnsi="黑体" w:eastAsia="黑体"/>
          <w:sz w:val="32"/>
        </w:rPr>
        <w:t>九、财政拨款“三公”经费支出决算情况说明</w:t>
      </w:r>
    </w:p>
    <w:p w14:paraId="704845B3">
      <w:pPr>
        <w:spacing w:line="580" w:lineRule="exact"/>
        <w:ind w:firstLine="640"/>
        <w:jc w:val="both"/>
      </w:pPr>
      <w:r>
        <w:rPr>
          <w:rFonts w:ascii="仿宋_GB2312" w:hAnsi="仿宋_GB2312" w:eastAsia="仿宋_GB2312"/>
          <w:b/>
          <w:sz w:val="32"/>
        </w:rPr>
        <w:t>2024年度财政拨款“三公”经费支出18.79万元，</w:t>
      </w:r>
      <w:r>
        <w:rPr>
          <w:rFonts w:ascii="仿宋_GB2312" w:hAnsi="仿宋_GB2312" w:eastAsia="仿宋_GB2312"/>
          <w:b w:val="0"/>
          <w:sz w:val="32"/>
        </w:rPr>
        <w:t>比上年增加10.09万元，增长115.98%，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18.49万元，占98.40%，比上年增加10.09万元，增长120.12%，主要原因是：本年因业务需求，用车次数增加，燃油费增加，导致公务用车运行维护费较上年增加。公务接待费支出0.30万元，占1.60%，比上年增加0.00万元，增长0.00%，主要原因是：本单位公务接待费与上年一致无变化。</w:t>
      </w:r>
    </w:p>
    <w:p w14:paraId="16A3E8CB">
      <w:pPr>
        <w:spacing w:line="580" w:lineRule="exact"/>
        <w:ind w:firstLine="640"/>
        <w:jc w:val="both"/>
      </w:pPr>
      <w:r>
        <w:rPr>
          <w:rFonts w:ascii="仿宋_GB2312" w:hAnsi="仿宋_GB2312" w:eastAsia="仿宋_GB2312"/>
          <w:b/>
          <w:sz w:val="32"/>
        </w:rPr>
        <w:t>具体情况如下：</w:t>
      </w:r>
    </w:p>
    <w:p w14:paraId="59A2DF6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19D9A84">
      <w:pPr>
        <w:spacing w:line="580" w:lineRule="exact"/>
        <w:ind w:firstLine="640"/>
        <w:jc w:val="both"/>
      </w:pPr>
      <w:r>
        <w:rPr>
          <w:rFonts w:ascii="仿宋_GB2312" w:hAnsi="仿宋_GB2312" w:eastAsia="仿宋_GB2312"/>
          <w:b w:val="0"/>
          <w:sz w:val="32"/>
        </w:rPr>
        <w:t>公务用车购置及运行维护费18.49万元，其中：公务用车购置费0.00万元，公务用车运行维护费18.49万元。公务用车运行维护费开支内容包括车辆加油费、维修费、保险费、审车费、过路费。公务用车购置数0辆，公务用车保有量6辆。国有资产占用情况中固定资产车辆18辆，与公务用车保有量差异原因是：差异车辆12辆为执法改制前原单位无法核销的盘亏及待报废车辆。</w:t>
      </w:r>
    </w:p>
    <w:p w14:paraId="6DECB532">
      <w:pPr>
        <w:spacing w:line="580" w:lineRule="exact"/>
        <w:ind w:firstLine="640"/>
        <w:jc w:val="both"/>
      </w:pPr>
      <w:r>
        <w:rPr>
          <w:rFonts w:ascii="仿宋_GB2312" w:hAnsi="仿宋_GB2312" w:eastAsia="仿宋_GB2312"/>
          <w:b w:val="0"/>
          <w:sz w:val="32"/>
        </w:rPr>
        <w:t>公务接待费0.30万元，开支内容包括接待上级领导检查、督导组检查产生的就餐费。单位全年安排的国内公务接待5批次，30人次。</w:t>
      </w:r>
    </w:p>
    <w:p w14:paraId="589132B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18.79万元，决算数18.79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18.49万元，决算数18.49万元，预决算差异率0.00%，主要原因是：严格按照预算执行，预决算无差异。公务接待费全年预算数0.30万元，决算数0.30万元，预决算差异率0.00%，主要原因是：严格按照预算执行，预决算无差异。</w:t>
      </w:r>
    </w:p>
    <w:p w14:paraId="6418A273">
      <w:pPr>
        <w:spacing w:line="640" w:lineRule="exact"/>
        <w:ind w:firstLine="640"/>
        <w:jc w:val="both"/>
        <w:outlineLvl w:val="2"/>
      </w:pPr>
      <w:r>
        <w:rPr>
          <w:rFonts w:ascii="黑体" w:hAnsi="黑体" w:eastAsia="黑体"/>
          <w:sz w:val="32"/>
        </w:rPr>
        <w:t>十、其他重要事项的情况说明</w:t>
      </w:r>
    </w:p>
    <w:p w14:paraId="0D5FDCA4">
      <w:pPr>
        <w:spacing w:line="640" w:lineRule="exact"/>
        <w:ind w:firstLine="640"/>
        <w:jc w:val="both"/>
        <w:outlineLvl w:val="3"/>
      </w:pPr>
      <w:r>
        <w:rPr>
          <w:rFonts w:ascii="楷体_GB2312" w:hAnsi="楷体_GB2312" w:eastAsia="楷体_GB2312"/>
          <w:b/>
          <w:sz w:val="32"/>
        </w:rPr>
        <w:t>（一）机关运行经费及公用经费支出情况</w:t>
      </w:r>
    </w:p>
    <w:p w14:paraId="2CA3BBED">
      <w:pPr>
        <w:spacing w:line="580" w:lineRule="exact"/>
        <w:ind w:firstLine="640"/>
        <w:jc w:val="both"/>
      </w:pPr>
      <w:r>
        <w:rPr>
          <w:rFonts w:ascii="仿宋_GB2312" w:hAnsi="仿宋_GB2312" w:eastAsia="仿宋_GB2312"/>
          <w:b w:val="0"/>
          <w:sz w:val="32"/>
        </w:rPr>
        <w:t>2024年度新疆巴音郭楞蒙古自治州交通运输综合行政执法局（行政单位和参照公务员法管理事业单位）机关运行经费支出53.33万元，比上年减少28.68万元，下降34.97%，主要原因是：本年减少办公场所搬迁经费，办公设备购置费，导致机关运行经费支出减少。</w:t>
      </w:r>
    </w:p>
    <w:p w14:paraId="160A0632">
      <w:pPr>
        <w:spacing w:line="640" w:lineRule="exact"/>
        <w:ind w:firstLine="640"/>
        <w:jc w:val="both"/>
        <w:outlineLvl w:val="3"/>
      </w:pPr>
      <w:r>
        <w:rPr>
          <w:rFonts w:ascii="楷体_GB2312" w:hAnsi="楷体_GB2312" w:eastAsia="楷体_GB2312"/>
          <w:b/>
          <w:sz w:val="32"/>
        </w:rPr>
        <w:t>（二）政府采购情况</w:t>
      </w:r>
    </w:p>
    <w:p w14:paraId="5B7F7FD3">
      <w:pPr>
        <w:spacing w:line="580" w:lineRule="exact"/>
        <w:ind w:firstLine="640"/>
        <w:jc w:val="both"/>
      </w:pPr>
      <w:r>
        <w:rPr>
          <w:rFonts w:ascii="仿宋_GB2312" w:hAnsi="仿宋_GB2312" w:eastAsia="仿宋_GB2312"/>
          <w:b w:val="0"/>
          <w:sz w:val="32"/>
        </w:rPr>
        <w:t>2024年度政府采购支出总额8.14万元，其中：政府采购货物支出1.53万元、政府采购工程支出0.00万元、政府采购服务支出6.61万元。</w:t>
      </w:r>
    </w:p>
    <w:p w14:paraId="0A411DE5">
      <w:pPr>
        <w:spacing w:line="580" w:lineRule="exact"/>
        <w:ind w:firstLine="640"/>
        <w:jc w:val="both"/>
      </w:pPr>
      <w:r>
        <w:rPr>
          <w:rFonts w:ascii="仿宋_GB2312" w:hAnsi="仿宋_GB2312" w:eastAsia="仿宋_GB2312"/>
          <w:b w:val="0"/>
          <w:sz w:val="32"/>
        </w:rPr>
        <w:t>授予中小企业合同金额8.14万元，占政府采购支出总额的100.00%，其中：授予小微企业合同金额6.53万元，占政府采购支出总额的80.22%。</w:t>
      </w:r>
    </w:p>
    <w:p w14:paraId="5B3A8D79">
      <w:pPr>
        <w:spacing w:line="640" w:lineRule="exact"/>
        <w:ind w:firstLine="640"/>
        <w:jc w:val="both"/>
        <w:outlineLvl w:val="3"/>
      </w:pPr>
      <w:r>
        <w:rPr>
          <w:rFonts w:ascii="楷体_GB2312" w:hAnsi="楷体_GB2312" w:eastAsia="楷体_GB2312"/>
          <w:b/>
          <w:sz w:val="32"/>
        </w:rPr>
        <w:t>（三）国有资产占用情况说明</w:t>
      </w:r>
    </w:p>
    <w:p w14:paraId="65C49692">
      <w:pPr>
        <w:spacing w:line="580" w:lineRule="exact"/>
        <w:ind w:firstLine="640"/>
        <w:jc w:val="both"/>
      </w:pPr>
      <w:r>
        <w:rPr>
          <w:rFonts w:ascii="仿宋_GB2312" w:hAnsi="仿宋_GB2312" w:eastAsia="仿宋_GB2312"/>
          <w:b w:val="0"/>
          <w:sz w:val="32"/>
        </w:rPr>
        <w:t>截至2024年12月31日，房屋4,230.87平方米，价值428.56万元。车辆18辆，价值280.85万元，其中：副部（省）级及以上领导用车0辆、主要负责人用车0辆、机要通信用车0辆、应急保障用车0辆、执法执勤用车5辆、特种专业技术用车0辆、离退休干部服务用车0辆、其他用车13辆，其他用车主要是：一般公务用车，12辆盘亏、待报废车辆。单价100万元（含）以上设备（不含车辆）0台（套）。</w:t>
      </w:r>
    </w:p>
    <w:p w14:paraId="0E097649">
      <w:pPr>
        <w:spacing w:line="640" w:lineRule="exact"/>
        <w:ind w:firstLine="640"/>
        <w:jc w:val="both"/>
        <w:outlineLvl w:val="2"/>
      </w:pPr>
      <w:r>
        <w:rPr>
          <w:rFonts w:ascii="黑体" w:hAnsi="黑体" w:eastAsia="黑体"/>
          <w:sz w:val="32"/>
        </w:rPr>
        <w:t>十一、预算绩效的情况说明</w:t>
      </w:r>
    </w:p>
    <w:p w14:paraId="2F8BD969">
      <w:pPr>
        <w:spacing w:line="580" w:lineRule="exact"/>
        <w:ind w:firstLine="640"/>
        <w:jc w:val="both"/>
      </w:pPr>
      <w:r>
        <w:rPr>
          <w:rFonts w:ascii="仿宋_GB2312" w:hAnsi="仿宋_GB2312" w:eastAsia="仿宋_GB2312"/>
          <w:b w:val="0"/>
          <w:sz w:val="32"/>
        </w:rPr>
        <w:t>根据预算绩效管理要求，本单位预算绩效评价项目2个，全年预算数54.00万元，全年执行数44.84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项目支出绩效自评表。</w:t>
      </w:r>
    </w:p>
    <w:p w14:paraId="714494AC">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96"/>
        <w:gridCol w:w="632"/>
        <w:gridCol w:w="629"/>
      </w:tblGrid>
      <w:tr w14:paraId="46326E7F">
        <w:tblPrEx>
          <w:tblCellMar>
            <w:top w:w="0" w:type="dxa"/>
            <w:left w:w="108" w:type="dxa"/>
            <w:bottom w:w="0" w:type="dxa"/>
            <w:right w:w="108" w:type="dxa"/>
          </w:tblCellMar>
        </w:tblPrEx>
        <w:tc>
          <w:tcPr>
            <w:tcW w:w="8848" w:type="dxa"/>
            <w:gridSpan w:val="14"/>
            <w:vAlign w:val="center"/>
          </w:tcPr>
          <w:p w14:paraId="3D3AB8A3">
            <w:pPr>
              <w:jc w:val="center"/>
            </w:pPr>
            <w:r>
              <w:rPr>
                <w:rFonts w:ascii="宋体" w:hAnsi="宋体" w:eastAsia="宋体"/>
                <w:sz w:val="24"/>
              </w:rPr>
              <w:t>项目支出绩效自评表</w:t>
            </w:r>
          </w:p>
        </w:tc>
      </w:tr>
      <w:tr w14:paraId="2D05BA54">
        <w:tblPrEx>
          <w:tblCellMar>
            <w:top w:w="0" w:type="dxa"/>
            <w:left w:w="108" w:type="dxa"/>
            <w:bottom w:w="0" w:type="dxa"/>
            <w:right w:w="108" w:type="dxa"/>
          </w:tblCellMar>
        </w:tblPrEx>
        <w:tc>
          <w:tcPr>
            <w:tcW w:w="8848" w:type="dxa"/>
            <w:gridSpan w:val="14"/>
            <w:vAlign w:val="center"/>
          </w:tcPr>
          <w:p w14:paraId="4454FDBF">
            <w:pPr>
              <w:jc w:val="center"/>
            </w:pPr>
            <w:r>
              <w:rPr>
                <w:rFonts w:ascii="宋体" w:hAnsi="宋体" w:eastAsia="宋体"/>
                <w:sz w:val="24"/>
              </w:rPr>
              <w:t>(2024年度)</w:t>
            </w:r>
          </w:p>
        </w:tc>
      </w:tr>
      <w:tr w14:paraId="25F031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8753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49A4EF">
            <w:pPr>
              <w:jc w:val="center"/>
            </w:pPr>
            <w:r>
              <w:rPr>
                <w:rFonts w:ascii="宋体" w:hAnsi="宋体" w:eastAsia="宋体"/>
                <w:sz w:val="16"/>
              </w:rPr>
              <w:t>2024年临时工工资及职业年金</w:t>
            </w:r>
          </w:p>
        </w:tc>
      </w:tr>
      <w:tr w14:paraId="1DB63E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0656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037650">
            <w:pPr>
              <w:jc w:val="center"/>
            </w:pPr>
            <w:r>
              <w:rPr>
                <w:rFonts w:ascii="宋体" w:hAnsi="宋体" w:eastAsia="宋体"/>
                <w:sz w:val="16"/>
              </w:rPr>
              <w:t>新疆巴音郭楞蒙古自治州交通运输综合行政执法局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695F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F5F023">
            <w:pPr>
              <w:jc w:val="center"/>
            </w:pPr>
            <w:r>
              <w:rPr>
                <w:rFonts w:ascii="宋体" w:hAnsi="宋体" w:eastAsia="宋体"/>
                <w:sz w:val="16"/>
              </w:rPr>
              <w:t>新疆巴音郭楞蒙古自治州交通运输综合行政执法局</w:t>
            </w:r>
          </w:p>
        </w:tc>
      </w:tr>
      <w:tr w14:paraId="525946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590D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4339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29F5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058B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5C73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51CE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18AE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77588">
            <w:pPr>
              <w:jc w:val="center"/>
            </w:pPr>
            <w:r>
              <w:rPr>
                <w:rFonts w:ascii="宋体" w:hAnsi="宋体" w:eastAsia="宋体"/>
                <w:sz w:val="16"/>
              </w:rPr>
              <w:t>得分</w:t>
            </w:r>
          </w:p>
        </w:tc>
      </w:tr>
      <w:tr w14:paraId="4A2791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103A5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F805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35724">
            <w:pPr>
              <w:jc w:val="center"/>
            </w:pPr>
            <w:r>
              <w:rPr>
                <w:rFonts w:ascii="宋体" w:hAnsi="宋体" w:eastAsia="宋体"/>
                <w:sz w:val="16"/>
              </w:rPr>
              <w:t>44.00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E9A03">
            <w:pPr>
              <w:jc w:val="center"/>
            </w:pPr>
            <w:r>
              <w:rPr>
                <w:rFonts w:ascii="宋体" w:hAnsi="宋体" w:eastAsia="宋体"/>
                <w:sz w:val="16"/>
              </w:rPr>
              <w:t>44.00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6D67F">
            <w:pPr>
              <w:jc w:val="center"/>
            </w:pPr>
            <w:r>
              <w:rPr>
                <w:rFonts w:ascii="宋体" w:hAnsi="宋体" w:eastAsia="宋体"/>
                <w:sz w:val="16"/>
              </w:rPr>
              <w:t>34.84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A21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191AB">
            <w:pPr>
              <w:jc w:val="center"/>
            </w:pPr>
            <w:r>
              <w:rPr>
                <w:rFonts w:ascii="宋体" w:hAnsi="宋体" w:eastAsia="宋体"/>
                <w:sz w:val="16"/>
              </w:rPr>
              <w:t>79.18%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A516">
            <w:pPr>
              <w:jc w:val="center"/>
            </w:pPr>
            <w:r>
              <w:rPr>
                <w:rFonts w:ascii="宋体" w:hAnsi="宋体" w:eastAsia="宋体"/>
                <w:sz w:val="16"/>
              </w:rPr>
              <w:t>4.80</w:t>
            </w:r>
          </w:p>
        </w:tc>
      </w:tr>
      <w:tr w14:paraId="0C59C7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752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3686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5FD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236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24B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0E2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E5F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F426E">
            <w:pPr>
              <w:jc w:val="center"/>
            </w:pPr>
            <w:r>
              <w:rPr>
                <w:rFonts w:ascii="宋体" w:hAnsi="宋体" w:eastAsia="宋体"/>
                <w:sz w:val="16"/>
              </w:rPr>
              <w:t>-</w:t>
            </w:r>
          </w:p>
        </w:tc>
      </w:tr>
      <w:tr w14:paraId="5EA453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961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28F0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ACF82">
            <w:pPr>
              <w:jc w:val="center"/>
            </w:pPr>
            <w:r>
              <w:rPr>
                <w:rFonts w:ascii="宋体" w:hAnsi="宋体" w:eastAsia="宋体"/>
                <w:sz w:val="16"/>
              </w:rPr>
              <w:t>44.00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E1957">
            <w:pPr>
              <w:jc w:val="center"/>
            </w:pPr>
            <w:r>
              <w:rPr>
                <w:rFonts w:ascii="宋体" w:hAnsi="宋体" w:eastAsia="宋体"/>
                <w:sz w:val="16"/>
              </w:rPr>
              <w:t>44.00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565DB">
            <w:pPr>
              <w:jc w:val="center"/>
            </w:pPr>
            <w:r>
              <w:rPr>
                <w:rFonts w:ascii="宋体" w:hAnsi="宋体" w:eastAsia="宋体"/>
                <w:sz w:val="16"/>
              </w:rPr>
              <w:t>34.84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C70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32C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18EE2">
            <w:pPr>
              <w:jc w:val="center"/>
            </w:pPr>
            <w:r>
              <w:rPr>
                <w:rFonts w:ascii="宋体" w:hAnsi="宋体" w:eastAsia="宋体"/>
                <w:sz w:val="16"/>
              </w:rPr>
              <w:t>-</w:t>
            </w:r>
          </w:p>
        </w:tc>
      </w:tr>
      <w:tr w14:paraId="5BAB88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B72EA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AC8D9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B54F82">
            <w:pPr>
              <w:jc w:val="center"/>
            </w:pPr>
            <w:r>
              <w:rPr>
                <w:rFonts w:ascii="宋体" w:hAnsi="宋体" w:eastAsia="宋体"/>
                <w:sz w:val="16"/>
              </w:rPr>
              <w:t>总体目标完成情况</w:t>
            </w:r>
          </w:p>
        </w:tc>
      </w:tr>
      <w:tr w14:paraId="107F8F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4A44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E3C2EB">
            <w:pPr>
              <w:jc w:val="both"/>
            </w:pPr>
            <w:r>
              <w:rPr>
                <w:rFonts w:ascii="宋体" w:hAnsi="宋体" w:eastAsia="宋体"/>
                <w:sz w:val="16"/>
              </w:rPr>
              <w:t>1.为确保巴州交通运输行业平稳高效运行，提升我局执法人员工作效率，用于支付聘用的司机、保洁、业务档案员等6名临时工人工工资。2.用于因单位机构改革，改革前调动的4名干部职业年金的支付。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80BA57">
            <w:pPr>
              <w:jc w:val="both"/>
            </w:pPr>
            <w:r>
              <w:rPr>
                <w:rFonts w:ascii="宋体" w:hAnsi="宋体" w:eastAsia="宋体"/>
                <w:sz w:val="16"/>
              </w:rPr>
              <w:t>已完成支付聘用的司机、保洁、业务档案员等6名临时工人工工资每月1.87万元，12个月共22.43万元。已完成支付改革前调动的4名干部职业年金12.41万元。确保巴州交通运输行业平稳高效运行，提升我局执法人员工作效率。</w:t>
            </w:r>
          </w:p>
        </w:tc>
      </w:tr>
      <w:tr w14:paraId="066069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C77D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2E88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BA35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F9D0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5021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6044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6373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6259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B85A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825A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41D9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67A8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7FE8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0CDBC">
            <w:pPr>
              <w:jc w:val="center"/>
            </w:pPr>
            <w:r>
              <w:rPr>
                <w:rFonts w:ascii="宋体" w:hAnsi="宋体" w:eastAsia="宋体"/>
                <w:sz w:val="16"/>
              </w:rPr>
              <w:t>偏差原因分析及改进措施</w:t>
            </w:r>
          </w:p>
        </w:tc>
      </w:tr>
      <w:tr w14:paraId="0C34BB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D65B4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9753A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62EC5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545A6">
            <w:pPr>
              <w:jc w:val="center"/>
            </w:pPr>
            <w:r>
              <w:rPr>
                <w:rFonts w:ascii="宋体" w:hAnsi="宋体" w:eastAsia="宋体"/>
                <w:sz w:val="16"/>
              </w:rPr>
              <w:t>发放临时工工资人数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E89E6">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67F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83A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1C5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652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176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F8E5C">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FB8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173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251B3">
            <w:pPr>
              <w:jc w:val="center"/>
            </w:pPr>
          </w:p>
        </w:tc>
      </w:tr>
      <w:tr w14:paraId="1A532E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21C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3E3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5C2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D8741">
            <w:pPr>
              <w:jc w:val="center"/>
            </w:pPr>
            <w:r>
              <w:rPr>
                <w:rFonts w:ascii="宋体" w:hAnsi="宋体" w:eastAsia="宋体"/>
                <w:sz w:val="16"/>
              </w:rPr>
              <w:t>发放职业年金人数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2E3C">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6BB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4E9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413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FA6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9E2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546D3">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C19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BEF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0D54">
            <w:pPr>
              <w:jc w:val="center"/>
            </w:pPr>
          </w:p>
        </w:tc>
      </w:tr>
      <w:tr w14:paraId="4A62E6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E25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857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666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EA4A5">
            <w:pPr>
              <w:jc w:val="center"/>
            </w:pPr>
            <w:r>
              <w:rPr>
                <w:rFonts w:ascii="宋体" w:hAnsi="宋体" w:eastAsia="宋体"/>
                <w:sz w:val="16"/>
              </w:rPr>
              <w:t>发放临时工工资次数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9DEB8">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209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B5E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F7D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FFD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6E1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F9CA4">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054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636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9F773">
            <w:pPr>
              <w:jc w:val="center"/>
            </w:pPr>
          </w:p>
        </w:tc>
      </w:tr>
      <w:tr w14:paraId="7CCEF9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3E1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96C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195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8A8F4">
            <w:pPr>
              <w:jc w:val="center"/>
            </w:pPr>
            <w:r>
              <w:rPr>
                <w:rFonts w:ascii="宋体" w:hAnsi="宋体" w:eastAsia="宋体"/>
                <w:sz w:val="16"/>
              </w:rPr>
              <w:t>发放职业年金次数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8C3A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DA9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FE2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92F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B62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4C2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F797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C30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D68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9007E">
            <w:pPr>
              <w:jc w:val="center"/>
            </w:pPr>
          </w:p>
        </w:tc>
      </w:tr>
      <w:tr w14:paraId="2DC10F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7DE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A56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A048C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E92CF">
            <w:pPr>
              <w:jc w:val="center"/>
            </w:pPr>
            <w:r>
              <w:rPr>
                <w:rFonts w:ascii="宋体" w:hAnsi="宋体" w:eastAsia="宋体"/>
                <w:sz w:val="16"/>
              </w:rPr>
              <w:t>发放临时工工资准确率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0F5C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FBE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93C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893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C8B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598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8D3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91F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0F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5337C">
            <w:pPr>
              <w:jc w:val="center"/>
            </w:pPr>
          </w:p>
        </w:tc>
      </w:tr>
      <w:tr w14:paraId="5A348E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E1E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34A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A67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7E123">
            <w:pPr>
              <w:jc w:val="center"/>
            </w:pPr>
            <w:r>
              <w:rPr>
                <w:rFonts w:ascii="宋体" w:hAnsi="宋体" w:eastAsia="宋体"/>
                <w:sz w:val="16"/>
              </w:rPr>
              <w:t>发放职业年金准确率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F945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036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B5C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B6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A4E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BB6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855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5C0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9AC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B36B6">
            <w:pPr>
              <w:jc w:val="center"/>
            </w:pPr>
          </w:p>
        </w:tc>
      </w:tr>
      <w:tr w14:paraId="2CD359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DB1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AD1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0EC6B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49E1E">
            <w:pPr>
              <w:jc w:val="center"/>
            </w:pPr>
            <w:r>
              <w:rPr>
                <w:rFonts w:ascii="宋体" w:hAnsi="宋体" w:eastAsia="宋体"/>
                <w:sz w:val="16"/>
              </w:rPr>
              <w:t>发放临时工工资及时率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B2AE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D9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9C8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F58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D0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A98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4CF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AA1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4FB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92A2">
            <w:pPr>
              <w:jc w:val="center"/>
            </w:pPr>
          </w:p>
        </w:tc>
      </w:tr>
      <w:tr w14:paraId="5DC025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3EE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D79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151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5BFC6">
            <w:pPr>
              <w:jc w:val="center"/>
            </w:pPr>
            <w:r>
              <w:rPr>
                <w:rFonts w:ascii="宋体" w:hAnsi="宋体" w:eastAsia="宋体"/>
                <w:sz w:val="16"/>
              </w:rPr>
              <w:t>发放职业年金及时率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9237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55F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F45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87C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55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911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67B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EB1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FD2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2A1CA">
            <w:pPr>
              <w:jc w:val="center"/>
            </w:pPr>
          </w:p>
        </w:tc>
      </w:tr>
      <w:tr w14:paraId="5099D5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E97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A808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7AA8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21A15">
            <w:pPr>
              <w:jc w:val="center"/>
            </w:pPr>
            <w:r>
              <w:rPr>
                <w:rFonts w:ascii="宋体" w:hAnsi="宋体" w:eastAsia="宋体"/>
                <w:sz w:val="16"/>
              </w:rPr>
              <w:t>每次发放临时工资金数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CDA20">
            <w:pPr>
              <w:jc w:val="center"/>
            </w:pPr>
            <w:r>
              <w:rPr>
                <w:rFonts w:ascii="宋体" w:hAnsi="宋体" w:eastAsia="宋体"/>
                <w:sz w:val="16"/>
              </w:rPr>
              <w:t>&lt;=1.90万元/次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A0F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67D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109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63B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62A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8D44C">
            <w:pPr>
              <w:jc w:val="center"/>
            </w:pPr>
            <w:r>
              <w:rPr>
                <w:rFonts w:ascii="宋体" w:hAnsi="宋体" w:eastAsia="宋体"/>
                <w:sz w:val="16"/>
              </w:rPr>
              <w:t>=1.87万元/次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308BD">
            <w:pPr>
              <w:jc w:val="center"/>
            </w:pPr>
            <w:r>
              <w:rPr>
                <w:rFonts w:ascii="宋体" w:hAnsi="宋体" w:eastAsia="宋体"/>
                <w:sz w:val="16"/>
              </w:rPr>
              <w:t>98.42%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D64CF">
            <w:pPr>
              <w:jc w:val="center"/>
            </w:pPr>
            <w:r>
              <w:rPr>
                <w:rFonts w:ascii="宋体" w:hAnsi="宋体" w:eastAsia="宋体"/>
                <w:sz w:val="16"/>
              </w:rPr>
              <w:t>9.61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B3F54">
            <w:pPr>
              <w:jc w:val="center"/>
            </w:pPr>
            <w:r>
              <w:rPr>
                <w:rFonts w:ascii="宋体" w:hAnsi="宋体" w:eastAsia="宋体"/>
                <w:sz w:val="16"/>
              </w:rPr>
              <w:t>因存在年初根据上年度支付数据测算，未考虑今年工资变动增减的实际情况，导致测算金额不够精准。今后我局将严肃计算要求，对资金计算考虑清楚可能发生的情况，确保资金计算精准。</w:t>
            </w:r>
          </w:p>
        </w:tc>
      </w:tr>
      <w:tr w14:paraId="26D9BC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CD6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D3D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4FA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4E612">
            <w:pPr>
              <w:jc w:val="center"/>
            </w:pPr>
            <w:r>
              <w:rPr>
                <w:rFonts w:ascii="宋体" w:hAnsi="宋体" w:eastAsia="宋体"/>
                <w:sz w:val="16"/>
              </w:rPr>
              <w:t>发放职业年金成本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19763">
            <w:pPr>
              <w:jc w:val="center"/>
            </w:pPr>
            <w:r>
              <w:rPr>
                <w:rFonts w:ascii="宋体" w:hAnsi="宋体" w:eastAsia="宋体"/>
                <w:sz w:val="16"/>
              </w:rPr>
              <w:t>&lt;=21.20万元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B3A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653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28E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72B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1F1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C0FEE">
            <w:pPr>
              <w:jc w:val="center"/>
            </w:pPr>
            <w:r>
              <w:rPr>
                <w:rFonts w:ascii="宋体" w:hAnsi="宋体" w:eastAsia="宋体"/>
                <w:sz w:val="16"/>
              </w:rPr>
              <w:t>=12.41万元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65CF5">
            <w:pPr>
              <w:jc w:val="center"/>
            </w:pPr>
            <w:r>
              <w:rPr>
                <w:rFonts w:ascii="宋体" w:hAnsi="宋体" w:eastAsia="宋体"/>
                <w:sz w:val="16"/>
              </w:rPr>
              <w:t>58.58%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A747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54432">
            <w:pPr>
              <w:jc w:val="center"/>
            </w:pPr>
            <w:r>
              <w:rPr>
                <w:rFonts w:ascii="宋体" w:hAnsi="宋体" w:eastAsia="宋体"/>
                <w:sz w:val="16"/>
              </w:rPr>
              <w:t>因</w:t>
            </w:r>
            <w:r>
              <w:rPr>
                <w:rFonts w:hint="eastAsia" w:ascii="宋体" w:hAnsi="宋体"/>
                <w:sz w:val="16"/>
                <w:lang w:eastAsia="zh-CN"/>
              </w:rPr>
              <w:t>在</w:t>
            </w:r>
            <w:r>
              <w:rPr>
                <w:rFonts w:ascii="宋体" w:hAnsi="宋体" w:eastAsia="宋体"/>
                <w:sz w:val="16"/>
              </w:rPr>
              <w:t>年初根据社保局提供数据测算并预留了滞纳金和利息，导致测算金额不够精准。今后我局将严肃计算要求，对资金计算考虑清楚可能发生的情况，确保资金计算精准</w:t>
            </w:r>
          </w:p>
        </w:tc>
      </w:tr>
      <w:tr w14:paraId="1C9E49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38E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BACB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1F38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2FB20">
            <w:pPr>
              <w:jc w:val="center"/>
            </w:pPr>
            <w:r>
              <w:rPr>
                <w:rFonts w:ascii="宋体" w:hAnsi="宋体" w:eastAsia="宋体"/>
                <w:sz w:val="16"/>
              </w:rPr>
              <w:t>提升人员工作效率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9876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5A8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884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EE44C">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662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C89C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3A97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2C4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C5E0">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53B22">
            <w:pPr>
              <w:jc w:val="center"/>
            </w:pPr>
          </w:p>
        </w:tc>
      </w:tr>
      <w:tr w14:paraId="59FDACF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8DE04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8708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77B9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960E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B5D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8309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3C61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15C1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C2FA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BE8EC">
            <w:pPr>
              <w:jc w:val="center"/>
            </w:pPr>
            <w:r>
              <w:rPr>
                <w:rFonts w:ascii="宋体" w:hAnsi="宋体" w:eastAsia="宋体"/>
                <w:sz w:val="16"/>
              </w:rPr>
              <w:t>84.41分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891E5D"/>
        </w:tc>
      </w:tr>
    </w:tbl>
    <w:p w14:paraId="00E3579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32"/>
        <w:gridCol w:w="632"/>
      </w:tblGrid>
      <w:tr w14:paraId="7987DAB4">
        <w:tblPrEx>
          <w:tblCellMar>
            <w:top w:w="0" w:type="dxa"/>
            <w:left w:w="108" w:type="dxa"/>
            <w:bottom w:w="0" w:type="dxa"/>
            <w:right w:w="108" w:type="dxa"/>
          </w:tblCellMar>
        </w:tblPrEx>
        <w:tc>
          <w:tcPr>
            <w:tcW w:w="8848" w:type="dxa"/>
            <w:gridSpan w:val="14"/>
            <w:vAlign w:val="center"/>
          </w:tcPr>
          <w:p w14:paraId="400AECFA">
            <w:pPr>
              <w:jc w:val="center"/>
            </w:pPr>
            <w:r>
              <w:rPr>
                <w:rFonts w:ascii="宋体" w:hAnsi="宋体" w:eastAsia="宋体"/>
                <w:sz w:val="24"/>
              </w:rPr>
              <w:t>项目支出绩效自评表</w:t>
            </w:r>
          </w:p>
        </w:tc>
      </w:tr>
      <w:tr w14:paraId="7C247462">
        <w:tblPrEx>
          <w:tblCellMar>
            <w:top w:w="0" w:type="dxa"/>
            <w:left w:w="108" w:type="dxa"/>
            <w:bottom w:w="0" w:type="dxa"/>
            <w:right w:w="108" w:type="dxa"/>
          </w:tblCellMar>
        </w:tblPrEx>
        <w:tc>
          <w:tcPr>
            <w:tcW w:w="8848" w:type="dxa"/>
            <w:gridSpan w:val="14"/>
            <w:vAlign w:val="center"/>
          </w:tcPr>
          <w:p w14:paraId="5ECAF4A0">
            <w:pPr>
              <w:jc w:val="center"/>
            </w:pPr>
            <w:r>
              <w:rPr>
                <w:rFonts w:ascii="宋体" w:hAnsi="宋体" w:eastAsia="宋体"/>
                <w:sz w:val="24"/>
              </w:rPr>
              <w:t>(2024年度)</w:t>
            </w:r>
          </w:p>
        </w:tc>
      </w:tr>
      <w:tr w14:paraId="078A88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850C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05856C">
            <w:pPr>
              <w:jc w:val="center"/>
            </w:pPr>
            <w:r>
              <w:rPr>
                <w:rFonts w:ascii="宋体" w:hAnsi="宋体" w:eastAsia="宋体"/>
                <w:sz w:val="16"/>
              </w:rPr>
              <w:t>海事监督管理和交通执法项目</w:t>
            </w:r>
          </w:p>
        </w:tc>
      </w:tr>
      <w:tr w14:paraId="5ACA4E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DACC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53DC96">
            <w:pPr>
              <w:jc w:val="center"/>
            </w:pPr>
            <w:r>
              <w:rPr>
                <w:rFonts w:ascii="宋体" w:hAnsi="宋体" w:eastAsia="宋体"/>
                <w:sz w:val="16"/>
              </w:rPr>
              <w:t>新疆巴音郭楞蒙古自治州交通运输综合行政执法局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99ED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32479E">
            <w:pPr>
              <w:jc w:val="center"/>
            </w:pPr>
            <w:r>
              <w:rPr>
                <w:rFonts w:ascii="宋体" w:hAnsi="宋体" w:eastAsia="宋体"/>
                <w:sz w:val="16"/>
              </w:rPr>
              <w:t>新疆巴音郭楞蒙古自治州交通运输综合行政执法局</w:t>
            </w:r>
          </w:p>
        </w:tc>
      </w:tr>
      <w:tr w14:paraId="0069CE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B115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FFC2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221F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2FC1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4190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EB83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B02F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A5643">
            <w:pPr>
              <w:jc w:val="center"/>
            </w:pPr>
            <w:r>
              <w:rPr>
                <w:rFonts w:ascii="宋体" w:hAnsi="宋体" w:eastAsia="宋体"/>
                <w:sz w:val="16"/>
              </w:rPr>
              <w:t>得分</w:t>
            </w:r>
          </w:p>
        </w:tc>
      </w:tr>
      <w:tr w14:paraId="7DAF1F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C1DF2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7823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CCAF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AA05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4A55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66E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AE19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F7265">
            <w:pPr>
              <w:jc w:val="center"/>
            </w:pPr>
            <w:r>
              <w:rPr>
                <w:rFonts w:ascii="宋体" w:hAnsi="宋体" w:eastAsia="宋体"/>
                <w:sz w:val="16"/>
              </w:rPr>
              <w:t>10.00</w:t>
            </w:r>
          </w:p>
        </w:tc>
      </w:tr>
      <w:tr w14:paraId="7F5D79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E9C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0550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DE90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1B78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F432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4A8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80B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D443E">
            <w:pPr>
              <w:jc w:val="center"/>
            </w:pPr>
            <w:r>
              <w:rPr>
                <w:rFonts w:ascii="宋体" w:hAnsi="宋体" w:eastAsia="宋体"/>
                <w:sz w:val="16"/>
              </w:rPr>
              <w:t>-</w:t>
            </w:r>
          </w:p>
        </w:tc>
      </w:tr>
      <w:tr w14:paraId="78437C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2E4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67AA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5F6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DED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F0D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93F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4FD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9A5FC">
            <w:pPr>
              <w:jc w:val="center"/>
            </w:pPr>
            <w:r>
              <w:rPr>
                <w:rFonts w:ascii="宋体" w:hAnsi="宋体" w:eastAsia="宋体"/>
                <w:sz w:val="16"/>
              </w:rPr>
              <w:t>-</w:t>
            </w:r>
          </w:p>
        </w:tc>
      </w:tr>
      <w:tr w14:paraId="1E88C6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E2839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3D833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6BCBA3">
            <w:pPr>
              <w:jc w:val="center"/>
            </w:pPr>
            <w:r>
              <w:rPr>
                <w:rFonts w:ascii="宋体" w:hAnsi="宋体" w:eastAsia="宋体"/>
                <w:sz w:val="16"/>
              </w:rPr>
              <w:t>总体目标完成情况</w:t>
            </w:r>
          </w:p>
        </w:tc>
      </w:tr>
      <w:tr w14:paraId="3C6E33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F030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888799">
            <w:pPr>
              <w:jc w:val="both"/>
            </w:pPr>
            <w:r>
              <w:rPr>
                <w:rFonts w:ascii="宋体" w:hAnsi="宋体" w:eastAsia="宋体"/>
                <w:sz w:val="16"/>
              </w:rPr>
              <w:t>贯彻和执行国家和地方有关水上交通安全等方面的法律、法规和规范，</w:t>
            </w:r>
            <w:r>
              <w:rPr>
                <w:rFonts w:hint="eastAsia" w:ascii="宋体" w:hAnsi="宋体"/>
                <w:sz w:val="16"/>
                <w:lang w:eastAsia="zh-CN"/>
              </w:rPr>
              <w:t>维护国家利益</w:t>
            </w:r>
            <w:r>
              <w:rPr>
                <w:rFonts w:ascii="宋体" w:hAnsi="宋体" w:eastAsia="宋体"/>
                <w:sz w:val="16"/>
              </w:rPr>
              <w:t>；保证执法工作高效有序开展，保障道路运输安全，维护道路运输市场秩序。对交通枢纽场站、旅游景区、农村地区等客流集中区域“黑车”等违法行为进行专项治理，坚决打击非法营运违法行为，做好重点水域、重点船，全力保障水上运输安全，加大水上知识宣传力度。派出执法人员进行全年不间断执法检查，全年执法检查200次并完成相关检查报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0D2D61">
            <w:pPr>
              <w:jc w:val="both"/>
            </w:pPr>
            <w:r>
              <w:rPr>
                <w:rFonts w:ascii="宋体" w:hAnsi="宋体" w:eastAsia="宋体"/>
                <w:sz w:val="16"/>
              </w:rPr>
              <w:t>完成船舶年度检验，下水船舶</w:t>
            </w:r>
            <w:r>
              <w:rPr>
                <w:rFonts w:hint="eastAsia" w:ascii="宋体" w:hAnsi="宋体"/>
                <w:sz w:val="16"/>
                <w:lang w:eastAsia="zh-CN"/>
              </w:rPr>
              <w:t>执法</w:t>
            </w:r>
            <w:r>
              <w:rPr>
                <w:rFonts w:ascii="宋体" w:hAnsi="宋体" w:eastAsia="宋体"/>
                <w:sz w:val="16"/>
              </w:rPr>
              <w:t>检查，做好重点水域、重点船，全力保障水上运输安全，对旅游码头、水上运输企业、交通枢纽场站、全州“两客一危”道路运输企业，派出41名执法人员进行全年不间断安全生产执法检查，全年执法检查193次,已全部整改形成闭环管理，整改率100%。</w:t>
            </w:r>
          </w:p>
        </w:tc>
      </w:tr>
      <w:tr w14:paraId="5BE687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0CF6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DE70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7924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1461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BD37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7239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7CE4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3DA4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4DA4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2004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67EB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D8E2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54EC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0BD0C">
            <w:pPr>
              <w:jc w:val="center"/>
            </w:pPr>
            <w:r>
              <w:rPr>
                <w:rFonts w:ascii="宋体" w:hAnsi="宋体" w:eastAsia="宋体"/>
                <w:sz w:val="16"/>
              </w:rPr>
              <w:t>偏差原因分析及改进措施</w:t>
            </w:r>
          </w:p>
        </w:tc>
      </w:tr>
      <w:tr w14:paraId="5D9D6D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3FFB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226CF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EBDDF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46530">
            <w:pPr>
              <w:jc w:val="center"/>
            </w:pPr>
            <w:r>
              <w:rPr>
                <w:rFonts w:ascii="宋体" w:hAnsi="宋体" w:eastAsia="宋体"/>
                <w:sz w:val="16"/>
              </w:rPr>
              <w:t>执法检查频次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E4DC6">
            <w:pPr>
              <w:jc w:val="center"/>
            </w:pPr>
            <w:r>
              <w:rPr>
                <w:rFonts w:ascii="宋体" w:hAnsi="宋体" w:eastAsia="宋体"/>
                <w:sz w:val="16"/>
              </w:rPr>
              <w:t>&gt;=200次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467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911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589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3A1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A25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B22C4">
            <w:pPr>
              <w:jc w:val="center"/>
            </w:pPr>
            <w:r>
              <w:rPr>
                <w:rFonts w:ascii="宋体" w:hAnsi="宋体" w:eastAsia="宋体"/>
                <w:sz w:val="16"/>
              </w:rPr>
              <w:t>=193次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18FB3">
            <w:pPr>
              <w:jc w:val="center"/>
            </w:pPr>
            <w:r>
              <w:rPr>
                <w:rFonts w:ascii="宋体" w:hAnsi="宋体" w:eastAsia="宋体"/>
                <w:sz w:val="16"/>
              </w:rPr>
              <w:t>96.5%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305E6">
            <w:pPr>
              <w:jc w:val="center"/>
            </w:pPr>
            <w:r>
              <w:rPr>
                <w:rFonts w:ascii="宋体" w:hAnsi="宋体" w:eastAsia="宋体"/>
                <w:sz w:val="16"/>
              </w:rPr>
              <w:t>9.13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B1AFE">
            <w:pPr>
              <w:jc w:val="center"/>
            </w:pPr>
            <w:r>
              <w:rPr>
                <w:rFonts w:ascii="宋体" w:hAnsi="宋体" w:eastAsia="宋体"/>
                <w:sz w:val="16"/>
              </w:rPr>
              <w:t>因全年实际执法检查天数193天次，与年初设定目标值200次有偏差，未达到执法年初设定目标，今后我局将</w:t>
            </w:r>
            <w:r>
              <w:rPr>
                <w:rFonts w:hint="eastAsia" w:ascii="宋体" w:hAnsi="宋体"/>
                <w:sz w:val="16"/>
                <w:lang w:eastAsia="zh-CN"/>
              </w:rPr>
              <w:t>加强</w:t>
            </w:r>
            <w:r>
              <w:rPr>
                <w:rFonts w:ascii="宋体" w:hAnsi="宋体" w:eastAsia="宋体"/>
                <w:sz w:val="16"/>
              </w:rPr>
              <w:t>执法检查频次，规范检查行为，确保全州交通运输市场和谐稳定。</w:t>
            </w:r>
          </w:p>
        </w:tc>
      </w:tr>
      <w:tr w14:paraId="6D9556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8B0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D5A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797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50058">
            <w:pPr>
              <w:jc w:val="center"/>
            </w:pPr>
            <w:r>
              <w:rPr>
                <w:rFonts w:ascii="宋体" w:hAnsi="宋体" w:eastAsia="宋体"/>
                <w:sz w:val="16"/>
              </w:rPr>
              <w:t>完成检查报告数量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7F161">
            <w:pPr>
              <w:jc w:val="center"/>
            </w:pPr>
            <w:r>
              <w:rPr>
                <w:rFonts w:ascii="宋体" w:hAnsi="宋体" w:eastAsia="宋体"/>
                <w:sz w:val="16"/>
              </w:rPr>
              <w:t>&gt;=200个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EBA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1EF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050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2C6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713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71A51">
            <w:pPr>
              <w:jc w:val="center"/>
            </w:pPr>
            <w:r>
              <w:rPr>
                <w:rFonts w:ascii="宋体" w:hAnsi="宋体" w:eastAsia="宋体"/>
                <w:sz w:val="16"/>
              </w:rPr>
              <w:t>=193个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DE212">
            <w:pPr>
              <w:jc w:val="center"/>
            </w:pPr>
            <w:r>
              <w:rPr>
                <w:rFonts w:ascii="宋体" w:hAnsi="宋体" w:eastAsia="宋体"/>
                <w:sz w:val="16"/>
              </w:rPr>
              <w:t>96.5%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C8C92">
            <w:pPr>
              <w:jc w:val="center"/>
            </w:pPr>
            <w:r>
              <w:rPr>
                <w:rFonts w:ascii="宋体" w:hAnsi="宋体" w:eastAsia="宋体"/>
                <w:sz w:val="16"/>
              </w:rPr>
              <w:t>9.13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73554">
            <w:pPr>
              <w:jc w:val="center"/>
            </w:pPr>
            <w:r>
              <w:rPr>
                <w:rFonts w:ascii="宋体" w:hAnsi="宋体" w:eastAsia="宋体"/>
                <w:sz w:val="16"/>
              </w:rPr>
              <w:t>因全年实际执法检查天数193天次，与年初设定目标值200次有偏差，未达到执法年初设定目标，今后我局将</w:t>
            </w:r>
            <w:r>
              <w:rPr>
                <w:rFonts w:hint="eastAsia" w:ascii="宋体" w:hAnsi="宋体"/>
                <w:sz w:val="16"/>
                <w:lang w:eastAsia="zh-CN"/>
              </w:rPr>
              <w:t>加强</w:t>
            </w:r>
            <w:r>
              <w:rPr>
                <w:rFonts w:ascii="宋体" w:hAnsi="宋体" w:eastAsia="宋体"/>
                <w:sz w:val="16"/>
              </w:rPr>
              <w:t>执法检查频次，规范检查行为，确保全州交通运输市场和谐稳定。</w:t>
            </w:r>
          </w:p>
        </w:tc>
      </w:tr>
      <w:tr w14:paraId="70A4CB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8EB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E19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DF50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CBD86">
            <w:pPr>
              <w:jc w:val="center"/>
            </w:pPr>
            <w:r>
              <w:rPr>
                <w:rFonts w:ascii="宋体" w:hAnsi="宋体" w:eastAsia="宋体"/>
                <w:sz w:val="16"/>
              </w:rPr>
              <w:t>执法检查覆盖率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5B09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67A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6CF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D0F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AD5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B7EA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3AB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891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FF9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22FA8">
            <w:pPr>
              <w:jc w:val="center"/>
            </w:pPr>
            <w:r>
              <w:rPr>
                <w:rFonts w:ascii="宋体" w:hAnsi="宋体" w:eastAsia="宋体"/>
                <w:sz w:val="16"/>
              </w:rPr>
              <w:t>因该工作完成较好，监督检查全覆盖，圆满</w:t>
            </w:r>
            <w:r>
              <w:rPr>
                <w:rFonts w:hint="eastAsia" w:ascii="宋体" w:hAnsi="宋体"/>
                <w:sz w:val="16"/>
                <w:lang w:eastAsia="zh-CN"/>
              </w:rPr>
              <w:t>地</w:t>
            </w:r>
            <w:r>
              <w:rPr>
                <w:rFonts w:ascii="宋体" w:hAnsi="宋体" w:eastAsia="宋体"/>
                <w:sz w:val="16"/>
              </w:rPr>
              <w:t>完成了工作任务。</w:t>
            </w:r>
          </w:p>
        </w:tc>
      </w:tr>
      <w:tr w14:paraId="7BD57B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AB9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C96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D776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5E47B">
            <w:pPr>
              <w:jc w:val="center"/>
            </w:pPr>
            <w:r>
              <w:rPr>
                <w:rFonts w:ascii="宋体" w:hAnsi="宋体" w:eastAsia="宋体"/>
                <w:sz w:val="16"/>
              </w:rPr>
              <w:t>年度检查任务按时完成率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28C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B7B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33B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2D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596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1D61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E51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B6D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D29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B777C">
            <w:pPr>
              <w:jc w:val="center"/>
            </w:pPr>
            <w:r>
              <w:rPr>
                <w:rFonts w:ascii="宋体" w:hAnsi="宋体" w:eastAsia="宋体"/>
                <w:sz w:val="16"/>
              </w:rPr>
              <w:t>因该工作完成较好，年度检查超额完成检查任务，圆满</w:t>
            </w:r>
            <w:r>
              <w:rPr>
                <w:rFonts w:hint="eastAsia" w:ascii="宋体" w:hAnsi="宋体"/>
                <w:sz w:val="16"/>
                <w:lang w:eastAsia="zh-CN"/>
              </w:rPr>
              <w:t>地</w:t>
            </w:r>
            <w:r>
              <w:rPr>
                <w:rFonts w:ascii="宋体" w:hAnsi="宋体" w:eastAsia="宋体"/>
                <w:sz w:val="16"/>
              </w:rPr>
              <w:t>完成了工作任务。</w:t>
            </w:r>
          </w:p>
        </w:tc>
      </w:tr>
      <w:tr w14:paraId="61CDE5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9F9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DCEA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4BB9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30E5C">
            <w:pPr>
              <w:jc w:val="center"/>
            </w:pPr>
            <w:r>
              <w:rPr>
                <w:rFonts w:ascii="宋体" w:hAnsi="宋体" w:eastAsia="宋体"/>
                <w:sz w:val="16"/>
              </w:rPr>
              <w:t>每次执法检查成本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34771">
            <w:pPr>
              <w:jc w:val="center"/>
            </w:pPr>
            <w:r>
              <w:rPr>
                <w:rFonts w:ascii="宋体" w:hAnsi="宋体" w:eastAsia="宋体"/>
                <w:sz w:val="16"/>
              </w:rPr>
              <w:t>&lt;=500元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2C0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5D5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313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8F1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575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2D2C8">
            <w:pPr>
              <w:jc w:val="center"/>
            </w:pPr>
            <w:r>
              <w:rPr>
                <w:rFonts w:ascii="宋体" w:hAnsi="宋体" w:eastAsia="宋体"/>
                <w:sz w:val="16"/>
              </w:rPr>
              <w:t>=518.13元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5C30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1D39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487C8">
            <w:pPr>
              <w:jc w:val="center"/>
            </w:pPr>
            <w:r>
              <w:rPr>
                <w:rFonts w:ascii="宋体" w:hAnsi="宋体" w:eastAsia="宋体"/>
                <w:sz w:val="16"/>
              </w:rPr>
              <w:t>因全年实际执法检查天数193天次，与年初设定目标值200次有偏差，未达到执法年初设定目标，今后我局将</w:t>
            </w:r>
            <w:r>
              <w:rPr>
                <w:rFonts w:hint="eastAsia" w:ascii="宋体" w:hAnsi="宋体"/>
                <w:sz w:val="16"/>
                <w:lang w:eastAsia="zh-CN"/>
              </w:rPr>
              <w:t>加大</w:t>
            </w:r>
            <w:r>
              <w:rPr>
                <w:rFonts w:ascii="宋体" w:hAnsi="宋体" w:eastAsia="宋体"/>
                <w:sz w:val="16"/>
              </w:rPr>
              <w:t>执法检查频次，规范年初执法检查成本计算，确保此类情况不再发生。</w:t>
            </w:r>
          </w:p>
        </w:tc>
      </w:tr>
      <w:tr w14:paraId="5D86EA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002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4C5BE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57DB8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23D74">
            <w:pPr>
              <w:jc w:val="center"/>
            </w:pPr>
            <w:r>
              <w:rPr>
                <w:rFonts w:ascii="宋体" w:hAnsi="宋体" w:eastAsia="宋体"/>
                <w:sz w:val="16"/>
              </w:rPr>
              <w:t>检查结果公开率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F3DE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8C3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5C8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E0F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52E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8FCA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3CB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97E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E8B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7AF8E">
            <w:pPr>
              <w:jc w:val="center"/>
            </w:pPr>
            <w:r>
              <w:rPr>
                <w:rFonts w:ascii="宋体" w:hAnsi="宋体" w:eastAsia="宋体"/>
                <w:sz w:val="16"/>
              </w:rPr>
              <w:t>因该工作完成较好，检查结果全部公示公开，完成整改，促进了巴州交通运输行业更加稳定。</w:t>
            </w:r>
          </w:p>
        </w:tc>
      </w:tr>
      <w:tr w14:paraId="19779C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717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941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3CC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775A8">
            <w:pPr>
              <w:jc w:val="center"/>
            </w:pPr>
            <w:r>
              <w:rPr>
                <w:rFonts w:ascii="宋体" w:hAnsi="宋体" w:eastAsia="宋体"/>
                <w:sz w:val="16"/>
              </w:rPr>
              <w:t>问题整改落实率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E2F7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BCB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8C2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94E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C67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65A7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FCF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4AF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432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DE8DF">
            <w:pPr>
              <w:jc w:val="center"/>
            </w:pPr>
            <w:r>
              <w:rPr>
                <w:rFonts w:ascii="宋体" w:hAnsi="宋体" w:eastAsia="宋体"/>
                <w:sz w:val="16"/>
              </w:rPr>
              <w:t>因该工作完成较好，所有检查问题全部整改完毕形成了</w:t>
            </w:r>
            <w:r>
              <w:rPr>
                <w:rFonts w:hint="eastAsia" w:ascii="宋体" w:hAnsi="宋体"/>
                <w:sz w:val="16"/>
                <w:lang w:eastAsia="zh-CN"/>
              </w:rPr>
              <w:t>闭环</w:t>
            </w:r>
            <w:r>
              <w:rPr>
                <w:rFonts w:ascii="宋体" w:hAnsi="宋体" w:eastAsia="宋体"/>
                <w:sz w:val="16"/>
              </w:rPr>
              <w:t>管理，促进了巴州交通运输行业更加稳定。</w:t>
            </w:r>
          </w:p>
        </w:tc>
      </w:tr>
      <w:tr w14:paraId="4B34F3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860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8EE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FC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E34C6">
            <w:pPr>
              <w:jc w:val="center"/>
            </w:pPr>
            <w:r>
              <w:rPr>
                <w:rFonts w:ascii="宋体" w:hAnsi="宋体" w:eastAsia="宋体"/>
                <w:sz w:val="16"/>
              </w:rPr>
              <w:t>执法人员被投诉次数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474CB">
            <w:pPr>
              <w:jc w:val="center"/>
            </w:pPr>
            <w:r>
              <w:rPr>
                <w:rFonts w:ascii="宋体" w:hAnsi="宋体" w:eastAsia="宋体"/>
                <w:sz w:val="16"/>
              </w:rPr>
              <w:t>&lt;=1次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38A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BEC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994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AD41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0CB6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32F33">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37B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CD7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93541">
            <w:pPr>
              <w:jc w:val="center"/>
            </w:pPr>
          </w:p>
        </w:tc>
      </w:tr>
      <w:tr w14:paraId="5D1C16A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57F40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BE4F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9296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EECE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31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4D2A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37D8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A0D7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18EF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141A1">
            <w:pPr>
              <w:jc w:val="center"/>
            </w:pPr>
            <w:r>
              <w:rPr>
                <w:rFonts w:ascii="宋体" w:hAnsi="宋体" w:eastAsia="宋体"/>
                <w:sz w:val="16"/>
              </w:rPr>
              <w:t>78.26分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1DFF07"/>
        </w:tc>
      </w:tr>
    </w:tbl>
    <w:p w14:paraId="63BF5ECD">
      <w:r>
        <w:br w:type="page"/>
      </w:r>
    </w:p>
    <w:p w14:paraId="6138ACE4">
      <w:pPr>
        <w:spacing w:line="640" w:lineRule="exact"/>
        <w:ind w:firstLine="640"/>
        <w:jc w:val="both"/>
        <w:outlineLvl w:val="2"/>
      </w:pPr>
      <w:r>
        <w:rPr>
          <w:rFonts w:ascii="黑体" w:hAnsi="黑体" w:eastAsia="黑体"/>
          <w:sz w:val="32"/>
        </w:rPr>
        <w:t>十二、其他需说明的事项</w:t>
      </w:r>
    </w:p>
    <w:p w14:paraId="060DCFD8">
      <w:pPr>
        <w:spacing w:line="580" w:lineRule="exact"/>
        <w:ind w:firstLine="640"/>
        <w:jc w:val="both"/>
      </w:pPr>
      <w:r>
        <w:rPr>
          <w:rFonts w:ascii="仿宋_GB2312" w:hAnsi="仿宋_GB2312" w:eastAsia="仿宋_GB2312"/>
          <w:b w:val="0"/>
          <w:sz w:val="32"/>
        </w:rPr>
        <w:t>本年度本单位整体绩效自评表由主管部门编报并公开。</w:t>
      </w:r>
    </w:p>
    <w:p w14:paraId="080516A2">
      <w:r>
        <w:br w:type="page"/>
      </w:r>
    </w:p>
    <w:p w14:paraId="17648AF6">
      <w:pPr>
        <w:spacing w:line="240" w:lineRule="auto"/>
        <w:jc w:val="center"/>
        <w:outlineLvl w:val="1"/>
      </w:pPr>
      <w:r>
        <w:rPr>
          <w:rFonts w:ascii="黑体" w:hAnsi="黑体" w:eastAsia="黑体"/>
          <w:sz w:val="32"/>
        </w:rPr>
        <w:t>第三部分 专业名词解释</w:t>
      </w:r>
    </w:p>
    <w:p w14:paraId="45E4AB9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FF5EFE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56C467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2511B0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8A04F9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95580B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015E9F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EC7BE6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43CDCC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42A36B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CAE4E8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72FCD3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EE617B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0CAFB0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CC1F74D">
      <w:r>
        <w:br w:type="page"/>
      </w:r>
    </w:p>
    <w:p w14:paraId="348F8659">
      <w:pPr>
        <w:spacing w:line="240" w:lineRule="auto"/>
        <w:jc w:val="center"/>
        <w:outlineLvl w:val="1"/>
      </w:pPr>
      <w:r>
        <w:rPr>
          <w:rFonts w:ascii="黑体" w:hAnsi="黑体" w:eastAsia="黑体"/>
          <w:sz w:val="32"/>
        </w:rPr>
        <w:t>第四部分 部门决算报表（见附表）</w:t>
      </w:r>
    </w:p>
    <w:p w14:paraId="3F9B8825">
      <w:pPr>
        <w:spacing w:line="240" w:lineRule="auto"/>
        <w:ind w:firstLine="640"/>
        <w:jc w:val="both"/>
      </w:pPr>
      <w:r>
        <w:rPr>
          <w:rFonts w:ascii="仿宋_GB2312" w:hAnsi="仿宋_GB2312" w:eastAsia="仿宋_GB2312"/>
          <w:b w:val="0"/>
          <w:sz w:val="32"/>
        </w:rPr>
        <w:t>一、《收入支出决算总表》</w:t>
      </w:r>
    </w:p>
    <w:p w14:paraId="21F392B2">
      <w:pPr>
        <w:spacing w:line="240" w:lineRule="auto"/>
        <w:ind w:firstLine="640"/>
        <w:jc w:val="both"/>
      </w:pPr>
      <w:r>
        <w:rPr>
          <w:rFonts w:ascii="仿宋_GB2312" w:hAnsi="仿宋_GB2312" w:eastAsia="仿宋_GB2312"/>
          <w:b w:val="0"/>
          <w:sz w:val="32"/>
        </w:rPr>
        <w:t>二、《收入决算表》</w:t>
      </w:r>
    </w:p>
    <w:p w14:paraId="524A318B">
      <w:pPr>
        <w:spacing w:line="240" w:lineRule="auto"/>
        <w:ind w:firstLine="640"/>
        <w:jc w:val="both"/>
      </w:pPr>
      <w:r>
        <w:rPr>
          <w:rFonts w:ascii="仿宋_GB2312" w:hAnsi="仿宋_GB2312" w:eastAsia="仿宋_GB2312"/>
          <w:b w:val="0"/>
          <w:sz w:val="32"/>
        </w:rPr>
        <w:t>三、《支出决算表》</w:t>
      </w:r>
    </w:p>
    <w:p w14:paraId="603BF9E8">
      <w:pPr>
        <w:spacing w:line="240" w:lineRule="auto"/>
        <w:ind w:firstLine="640"/>
        <w:jc w:val="both"/>
      </w:pPr>
      <w:r>
        <w:rPr>
          <w:rFonts w:ascii="仿宋_GB2312" w:hAnsi="仿宋_GB2312" w:eastAsia="仿宋_GB2312"/>
          <w:b w:val="0"/>
          <w:sz w:val="32"/>
        </w:rPr>
        <w:t>四、《财政拨款收入支出决算总表》</w:t>
      </w:r>
    </w:p>
    <w:p w14:paraId="564A8F8B">
      <w:pPr>
        <w:spacing w:line="240" w:lineRule="auto"/>
        <w:ind w:firstLine="640"/>
        <w:jc w:val="both"/>
      </w:pPr>
      <w:r>
        <w:rPr>
          <w:rFonts w:ascii="仿宋_GB2312" w:hAnsi="仿宋_GB2312" w:eastAsia="仿宋_GB2312"/>
          <w:b w:val="0"/>
          <w:sz w:val="32"/>
        </w:rPr>
        <w:t>五、《一般公共预算财政拨款支出决算表》</w:t>
      </w:r>
    </w:p>
    <w:p w14:paraId="5E30E4E9">
      <w:pPr>
        <w:spacing w:line="240" w:lineRule="auto"/>
        <w:ind w:firstLine="640"/>
        <w:jc w:val="both"/>
      </w:pPr>
      <w:r>
        <w:rPr>
          <w:rFonts w:ascii="仿宋_GB2312" w:hAnsi="仿宋_GB2312" w:eastAsia="仿宋_GB2312"/>
          <w:b w:val="0"/>
          <w:sz w:val="32"/>
        </w:rPr>
        <w:t>六、《一般公共预算财政拨款基本支出决算表》</w:t>
      </w:r>
    </w:p>
    <w:p w14:paraId="494FE94C">
      <w:pPr>
        <w:spacing w:line="240" w:lineRule="auto"/>
        <w:ind w:firstLine="640"/>
        <w:jc w:val="both"/>
      </w:pPr>
      <w:r>
        <w:rPr>
          <w:rFonts w:ascii="仿宋_GB2312" w:hAnsi="仿宋_GB2312" w:eastAsia="仿宋_GB2312"/>
          <w:b w:val="0"/>
          <w:sz w:val="32"/>
        </w:rPr>
        <w:t>七、《政府性基金预算财政拨款收入支出决算表》</w:t>
      </w:r>
    </w:p>
    <w:p w14:paraId="1906539C">
      <w:pPr>
        <w:spacing w:line="240" w:lineRule="auto"/>
        <w:ind w:firstLine="640"/>
        <w:jc w:val="both"/>
      </w:pPr>
      <w:r>
        <w:rPr>
          <w:rFonts w:ascii="仿宋_GB2312" w:hAnsi="仿宋_GB2312" w:eastAsia="仿宋_GB2312"/>
          <w:b w:val="0"/>
          <w:sz w:val="32"/>
        </w:rPr>
        <w:t>八、《国有资本经营预算财政拨款收入支出决算表》</w:t>
      </w:r>
    </w:p>
    <w:p w14:paraId="4AD2E73F">
      <w:pPr>
        <w:spacing w:line="240" w:lineRule="auto"/>
        <w:ind w:firstLine="640"/>
        <w:jc w:val="both"/>
      </w:pPr>
      <w:r>
        <w:rPr>
          <w:rFonts w:ascii="仿宋_GB2312" w:hAnsi="仿宋_GB2312" w:eastAsia="仿宋_GB2312"/>
          <w:b w:val="0"/>
          <w:sz w:val="32"/>
        </w:rPr>
        <w:t>九、《财政拨款“三公”经费支出决算表》</w:t>
      </w:r>
    </w:p>
    <w:p w14:paraId="47B2B94B">
      <w:pPr>
        <w:spacing w:line="240" w:lineRule="auto"/>
        <w:ind w:firstLine="640"/>
        <w:jc w:val="both"/>
      </w:pPr>
    </w:p>
    <w:p w14:paraId="201BF29D">
      <w:pPr>
        <w:spacing w:line="240" w:lineRule="auto"/>
        <w:ind w:firstLine="640"/>
        <w:jc w:val="both"/>
      </w:pPr>
    </w:p>
    <w:p w14:paraId="7C65958E">
      <w:pPr>
        <w:spacing w:line="240" w:lineRule="auto"/>
        <w:ind w:firstLine="640"/>
        <w:jc w:val="both"/>
      </w:pPr>
    </w:p>
    <w:p w14:paraId="0413DED3">
      <w:pPr>
        <w:spacing w:line="240" w:lineRule="auto"/>
        <w:ind w:firstLine="640"/>
        <w:jc w:val="both"/>
      </w:pPr>
    </w:p>
    <w:p w14:paraId="7A3BA5D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6DB0A6A"/>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EA70B5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5555</Words>
  <Characters>6275</Characters>
  <Lines>0</Lines>
  <Paragraphs>0</Paragraphs>
  <TotalTime>6</TotalTime>
  <ScaleCrop>false</ScaleCrop>
  <LinksUpToDate>false</LinksUpToDate>
  <CharactersWithSpaces>6283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2025-09-12T03:01:04Z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