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BF2338"/>
    <w:p w14:paraId="4B55A8E9">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FEE032C">
      <w:pPr>
        <w:spacing w:line="540" w:lineRule="exact"/>
        <w:jc w:val="center"/>
        <w:rPr>
          <w:rFonts w:ascii="华文中宋" w:hAnsi="华文中宋" w:eastAsia="华文中宋" w:cs="宋体"/>
          <w:b/>
          <w:kern w:val="0"/>
          <w:sz w:val="52"/>
          <w:szCs w:val="52"/>
        </w:rPr>
      </w:pPr>
    </w:p>
    <w:p w14:paraId="3A03266E">
      <w:pPr>
        <w:spacing w:line="540" w:lineRule="exact"/>
        <w:jc w:val="center"/>
        <w:rPr>
          <w:rFonts w:ascii="华文中宋" w:hAnsi="华文中宋" w:eastAsia="华文中宋" w:cs="宋体"/>
          <w:b/>
          <w:kern w:val="0"/>
          <w:sz w:val="52"/>
          <w:szCs w:val="52"/>
        </w:rPr>
      </w:pPr>
    </w:p>
    <w:p w14:paraId="73CE6B46">
      <w:pPr>
        <w:spacing w:line="540" w:lineRule="exact"/>
        <w:jc w:val="center"/>
        <w:rPr>
          <w:rFonts w:ascii="华文中宋" w:hAnsi="华文中宋" w:eastAsia="华文中宋" w:cs="宋体"/>
          <w:b/>
          <w:kern w:val="0"/>
          <w:sz w:val="52"/>
          <w:szCs w:val="52"/>
        </w:rPr>
      </w:pPr>
    </w:p>
    <w:p w14:paraId="6A75EBE2">
      <w:pPr>
        <w:spacing w:line="540" w:lineRule="exact"/>
        <w:jc w:val="center"/>
        <w:rPr>
          <w:rFonts w:ascii="华文中宋" w:hAnsi="华文中宋" w:eastAsia="华文中宋" w:cs="宋体"/>
          <w:b/>
          <w:kern w:val="0"/>
          <w:sz w:val="52"/>
          <w:szCs w:val="52"/>
        </w:rPr>
      </w:pPr>
    </w:p>
    <w:p w14:paraId="54CB3378">
      <w:pPr>
        <w:spacing w:line="540" w:lineRule="exact"/>
        <w:jc w:val="center"/>
        <w:rPr>
          <w:rFonts w:ascii="华文中宋" w:hAnsi="华文中宋" w:eastAsia="华文中宋" w:cs="宋体"/>
          <w:b/>
          <w:kern w:val="0"/>
          <w:sz w:val="52"/>
          <w:szCs w:val="52"/>
        </w:rPr>
      </w:pPr>
    </w:p>
    <w:p w14:paraId="442B1088">
      <w:pPr>
        <w:spacing w:line="540" w:lineRule="exact"/>
        <w:jc w:val="center"/>
        <w:rPr>
          <w:rFonts w:ascii="华文中宋" w:hAnsi="华文中宋" w:eastAsia="华文中宋" w:cs="宋体"/>
          <w:b/>
          <w:kern w:val="0"/>
          <w:sz w:val="52"/>
          <w:szCs w:val="52"/>
        </w:rPr>
      </w:pPr>
    </w:p>
    <w:p w14:paraId="5B47995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F38C096">
      <w:pPr>
        <w:spacing w:line="540" w:lineRule="exact"/>
        <w:jc w:val="center"/>
        <w:rPr>
          <w:rFonts w:ascii="华文中宋" w:hAnsi="华文中宋" w:eastAsia="华文中宋" w:cs="宋体"/>
          <w:b/>
          <w:kern w:val="0"/>
          <w:sz w:val="52"/>
          <w:szCs w:val="52"/>
        </w:rPr>
      </w:pPr>
    </w:p>
    <w:p w14:paraId="60C598B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332FC8DA">
      <w:pPr>
        <w:spacing w:line="540" w:lineRule="exact"/>
        <w:jc w:val="center"/>
        <w:rPr>
          <w:rFonts w:hAnsi="宋体" w:eastAsia="仿宋_GB2312" w:cs="宋体"/>
          <w:kern w:val="0"/>
          <w:sz w:val="30"/>
          <w:szCs w:val="30"/>
        </w:rPr>
      </w:pPr>
    </w:p>
    <w:p w14:paraId="07A5365F">
      <w:pPr>
        <w:spacing w:line="540" w:lineRule="exact"/>
        <w:jc w:val="center"/>
        <w:rPr>
          <w:rFonts w:hAnsi="宋体" w:eastAsia="仿宋_GB2312" w:cs="宋体"/>
          <w:kern w:val="0"/>
          <w:sz w:val="30"/>
          <w:szCs w:val="30"/>
        </w:rPr>
      </w:pPr>
    </w:p>
    <w:p w14:paraId="6290ADFC">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C1D8559">
      <w:pPr>
        <w:spacing w:line="540" w:lineRule="exact"/>
        <w:jc w:val="center"/>
        <w:rPr>
          <w:rFonts w:hAnsi="宋体" w:eastAsia="仿宋_GB2312" w:cs="宋体"/>
          <w:kern w:val="0"/>
          <w:sz w:val="30"/>
          <w:szCs w:val="30"/>
        </w:rPr>
      </w:pPr>
    </w:p>
    <w:p w14:paraId="7BE6A979">
      <w:pPr>
        <w:spacing w:line="540" w:lineRule="exact"/>
        <w:jc w:val="center"/>
        <w:rPr>
          <w:rFonts w:hAnsi="宋体" w:eastAsia="仿宋_GB2312" w:cs="宋体"/>
          <w:kern w:val="0"/>
          <w:sz w:val="30"/>
          <w:szCs w:val="30"/>
        </w:rPr>
      </w:pPr>
    </w:p>
    <w:p w14:paraId="777E52ED">
      <w:pPr>
        <w:spacing w:line="540" w:lineRule="exact"/>
        <w:jc w:val="center"/>
        <w:rPr>
          <w:rFonts w:hAnsi="宋体" w:eastAsia="仿宋_GB2312" w:cs="宋体"/>
          <w:kern w:val="0"/>
          <w:sz w:val="30"/>
          <w:szCs w:val="30"/>
        </w:rPr>
      </w:pPr>
    </w:p>
    <w:p w14:paraId="29DC40D5">
      <w:pPr>
        <w:spacing w:line="540" w:lineRule="exact"/>
        <w:rPr>
          <w:rFonts w:hAnsi="宋体" w:eastAsia="仿宋_GB2312" w:cs="宋体"/>
          <w:kern w:val="0"/>
          <w:sz w:val="30"/>
          <w:szCs w:val="30"/>
        </w:rPr>
      </w:pPr>
    </w:p>
    <w:p w14:paraId="330BE1E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58A8BF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教育强国推进工程（公共实训基地建设方向）（上年结转）</w:t>
      </w:r>
    </w:p>
    <w:p w14:paraId="1428439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r>
        <w:rPr>
          <w:rStyle w:val="19"/>
          <w:rFonts w:hint="eastAsia" w:ascii="楷体" w:hAnsi="楷体" w:eastAsia="楷体"/>
          <w:spacing w:val="-4"/>
          <w:sz w:val="28"/>
          <w:szCs w:val="28"/>
        </w:rPr>
        <w:t>人力资源和社会保障局</w:t>
      </w:r>
    </w:p>
    <w:p w14:paraId="5CC2222A">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巴音郭楞蒙古自治州人力资源和社会保障局</w:t>
      </w:r>
    </w:p>
    <w:p w14:paraId="015D18A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秦建</w:t>
      </w:r>
    </w:p>
    <w:p w14:paraId="52F5C547">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2025年03月28日</w:t>
      </w:r>
    </w:p>
    <w:p w14:paraId="5DC6FD17">
      <w:pPr>
        <w:spacing w:line="700" w:lineRule="exact"/>
        <w:ind w:firstLine="708" w:firstLineChars="236"/>
        <w:jc w:val="left"/>
        <w:rPr>
          <w:rFonts w:hAnsi="宋体" w:eastAsia="仿宋_GB2312" w:cs="宋体"/>
          <w:kern w:val="0"/>
          <w:sz w:val="30"/>
          <w:szCs w:val="30"/>
        </w:rPr>
      </w:pPr>
    </w:p>
    <w:p w14:paraId="4102A015">
      <w:pPr>
        <w:spacing w:line="540" w:lineRule="exact"/>
        <w:rPr>
          <w:rStyle w:val="19"/>
          <w:rFonts w:ascii="黑体" w:hAnsi="黑体" w:eastAsia="黑体"/>
          <w:b w:val="0"/>
          <w:spacing w:val="-4"/>
          <w:sz w:val="32"/>
          <w:szCs w:val="32"/>
        </w:rPr>
      </w:pPr>
    </w:p>
    <w:p w14:paraId="68F4F68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107FC34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50C1C50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自治区发改委《关于抓紧做好2023年度公共实训基地建设项目中央预算内投资计划编制工作的通知》文件要求，坚持以习近平新时代中国特色社会主义思想为指导，全面贯彻党的二十大精神，以加强人力资源开发利用为主线，以破解结构性就业矛盾为着力点，开展大规模职业技能培训，促进高质量充分就业，切实发挥培训在稳定就业、促进增收等方面的积极作用。为进一步加强巴州的培训载体建设，提升培训服务质量，申请设立巴州公共实训基地，面向主导产业及企业、面向院校、面向社会提供免费培训服务。以全州技能劳动者特别是高技能人才为重点，满足职业技能培训、技能认定和技能竞赛的需要，面向职业教育师资培训和职业院校、培训机构及企业事业单位技能人才培训基地和能够向农民工等重点群体开放。为劳动者提供贴近产业需求的实践平台，最终实现更充分、更高质量的就业。</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按照自治区发改委《关于抓紧做好2023年度公共实训基地建设项目中央预算内投资计划编制工作的通知》文件精神，巴州公共实训基地建设项目，2023年投入资金404万元，2024年投入资金2596万元，项目规划用地4.05亩，建设8013.56平方米综合实训楼一栋，地上五层、框架结构，按照不同行业工艺要求，采用大开间不同跨度的实训教室设计方案，项目建设年限为2年，完工期限为2024年11月底，12月开展竣工验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2023年经发改委审批立项，通过巴州公共交易网进行工程总承包公开招标，库尔勒承安建筑工程有限责任公司中标，合同内容包含设计费、建筑安装工程费、暂列金及其他费用。自2023年10月21日正式开工以来，开展每周工程进展情况调度，根据工程进展情况，提交付款申请、工程量表等申请工程进度款。落实“两个责任落实”保证项目施工进展顺利。主体验收工作已全部完成，2024年12月23日完成各项竣工验收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该项目年初预算数2596万元，全年预算数2596万元，该项目资金已全部落实到位，资金来源为财政拨款。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该项目年初预算数2596万元，全年预算数2596万元，全年执行数1706.71万元，预算执行率为65.74%，主要用于：公共实训基地建设工程款1687.81万元及监理费18.9万元。</w:t>
      </w:r>
    </w:p>
    <w:p w14:paraId="25AA8B2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3DF17BC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自治区发改委《关于抓紧做好2023年度公共实训基地建设项目中央预算内投资计划编制工作的通知》文件精神，建设实训楼1栋，建筑面积约8013.56平方米，保障公共职业技能培训基础设施建设，提升公共职业技能培训基础能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第一季度计划开展五层主体现浇板混凝土浇筑、女儿墙钢筋制作、绑扎施工、一层二次构造钢筋绑扎、二层二次构造钢筋绑扎。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第二季度计划开展一层至三层砖砌体工程、四层砖砌筑、一层至五层墙体电线管安装预埋（其余管线在装修吊顶内）、外墙干挂工程、外墙涂料工程、外架拆除工程。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第三季度计划开展楼层电线安装工程、电梯进场安装、室内消防安装工程外架拆除工程。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四季度计划开展室内贴砖工程、内墙涂料工程、楼层电线安装工程、室内消防安装工程、室外管网安装工程、室内门安装工程、玻璃安装、室外地坪绿化工程、卫生间装修工程、围墙工程。12月开展主体竣工验收、管网竣工验收。</w:t>
      </w:r>
    </w:p>
    <w:p w14:paraId="0483236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6836421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456B487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对于本年度建设工程主要为主体建设，暂不能投入使用，故仅涵盖质量指标、时效指标、经济成本指标等维度，力求全方位反映项目的主体建设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部门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质量指标、时效指标、经济成本指标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教育强国推进工程（公共实训基地建设方向）（上年结转）及其预算执行情况。该项目由巴音郭楞蒙古自治州人力资源和社会保障局负责实施，旨在保障公共职业技能培训基础设施建设，提升公共职业技能培训基础能力。项目预算涵盖从2024年1月至2024年12月的全部资金投入与支出，涉及资金总额为2596万元。包括：本年度工程进度款、监理费用、基础功能完善费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（4）社会影响：考察项目对社会效益方面的综合影响。因实训基地处于建设阶段，不满足培训工作要求，故此项指标只考虑建设工程是否正常运转，资金的使用是否正常等。</w:t>
      </w:r>
    </w:p>
    <w:p w14:paraId="23FE431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22813E8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（4）公开透明。绩效评价结果应依法依规公开，并自觉接受社会监督。我部门按照部门预决算公开工作要求，在巴音郭楞蒙古自治州人民政府网公开相关信息。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因素分析法，因实训基地处于建设阶段，不满足培训工作要求，故本年度项目实施情况只考虑建设工程是否正常运转，资金的使用是否正常等。根据项目文件要求，按照基建工程承包合同内容实施具体过程，按照施工设计图纸完成基建工程建设，按照培训工作要求实施建设工程人性化设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此项目根据自治区发改委《关于抓紧做好2023年度公共实训基地建设项目中央预算内投资计划编制工作的通知》文件实施。参照自治区资金文件要求设计制定项目的目标、计划、预算、定额等作为评价标准。</w:t>
      </w:r>
    </w:p>
    <w:p w14:paraId="69B5EAA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1C316E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小组成员由人社局党组及职业能力建设科，联合库尔勒市技工学校组成，确保从多角度、全方位对项目绩效进行评价。同时，明确评价是为了评估项目实施效果、提升资源利用效率、强化项目管理责任、为决策提供支持、促进项目持续改进。确定评价对象是整个在建工程主体建设的过程，制定了详细的工作计划，为评价工作的顺利开展奠定了坚实基础。一是整理收集项目资金收支、预算执行等财务数据，选择项目管理专业人员，从项目整体运作角度把控评价方向；二是结合年度竣工验收报告开展工程质量评价；三是收集项目立项文件、可行性研究报告、设计方案等，了解项目规划和预期目标，获取项目预算文件、资金拨付记录等，掌握资金情况；四是整理工程进度报告、质量检测报告等，知晓工程进展和质量状况；五是收集行业标准、政策法规等，为评价提供参考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项目总体目标，分解为可量化的年度绩效目标，再细化为产出、成本、效益指标，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资料，工程资料包括可行性研究报告、设计文件、招投标文件、施工图纸等，可获取项目规划、预算、建设标准等基础信息；建设单位能提供项目整体规划、资金筹集、协调管理情况；施工单位可提供施工进度、质量控制、成本支出等数据；监理单位有工程质量、进度监督及问题处理记录。在数据收集过程中，注重数据的质量与完整性，对缺失或异常的数据进行了合理的处理和补充。随后对收集到的数据进行了系统地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依据项目绩效评价指标体系，确定需收集的数据。如针对量化指标，收集开工、各阶段完成及预计竣工时间；针对成本指标，收集预算、实际支出、成本变更等数据；针对质量指标，收集质量验收报告、不合格项记录等在分析过程中，注重数据之间的关联性与逻辑性，深入剖析项目绩效背后的原因，识别出项目实施过程中的优势与不足，为提出有针对性的改进建议提供了依据。将实际数据与预算编制数据对比，评估项目绩效；趋势分析研究数据随时间变化趋势，预测未来情况；结构分析探究各组成部分占比和关系；因素分析找出影响绩效的关键因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简述评价背景目的，强调对项目管理和决策的重要性，介绍项目概况，包括建设单位、规模、周期、投资等基本信息。阐述评价依据的法规、政策和标准，说明评价遵循的科学公正、统筹兼顾、激励约束、公开透明原则。介绍评价指标体系构建过程，包括各维度指标及权重确定，以及采用的成本效益分析、比较法等评价方法，明确数据来源和收集方法。呈现综合评价结果，以评分或评级展示项目绩效水平，从项目决策、过程、产出和效益各方面详细分析评价情况，总结项目优点和亮点，指出存在的问题和不足。针对问题提出具体可行的改进建议，对项目后续发展提出展望。在报告撰写完成后，及时向局党组及施工单位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部门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45913DF7">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1B220A5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教育强国推进工程（公共实训基地建设方向）（上年结转）在安排项目中本级项目个数、建设项目工程建筑面积等方面，达到预期的标准与要求。同时，项目也在实训基地施工过程取得了显著的成效，如项目设计变更率为0%、审计、督查、巡视等指出问题项目比例0%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在项目管理方面，巴音郭楞蒙古自治州人力资源和社会保障局通过有效的规划、组织与协调，项目得以顺利实施，并在预算与时间上保持了良好的控制。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从项目效益的角度来看，本项目实现了预期的社会效益，产生了积极的影响。具体而言，建设工程施工期间发生重大安全事件数量为零，为项目的利益相关者带来了实实在在的利益，保障了项目的安全建设施工。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综上所述，教育强国推进工程（公共实训基地建设方向）（上年结转）在绩效评价中表现出色，达到了项目的预期目标，并在多个方面取得了显著的成效。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94.16分，属于“优”。其中，项目决策类指标权重为20分，得分为20分，得分率为100%。项目过程类指标权重为20分，得分为18.63分，得分率为93.15%。项目产出类指标权重为40分，得分为35.53分，得分率为88.83%。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18.63</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35.53</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94.16</w:t>
      </w:r>
    </w:p>
    <w:p w14:paraId="7390DC12">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23D21B0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034B1BE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根据《关于印发&lt;教育强国推进工程(公共实训基地建设方向)中央预算内投资专项管理办法&gt;的通知》（发改就业规〔2021〕579号）、《关于印发&lt;教育强国推进工程(公共实训基地建设方向)中央预算内投资专项管理办法&gt;的通知》（发改就业规〔2021〕579号）、《巴音郭楞蒙古自治州国民经济和社会发展第十四个五年规划和二〇三五年远景目标纲要》等文件，符合国家法律法规、符合自治区发改委《关于抓紧做好2023年度公共实训基地建设项目中央预算内投资计划编制工作的通知》文件要求，符合行业规划要求，围绕本年度工作重点和工作计划制定经费预算，属于公共财政支持范围。本项目与部门内部其他相关项目不重复。项目可行性研究报告、建设方案、招投标相关资料、工程进度每周调度表等材料根据档案规定进行归档保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自治区发改委《关于抓紧做好2023年度公共实训基地建设项目中央预算内投资计划编制工作的通知》文件要求，严格按照审批流程准备符合要求的文件、材料；根据项目决算依据编制工作计划和经费预算，经过与巴音郭楞蒙古自治州人力资源和社会保障局该项目分管领导沟通、筛选确定经费预算计划，确定最终预算方案。项目的审批文件、材料符合相关要求，项目事前经过必要的可行性研究、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一级指标共4条，二级指标共5条，三级指标共13条，其中量化指标条数共13条，量化率100%，所有绩效指标均通过清晰、可衡量的指标值予以体现，并且做到了与项目目标任务数或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项目预算编制应依据详实可靠的资料，包括项目可行性研究报告、设计方案、工程清单、市场价格信息等。这些依据准确反映项目的建设内容、规模和技术要求。在编制建筑工程预算时，参考详细的施工图纸确定工程量，全面且合理地估算项目建设所需的各项成本，涵盖直接成本，如建筑材料、设备采购、人工费用，确保预算编制有坚实的数据支撑。预算内容与项目的建设内容、规模、进度计划紧密契合。项目建设内容变更时，预算应及时调整。根据项目进度计划，合理安排各阶段资金投入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部门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部门也注重参考项目的建设规划、工程量清单、施工进度计划等资料进行资金安排。依据详细的工程预算明细，明确各部分工程所需资金量，确保资金分配有精确的数据支撑。注重资金的均衡分配，避免出现部分环节资金积压、部分环节资金短缺的情况。合理安排资金在不同阶段、不同子项目间的流动，保证项目整体协调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5146A69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63BC4C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项目过程类指标包括资金管理和组织实施两方面的内容，由5个三级指标构成，权重分值为20分，实际得分18.63分，得分率为93.15%。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本项目总投资2596万元，财政资金及时足额到位，到位率100%，预算资金按计划进度执行。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预算编制较为详细，项目资金支出总体能够按照预算执行，预算资金支出1706.71万元，预算执行率为65.84%。</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此项权重分4分，得分2.63分。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严格按照预期绩效目标执行预算资金。根据关于印发《巴州人力资源和社会保障局财务管理制度（试行）》的通知（巴人社发〔2022〕37号），对项目经费使用进行规范管理，财务制度健全、执行严格。资金的拨付有完整的审批程序和手续，在项目资金拨付和使用过程中，为确保项目资金的安全性，提高项目资金使用效率，严格遵循自治区发改委《关于抓紧做好2023年度公共实训基地建设项目中央预算内投资计划编制工作的通知》文件资金的拨付程序，认真审核项目实施各阶段的相关材料和手续，根据项目实施进展情况拨付资金。资金使用符合该项目的立项批复。资金不存在截留、挤占、挪用、虚列支出等情况。同时，根据《自治区人力资源和社会保障厅等十部门关于印发&lt;新疆维吾尔自治区工程建设领域农民工工资专用账户管理实施细则&gt;的通知》第十二条规定“建设单位应当按工程施工合同规定的数额或者比例等，按时将人工费用拨付到总包单位专用账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建立《新疆巴州公共实训基地建设项目建设方案》、《新疆巴州公共实训基地运营方案》、《新疆巴州公共实训基地建设项目监管方案》，一是成立新疆巴州公共实训基地建设工作领导小组，全面推进项目建设。领导小组下设项目实施办公室，由巴</w:t>
      </w:r>
      <w:r>
        <w:rPr>
          <w:rStyle w:val="19"/>
          <w:rFonts w:hint="eastAsia" w:ascii="楷体" w:hAnsi="楷体" w:eastAsia="楷体"/>
          <w:spacing w:val="-4"/>
          <w:sz w:val="32"/>
          <w:szCs w:val="32"/>
          <w:lang w:eastAsia="zh-CN"/>
        </w:rPr>
        <w:t>州人力资源和社会保障局</w:t>
      </w:r>
      <w:r>
        <w:rPr>
          <w:rStyle w:val="19"/>
          <w:rFonts w:hint="eastAsia" w:ascii="楷体" w:hAnsi="楷体" w:eastAsia="楷体"/>
          <w:spacing w:val="-4"/>
          <w:sz w:val="32"/>
          <w:szCs w:val="32"/>
        </w:rPr>
        <w:t>财务分管领导任办公室主任，制定统一的实施计划、管理计划，全面承担项目的组织实施工作，负责项目具体落实和日常管理。为组织协调本项目各方面工作，如期完成项目建设任务，达到预期目标。二是成立新疆巴州公共实训基地监管工作领导小组，领导小组由巴州党委、政府牵头组成，成员单位包括：巴州人社局、发改委、住建局、财政局、审计局等单位。领导小组下设项目实施办公室，项目实施办公室设在巴</w:t>
      </w:r>
      <w:r>
        <w:rPr>
          <w:rStyle w:val="19"/>
          <w:rFonts w:hint="eastAsia" w:ascii="楷体" w:hAnsi="楷体" w:eastAsia="楷体"/>
          <w:spacing w:val="-4"/>
          <w:sz w:val="32"/>
          <w:szCs w:val="32"/>
          <w:lang w:eastAsia="zh-CN"/>
        </w:rPr>
        <w:t>州人力资源和社会保障局</w:t>
      </w:r>
      <w:r>
        <w:rPr>
          <w:rStyle w:val="19"/>
          <w:rFonts w:hint="eastAsia" w:ascii="楷体" w:hAnsi="楷体" w:eastAsia="楷体"/>
          <w:spacing w:val="-4"/>
          <w:sz w:val="32"/>
          <w:szCs w:val="32"/>
        </w:rPr>
        <w:t>，由巴</w:t>
      </w:r>
      <w:r>
        <w:rPr>
          <w:rStyle w:val="19"/>
          <w:rFonts w:hint="eastAsia" w:ascii="楷体" w:hAnsi="楷体" w:eastAsia="楷体"/>
          <w:spacing w:val="-4"/>
          <w:sz w:val="32"/>
          <w:szCs w:val="32"/>
          <w:lang w:eastAsia="zh-CN"/>
        </w:rPr>
        <w:t>州人力资源和社会保障局</w:t>
      </w:r>
      <w:bookmarkStart w:id="0" w:name="_GoBack"/>
      <w:bookmarkEnd w:id="0"/>
      <w:r>
        <w:rPr>
          <w:rStyle w:val="19"/>
          <w:rFonts w:hint="eastAsia" w:ascii="楷体" w:hAnsi="楷体" w:eastAsia="楷体"/>
          <w:spacing w:val="-4"/>
          <w:sz w:val="32"/>
          <w:szCs w:val="32"/>
        </w:rPr>
        <w:t>财务分管领导任办公室主任，全面负责项目的组织实施工作，负责项目具体落实和日常管理，制定统一的实施计划、管理计划；并按要求专款专用，保证项目的建设质量和进度，按项目管理内容组建项目实施综合组、项目实施工程组、项目实施财务组等三个项目实施管理小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在制度设计与执行中，紧密结合项目实际需求，覆盖项目全生命周期（策划、组织、实施、监控与收尾），注重科学性与可操作性，并强化风险防控与动态监督。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注重管理制度体系的全面性与科学性，管理制度涵盖项目策划、立项审批、资金使用、招投标、合同管理、工程监理、验收评估、风险防控等全流程环节，确保各阶段工作有章可循。制定《项目实施管理办法》《专项资金使用规范》等核心制度，明确责任分工、操作流程及考核标准。制度设计以政策法规为依据（如《财政专项资金管理办法》《政府采购法》），结合实训基地建设特点，细化操作指南。例如，通过“资金专账核算”“月度进度动态监测”等机制，提升执行效率。建立《项目风险防控预案》，识别工程延期、预算超支、质量缺陷等10类潜在风险，制定分级应对措施（如价格波动采用固定合同、极端天气调整施工方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新疆巴州公共实训基地建设项目的管理制度体系具有全面性、科学性和前瞻性，能够有效指导项目规范实施，防控风险，保障资金与资源高效利用。通过强化执行监督、动态优化机制，管理制度为项目绩效目标的达成奠定了坚实基础，也为后续类似项目提供了可复制的管理经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地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需严格依照既定的财务、施工、质量等管理制度开展工作。在财务方面，遵循财务审批流程，每笔资金支出都要有完备的审批手续，杜绝资金滥用、挪用现象。施工时，按照施工规范和安全制度操作，佩戴安全帽、设置警示标识，确保施工安全有序。质量管控上，依据质量验收标准进行材料检验和工程验收，保证工程质量达标。如在建筑项目中，施工人员按标准流程进行混凝土浇筑，保证施工质量和安全。及时收集、整理并归档项目实施过程中的各类资料，如合同文件、验收报告、技术鉴定材料等。建立完善的资料管理制度，明确资料的收集范围、整理标准和归档要求。规范的资料管理不仅能为项目验收提供依据，还便于后续对项目进行复盘和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15A4A7F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5EF7EA2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项目产出类指标包括产出数量、产出质量、产出时效、产出成本四方面的内容，由13个三级指标构成，权重分为40分，实际得分35.53分，得分率为88.83%。具体产出指标完成情况如下：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指标1：安排项目中本级项目个数，指标值：=1个，实际完成值：1个，指标完成率100%。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指标2：建设项目工程建筑面积，指标值：&gt;=8013.56平方米，实际完成值：8013.56平方米，指标完成率100%。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指标1：项目设计变更率，指标值：&lt;=5%，实际完成值：0%，指标完成率100%。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中央预算内投资支付率，指标值：=100%，实际完成值：65.74%，指标完成率65.74%，偏差原因：一是本年度完成实训楼主体建设，12月开展竣工验收，竣工审计结束后拨付剩余工程进度款；二是预计2025年对实训楼进行基础设施完善，购置培训所需设备。故此项指标较年初目标有所偏差。改进措施：在今后的工作中，结合项目绩效管理及资金预算工作要求，对项目实施进度进行实时监控，做好预算调整调剂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指标3：项目开工率，指标值：=100%，实际完成值：100%，指标完成率100%。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指标4：超规模、超标准、超概算项目比例，指标值：=0%，实际完成值：0%，指标完成率100%。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指标5：审计、督查、巡视等指出问题项目比例，指标值：=0%，实际完成值：0%，指标完成率100%。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总投资完成率，指标值：=100%，实际完成值：65.74%，指标完成率65.74%，偏差原因：一是本年度完成实训楼主体建设，12月开展竣工验收，竣工审计结束后拨付剩余工程进度款；二是预计2025年对实训楼进行基础设施完善，购置培训所需设备。故此项指标较年初目标有所偏差。改进措施：在今后的工作中，结合项目绩效管理及资金预算工作要求，对项目实施进度进行实时监控，做好预算调整调剂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此项权重分10分，得分8.86分。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指标1：投资计划转发用时，指标值：&lt;=5个工作日，实际完成值：5个工作日，指标完成率100%。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指标2：“两个责任”按项目落实到位率，指标值：=100%，实际完成值：100%，指标完成率100%。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指标1：实训基地建设成本本年度工程进度款成本，指标值：&lt;=1687.81万元，实际完成值：1687.81万元，指标完成率100%。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指标2：实训基地建设成本监理费用，指标值：&lt;=18.9万元，实际完成值：18.9万元，指标完成率100%。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实训基地建设成本基础功能完善费用，指标值：&lt;=889.29万元，实际完成值：0万元，指标完成率100%，偏差原因：一是本年度完成实训楼主体建设，12月开展竣工验收，竣工审计结束后拨付剩余工程进度款；二是预计2025年对实训楼进行基础设施完善，购置培训所需设备。故此项指标较年初目标有所偏差。改进措施：在今后的工作中，结合项目绩效管理及资金预算工作要求，对项目实施进度进行实时监控，做好预算调整调剂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此项权重分10分，得分6.67分。</w:t>
      </w:r>
    </w:p>
    <w:p w14:paraId="5826FA8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F629D1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项目效益类指标包括项目实施效益的内容，由1个三级指标构成，权重分为20分，实际得分20分，得分率为20%。具体效益指标及满意度指标完成情况如下：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指标1：建设工程施工期间发生重大安全事件数量，指标值：=0起，实际完成值：0起，指标完成率100%。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此项权重分20分，得分20分。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此项目当年内完成主体建设，暂不满足开展技能培训条件，本年度不设置满意度指标。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此项权重分0分，得分0分。</w:t>
      </w:r>
    </w:p>
    <w:p w14:paraId="6DAFA01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教育强国推进工程（公共实训基地建设方向）（上年结转）年初预算2596万元，全年预算2596万元，实际支出1706.71万元，预算执行率为65.74%，项目绩效指标总体完成率为87.96%，总体偏差率为22.22%，偏差原因：一是本年度完成实训楼主体建设，12月开展竣工验收，竣工审计结束后拨付剩余工程进度款；二是预计2025年对实训楼进行基础设施完善，购置培训所需设备。故此项指标较年初目标有所偏差。改进措施：在今后的工作中，结合项目绩效管理及资金预算工作要求，对项目实施进度进行实时监控，做好预算调整调剂工作。</w:t>
      </w:r>
    </w:p>
    <w:p w14:paraId="05043BE9">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4BEC6C8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杜绝了资金被挤占和挪用现象的发生。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进度把控不足：项目预算执行率为65.74%，虽整体处于一定水平，但仍有提升空间。部分资金在竣工审计后支付，影响了预算执行进度。这主要是由于项目本年度未开展实训基地基础功能完善工作，需在主体建设完成后，结合职业技能培训工作实际需求，做好培训场地规划及设备购置。</w:t>
      </w:r>
    </w:p>
    <w:p w14:paraId="06123D65">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E65A1D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1.多进行有关绩效管理工作方面的培训。积极参加财政部门举办的绩效管理工作培训，进一步夯实业务基础，提高我单位绩效人员水平。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简化项目结算流程，明确各业务科室在资金支付审核中的职责与时间节点，建立预算执行监控小组，定期对预算执行情况进行检查与分析。每月召开预算执行进度会议，及时发现和解决资金支付中的问题，对于执行缓慢的项目环节，采取针对性措施加快进度，确保预算资金高效利用。</w:t>
      </w:r>
    </w:p>
    <w:p w14:paraId="793FC700">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5F854E5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52218228">
      <w:pPr>
        <w:spacing w:line="540" w:lineRule="exact"/>
        <w:ind w:firstLine="567"/>
        <w:rPr>
          <w:rStyle w:val="19"/>
          <w:rFonts w:ascii="仿宋" w:hAnsi="仿宋" w:eastAsia="仿宋"/>
          <w:b w:val="0"/>
          <w:spacing w:val="-4"/>
          <w:sz w:val="32"/>
          <w:szCs w:val="32"/>
        </w:rPr>
      </w:pPr>
    </w:p>
    <w:p w14:paraId="01F5A4AE">
      <w:pPr>
        <w:spacing w:line="540" w:lineRule="exact"/>
        <w:ind w:firstLine="567"/>
        <w:rPr>
          <w:rStyle w:val="19"/>
          <w:rFonts w:ascii="仿宋" w:hAnsi="仿宋" w:eastAsia="仿宋"/>
          <w:b w:val="0"/>
          <w:spacing w:val="-4"/>
          <w:sz w:val="32"/>
          <w:szCs w:val="32"/>
        </w:rPr>
      </w:pPr>
    </w:p>
    <w:p w14:paraId="21A41290">
      <w:pPr>
        <w:spacing w:line="540" w:lineRule="exact"/>
        <w:ind w:firstLine="567"/>
        <w:rPr>
          <w:rStyle w:val="19"/>
          <w:rFonts w:ascii="仿宋" w:hAnsi="仿宋" w:eastAsia="仿宋"/>
          <w:b w:val="0"/>
          <w:spacing w:val="-4"/>
          <w:sz w:val="32"/>
          <w:szCs w:val="32"/>
        </w:rPr>
      </w:pPr>
    </w:p>
    <w:p w14:paraId="28F0BDAC">
      <w:pPr>
        <w:spacing w:line="540" w:lineRule="exact"/>
        <w:ind w:firstLine="567"/>
        <w:rPr>
          <w:rStyle w:val="19"/>
          <w:rFonts w:ascii="仿宋" w:hAnsi="仿宋" w:eastAsia="仿宋"/>
          <w:b w:val="0"/>
          <w:spacing w:val="-4"/>
          <w:sz w:val="32"/>
          <w:szCs w:val="32"/>
        </w:rPr>
      </w:pPr>
    </w:p>
    <w:p w14:paraId="38DE1382">
      <w:pPr>
        <w:spacing w:line="540" w:lineRule="exact"/>
        <w:ind w:firstLine="567"/>
        <w:rPr>
          <w:rStyle w:val="19"/>
          <w:rFonts w:ascii="仿宋" w:hAnsi="仿宋" w:eastAsia="仿宋"/>
          <w:b w:val="0"/>
          <w:spacing w:val="-4"/>
          <w:sz w:val="32"/>
          <w:szCs w:val="32"/>
        </w:rPr>
      </w:pPr>
    </w:p>
    <w:p w14:paraId="6B3E6973">
      <w:pPr>
        <w:spacing w:line="540" w:lineRule="exact"/>
        <w:ind w:firstLine="567"/>
        <w:rPr>
          <w:rStyle w:val="19"/>
          <w:rFonts w:ascii="仿宋" w:hAnsi="仿宋" w:eastAsia="仿宋"/>
          <w:b w:val="0"/>
          <w:spacing w:val="-4"/>
          <w:sz w:val="32"/>
          <w:szCs w:val="32"/>
        </w:rPr>
      </w:pPr>
    </w:p>
    <w:p w14:paraId="5570F2BB">
      <w:pPr>
        <w:spacing w:line="540" w:lineRule="exact"/>
        <w:ind w:firstLine="567"/>
        <w:rPr>
          <w:rStyle w:val="19"/>
          <w:rFonts w:ascii="仿宋" w:hAnsi="仿宋" w:eastAsia="仿宋"/>
          <w:b w:val="0"/>
          <w:spacing w:val="-4"/>
          <w:sz w:val="32"/>
          <w:szCs w:val="32"/>
        </w:rPr>
      </w:pPr>
    </w:p>
    <w:p w14:paraId="36E7707E">
      <w:pPr>
        <w:spacing w:line="540" w:lineRule="exact"/>
        <w:ind w:firstLine="567"/>
        <w:rPr>
          <w:rStyle w:val="19"/>
          <w:rFonts w:ascii="仿宋" w:hAnsi="仿宋" w:eastAsia="仿宋"/>
          <w:b w:val="0"/>
          <w:spacing w:val="-4"/>
          <w:sz w:val="32"/>
          <w:szCs w:val="32"/>
        </w:rPr>
      </w:pPr>
    </w:p>
    <w:p w14:paraId="2CB93A34">
      <w:pPr>
        <w:spacing w:line="540" w:lineRule="exact"/>
        <w:ind w:firstLine="567"/>
        <w:rPr>
          <w:rStyle w:val="19"/>
          <w:rFonts w:ascii="仿宋" w:hAnsi="仿宋" w:eastAsia="仿宋"/>
          <w:b w:val="0"/>
          <w:spacing w:val="-4"/>
          <w:sz w:val="32"/>
          <w:szCs w:val="32"/>
        </w:rPr>
      </w:pPr>
    </w:p>
    <w:p w14:paraId="77B6DF8A">
      <w:pPr>
        <w:spacing w:line="540" w:lineRule="exact"/>
        <w:ind w:firstLine="567"/>
        <w:rPr>
          <w:rStyle w:val="19"/>
          <w:rFonts w:ascii="仿宋" w:hAnsi="仿宋" w:eastAsia="仿宋"/>
          <w:b w:val="0"/>
          <w:spacing w:val="-4"/>
          <w:sz w:val="32"/>
          <w:szCs w:val="32"/>
        </w:rPr>
      </w:pPr>
    </w:p>
    <w:p w14:paraId="5BD6473E">
      <w:pPr>
        <w:spacing w:line="540" w:lineRule="exact"/>
        <w:ind w:firstLine="567"/>
        <w:rPr>
          <w:rStyle w:val="19"/>
          <w:rFonts w:ascii="仿宋" w:hAnsi="仿宋" w:eastAsia="仿宋"/>
          <w:b w:val="0"/>
          <w:spacing w:val="-4"/>
          <w:sz w:val="32"/>
          <w:szCs w:val="32"/>
        </w:rPr>
      </w:pPr>
    </w:p>
    <w:p w14:paraId="67A6B8B9">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597371A-0DC5-4218-AE88-973C1DF86EB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B4C4F6A-97A4-4BFE-9EB9-BA4E40220F56}"/>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06D08E66-2C32-4709-99ED-9F7F4A6F8AC8}"/>
  </w:font>
  <w:font w:name="华文中宋">
    <w:panose1 w:val="02010600040101010101"/>
    <w:charset w:val="86"/>
    <w:family w:val="auto"/>
    <w:pitch w:val="default"/>
    <w:sig w:usb0="00000287" w:usb1="080F0000" w:usb2="00000000" w:usb3="00000000" w:csb0="0004009F" w:csb1="DFD70000"/>
    <w:embedRegular r:id="rId4" w:fontKey="{F02725E5-E11B-46F9-8DDE-A35A8DE6CED4}"/>
  </w:font>
  <w:font w:name="方正小标宋_GBK">
    <w:panose1 w:val="02000000000000000000"/>
    <w:charset w:val="86"/>
    <w:family w:val="script"/>
    <w:pitch w:val="default"/>
    <w:sig w:usb0="A00002BF" w:usb1="38CF7CFA" w:usb2="00082016" w:usb3="00000000" w:csb0="00040001" w:csb1="00000000"/>
    <w:embedRegular r:id="rId5" w:fontKey="{CCEA3FED-A42B-42D1-9F2B-890E5E7585FE}"/>
  </w:font>
  <w:font w:name="仿宋_GB2312">
    <w:altName w:val="仿宋"/>
    <w:panose1 w:val="02010609030101010101"/>
    <w:charset w:val="86"/>
    <w:family w:val="modern"/>
    <w:pitch w:val="default"/>
    <w:sig w:usb0="00000000" w:usb1="00000000" w:usb2="00000000" w:usb3="00000000" w:csb0="00040000" w:csb1="00000000"/>
    <w:embedRegular r:id="rId6" w:fontKey="{8B25A7FC-B53F-4196-B2E3-47E4742B77D1}"/>
  </w:font>
  <w:font w:name="楷体">
    <w:panose1 w:val="02010609060101010101"/>
    <w:charset w:val="86"/>
    <w:family w:val="modern"/>
    <w:pitch w:val="default"/>
    <w:sig w:usb0="800002BF" w:usb1="38CF7CFA" w:usb2="00000016" w:usb3="00000000" w:csb0="00040001" w:csb1="00000000"/>
    <w:embedRegular r:id="rId7" w:fontKey="{A8AC6E8E-F288-4DED-A2BE-FE4764F60C3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DC5910F">
        <w:pPr>
          <w:pStyle w:val="12"/>
          <w:jc w:val="center"/>
        </w:pPr>
        <w:r>
          <w:fldChar w:fldCharType="begin"/>
        </w:r>
        <w:r>
          <w:instrText xml:space="preserve">PAGE   \* MERGEFORMAT</w:instrText>
        </w:r>
        <w:r>
          <w:fldChar w:fldCharType="separate"/>
        </w:r>
        <w:r>
          <w:rPr>
            <w:lang w:val="zh-CN"/>
          </w:rPr>
          <w:t>1</w:t>
        </w:r>
        <w:r>
          <w:fldChar w:fldCharType="end"/>
        </w:r>
      </w:p>
    </w:sdtContent>
  </w:sdt>
  <w:p w14:paraId="2D2DDFC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014E0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ff7b6558-38ba-4483-8cdd-e6fa60ed33a2}">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13167</Words>
  <Characters>13657</Characters>
  <Lines>5</Lines>
  <Paragraphs>1</Paragraphs>
  <TotalTime>0</TotalTime>
  <ScaleCrop>false</ScaleCrop>
  <LinksUpToDate>false</LinksUpToDate>
  <CharactersWithSpaces>13686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2025-09-22T07:58:26Z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