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1DD945"/>
    <w:p w14:paraId="036BE7F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5D2CC51">
      <w:pPr>
        <w:spacing w:line="540" w:lineRule="exact"/>
        <w:jc w:val="center"/>
        <w:rPr>
          <w:rFonts w:ascii="华文中宋" w:hAnsi="华文中宋" w:eastAsia="华文中宋" w:cs="宋体"/>
          <w:b/>
          <w:kern w:val="0"/>
          <w:sz w:val="52"/>
          <w:szCs w:val="52"/>
        </w:rPr>
      </w:pPr>
    </w:p>
    <w:p w14:paraId="46A9E7CF">
      <w:pPr>
        <w:spacing w:line="540" w:lineRule="exact"/>
        <w:jc w:val="center"/>
        <w:rPr>
          <w:rFonts w:ascii="华文中宋" w:hAnsi="华文中宋" w:eastAsia="华文中宋" w:cs="宋体"/>
          <w:b/>
          <w:kern w:val="0"/>
          <w:sz w:val="52"/>
          <w:szCs w:val="52"/>
        </w:rPr>
      </w:pPr>
    </w:p>
    <w:p w14:paraId="5C6296EE">
      <w:pPr>
        <w:spacing w:line="540" w:lineRule="exact"/>
        <w:jc w:val="center"/>
        <w:rPr>
          <w:rFonts w:ascii="华文中宋" w:hAnsi="华文中宋" w:eastAsia="华文中宋" w:cs="宋体"/>
          <w:b/>
          <w:kern w:val="0"/>
          <w:sz w:val="52"/>
          <w:szCs w:val="52"/>
        </w:rPr>
      </w:pPr>
    </w:p>
    <w:p w14:paraId="362DD247">
      <w:pPr>
        <w:spacing w:line="540" w:lineRule="exact"/>
        <w:jc w:val="center"/>
        <w:rPr>
          <w:rFonts w:ascii="华文中宋" w:hAnsi="华文中宋" w:eastAsia="华文中宋" w:cs="宋体"/>
          <w:b/>
          <w:kern w:val="0"/>
          <w:sz w:val="52"/>
          <w:szCs w:val="52"/>
        </w:rPr>
      </w:pPr>
    </w:p>
    <w:p w14:paraId="3919117B">
      <w:pPr>
        <w:spacing w:line="540" w:lineRule="exact"/>
        <w:jc w:val="center"/>
        <w:rPr>
          <w:rFonts w:ascii="华文中宋" w:hAnsi="华文中宋" w:eastAsia="华文中宋" w:cs="宋体"/>
          <w:b/>
          <w:kern w:val="0"/>
          <w:sz w:val="52"/>
          <w:szCs w:val="52"/>
        </w:rPr>
      </w:pPr>
    </w:p>
    <w:p w14:paraId="08451305">
      <w:pPr>
        <w:spacing w:line="540" w:lineRule="exact"/>
        <w:jc w:val="center"/>
        <w:rPr>
          <w:rFonts w:ascii="华文中宋" w:hAnsi="华文中宋" w:eastAsia="华文中宋" w:cs="宋体"/>
          <w:b/>
          <w:kern w:val="0"/>
          <w:sz w:val="52"/>
          <w:szCs w:val="52"/>
        </w:rPr>
      </w:pPr>
    </w:p>
    <w:p w14:paraId="37962A3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B68A877">
      <w:pPr>
        <w:spacing w:line="540" w:lineRule="exact"/>
        <w:jc w:val="center"/>
        <w:rPr>
          <w:rFonts w:ascii="华文中宋" w:hAnsi="华文中宋" w:eastAsia="华文中宋" w:cs="宋体"/>
          <w:b/>
          <w:kern w:val="0"/>
          <w:sz w:val="52"/>
          <w:szCs w:val="52"/>
        </w:rPr>
      </w:pPr>
    </w:p>
    <w:p w14:paraId="50A483B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0B42616">
      <w:pPr>
        <w:spacing w:line="540" w:lineRule="exact"/>
        <w:jc w:val="center"/>
        <w:rPr>
          <w:rFonts w:hAnsi="宋体" w:eastAsia="仿宋_GB2312" w:cs="宋体"/>
          <w:kern w:val="0"/>
          <w:sz w:val="30"/>
          <w:szCs w:val="30"/>
        </w:rPr>
      </w:pPr>
    </w:p>
    <w:p w14:paraId="223087C9">
      <w:pPr>
        <w:spacing w:line="540" w:lineRule="exact"/>
        <w:jc w:val="center"/>
        <w:rPr>
          <w:rFonts w:hAnsi="宋体" w:eastAsia="仿宋_GB2312" w:cs="宋体"/>
          <w:kern w:val="0"/>
          <w:sz w:val="30"/>
          <w:szCs w:val="30"/>
        </w:rPr>
      </w:pPr>
    </w:p>
    <w:p w14:paraId="4600397E">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5E1ADB35">
      <w:pPr>
        <w:spacing w:line="540" w:lineRule="exact"/>
        <w:jc w:val="center"/>
        <w:rPr>
          <w:rFonts w:hAnsi="宋体" w:eastAsia="仿宋_GB2312" w:cs="宋体"/>
          <w:kern w:val="0"/>
          <w:sz w:val="30"/>
          <w:szCs w:val="30"/>
        </w:rPr>
      </w:pPr>
    </w:p>
    <w:p w14:paraId="2657D6AC">
      <w:pPr>
        <w:spacing w:line="540" w:lineRule="exact"/>
        <w:jc w:val="center"/>
        <w:rPr>
          <w:rFonts w:hAnsi="宋体" w:eastAsia="仿宋_GB2312" w:cs="宋体"/>
          <w:kern w:val="0"/>
          <w:sz w:val="30"/>
          <w:szCs w:val="30"/>
        </w:rPr>
      </w:pPr>
    </w:p>
    <w:p w14:paraId="2AD01582">
      <w:pPr>
        <w:spacing w:line="540" w:lineRule="exact"/>
        <w:jc w:val="center"/>
        <w:rPr>
          <w:rFonts w:hAnsi="宋体" w:eastAsia="仿宋_GB2312" w:cs="宋体"/>
          <w:kern w:val="0"/>
          <w:sz w:val="30"/>
          <w:szCs w:val="30"/>
        </w:rPr>
      </w:pPr>
    </w:p>
    <w:p w14:paraId="3F750F97">
      <w:pPr>
        <w:spacing w:line="540" w:lineRule="exact"/>
        <w:rPr>
          <w:rFonts w:hAnsi="宋体" w:eastAsia="仿宋_GB2312" w:cs="宋体"/>
          <w:kern w:val="0"/>
          <w:sz w:val="30"/>
          <w:szCs w:val="30"/>
        </w:rPr>
      </w:pPr>
    </w:p>
    <w:p w14:paraId="14FA422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AF2A30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巴财预追（2024）73号体育彩票公益金结余资金安排</w:t>
      </w:r>
    </w:p>
    <w:p w14:paraId="774AE75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bookmarkStart w:id="0" w:name="_GoBack"/>
      <w:r>
        <w:rPr>
          <w:rStyle w:val="19"/>
          <w:rFonts w:hint="eastAsia" w:ascii="楷体" w:hAnsi="楷体" w:eastAsia="楷体"/>
          <w:spacing w:val="-4"/>
          <w:sz w:val="28"/>
          <w:szCs w:val="28"/>
          <w:lang w:eastAsia="zh-CN"/>
        </w:rPr>
        <w:t>巴音郭楞蒙古自治州</w:t>
      </w:r>
      <w:bookmarkEnd w:id="0"/>
      <w:r>
        <w:rPr>
          <w:rStyle w:val="19"/>
          <w:rFonts w:hint="eastAsia" w:ascii="楷体" w:hAnsi="楷体" w:eastAsia="楷体"/>
          <w:spacing w:val="-4"/>
          <w:sz w:val="28"/>
          <w:szCs w:val="28"/>
        </w:rPr>
        <w:t>文化体育广播电视和旅游局</w:t>
      </w:r>
    </w:p>
    <w:p w14:paraId="342FD7D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巴音郭楞蒙古自治州文化体育广播电视和旅游局</w:t>
      </w:r>
    </w:p>
    <w:p w14:paraId="123B50E0">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宋建军</w:t>
      </w:r>
    </w:p>
    <w:p w14:paraId="2E4FEB39">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2025年03月19日</w:t>
      </w:r>
    </w:p>
    <w:p w14:paraId="2B65F823">
      <w:pPr>
        <w:spacing w:line="700" w:lineRule="exact"/>
        <w:ind w:firstLine="708" w:firstLineChars="236"/>
        <w:jc w:val="left"/>
        <w:rPr>
          <w:rFonts w:hAnsi="宋体" w:eastAsia="仿宋_GB2312" w:cs="宋体"/>
          <w:kern w:val="0"/>
          <w:sz w:val="30"/>
          <w:szCs w:val="30"/>
        </w:rPr>
      </w:pPr>
    </w:p>
    <w:p w14:paraId="5B01C6F4">
      <w:pPr>
        <w:spacing w:line="540" w:lineRule="exact"/>
        <w:rPr>
          <w:rStyle w:val="19"/>
          <w:rFonts w:ascii="黑体" w:hAnsi="黑体" w:eastAsia="黑体"/>
          <w:b w:val="0"/>
          <w:spacing w:val="-4"/>
          <w:sz w:val="32"/>
          <w:szCs w:val="32"/>
        </w:rPr>
      </w:pPr>
    </w:p>
    <w:p w14:paraId="7BA78D9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277727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5A89A27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开展化解群众身边不正之风和腐败问题集中整治工作期间，我局通过深入排查梳理过往项目情况，发现存在一笔往年筹备自治区第十四届运动会的工程欠款尚未偿还。这笔欠款涉及为筹备运动会而开展的一系列场馆建设、设施配备以及赛事服务保障等工程项目。这些项目的实施对于运动会的顺利举办发挥了关键作用，但因各种历史原因，款项一直未能结清。</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为切实解决这一遗留问题，维护群众的合法权益，彰显我局积极履行责任的态度，根据整体工作安排，现正式提出针对此笔欠款偿还的项目建设计划。我们将从项目规划、资金筹集、执行监督等多方面精心筹备，确保欠款能够尽快、妥善偿还到位，圆满完成此次集中整治工作任务。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项目主要内容：完成偿还往年筹备自治区第十四届运动会消防改造工程款及空调维修工程款。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项目实施情况：2024年完成支付筹备自治区第十四届运动会消防改造工程款84万元，场馆维修工程款24万元、空调维修工程款25万元、消防改造设计费7万元、十四运场馆维修提升改造质保金169万元，总计309万元。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该项目年初预算数309万元，全年预算数309万元，该项目资金已全部落实到位，资金来源为财政拨款。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309万元，全年预算数309万元，全年执行数309万元，预算执行率为100%，主要用于：支付筹备自治区第十四届运动会消防改造工程款84万元，场馆维修工程款24万元、空调维修工程款25万元、消防改造设计费7万元、十四运场馆维修提升改造质保金169万元。</w:t>
      </w:r>
    </w:p>
    <w:p w14:paraId="74E9B1F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549650C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工作安排，计划投入309万元，偿还往年筹备自治区第十四届运动会4项工程款，其中偿还1家企业消防改造工程款84万元；1家企业场馆维修工程款24万元，空调维修工程款25万元，共计偿还资金49万元；1家企业消防改造设计费7万元、1家企业十四运场馆维修提升改造质保金169万元，切实减轻企业经营负担，预防上诉风险。</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根据实施情况可细化为以下几个阶段：第一阶段根据项目计划统计往年筹备自治区第十四届运动会产生的工程款，制定偿还方案，向上级主管部门汇报相关情况。根据批示，划分工作职责。第二阶段根据工作计划对接偿还企业做好前期工作，确定项目最终偿还金额。根据偿还方案，做好资金准备工作。第三阶段按照偿还方案向财政部门、州人民政府申请资金。确保项目保质保量完成。第四阶段项目结束后，对偿还企业实际情况进行满意度调查，并将出现的问题及时反馈单位，做好后续调整工作。</w:t>
      </w:r>
    </w:p>
    <w:p w14:paraId="29ABD66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36AD6AE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ACAE0E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上，采用了多种科学合理的方法，如问卷调查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编制本项目预算绩效评价报告时，我们严格遵循统一的格式与规范，精心组织内容架构，使报告层次分明、逻辑清晰。开篇简明扼要地阐述项目背景、目标以及预算安排，为读者快速勾勒出项目轮廓，也为后续的绩效评价筑牢基石，让评价工作有迹可循。我们深入解析绩效评价的指标体系，详细说明评价方法和数据来源。从评价指标的筛选原则到计算方式，从数据采集渠道到处理流程，均毫无保留地展示，全力保障评价过程的透明性与可复现性，让评价结果经得起推敲。紧接着，聚焦各项绩效指标的完成情况，逐一进行细致入微的分析与评价。通过实际数据与目标值的比对，精准定位项目实施过程中存在的问题与不足，例如某些环节进度滞后、资源配置不够合理等，并结合项目实际，提出具有针对性和可操作性的改进建议，如优化流程、调整资源分配方案等，助力项目突破瓶颈。最后，对项目整体绩效状况进行全面复盘与综合总结，给出明确且公正的评价结论，点明项目的优势与短板。同时，基于评价结果，为后续工作提出切实可行的建议，涵盖项目优化方向、资源调配策略等，为项目的持续改进与科学决策注入关键力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本项目预算绩效评价报告在内容的全面性、方法的科学性和数据的可靠性等方面表现卓越，能够真实、客观地呈现项目绩效全貌，为项目管理决策输送极具价值的参考依据。展望未来，我们将持续深耕绩效评价体系的完善工作，不断探索创新，提升评价工作的专业度与精准度，更好地服务于项目管理与优化，推动项目朝着更高质量的方向发展。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（1）全面评估项目实施成效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构建系统的分析体系，深入剖析项目预算执行细节，精准衡量各项绩效目标的达成程度，从社会效益、经济效益等多个维度，全方位、客观地对项目在预定周期内的实施成果进行评估。为后续项目的改进方向与优化策略提供坚实的科学依据，助力项目持续释放更大价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（2）高效提升资源利用效能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（3）有力强化项目管理责任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清晰界定项目各参与主体在预算绩效管理中的具体职责与任务分工，以绩效评价结果为监督与问责的有力抓手，促使项目管理者切实增强责任意识。主动对管理流程进行优化，不断完善内部控制机制，全面提升项目管理水平与执行能力，确保项目能够严格按照计划高质量推进，达成预期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（4）精准助力科学决策制定</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以及相关决策层提供详实、准确的绩效评价信息，这些信息犹如决策的“指南针”，在项目审批、预算安排、政策调整等关键决策环节，辅助决策层做出更加科学、合理的判断。进而推动项目资源实现合理分配与有效整合，持续完善与升级项目管理体系，大幅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（5）持续推动项目改进发展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过程中精准识别出的问题与不足，制定针对性强的改进建议和切实可行的措施。引导项目团队聚焦关键环节，不断优化项目实施方案，加强项目实施过程中的监控力度与质量把控水平。形成项目绩效持续改进的良性循环，使项目整体绩效水平稳步提升，实现项目长期稳定发展的战略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始终围绕提升项目绩效这一核心展开编制工作，运用科学、严谨的评价流程与方法，旨在为项目管理与决策提供全方位、深层次的支持。助力项目在预算约束条件下实现高质量、可持续发展，充分发挥财政资金在经济效益与社会效益层面的双重价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体育彩票公益销售服务尾款及其预算执行情况。该项目由巴州文化体育广播电视和旅游局负责实施，旨在为化解群众身边不正之风和腐败问题集中整治工作中设计的信访问题，安排资金偿还为往年筹备自治区第十四届运动会产生的工程款，切实减轻了企业经营负担，预防了上诉风险。。项目预算涵盖从2024年1月1日至2024年12月31日的全部资金投入与支出，涉及资金总额为309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社会、生态等影响：考察项目对社会方面的综合影响。</w:t>
      </w:r>
    </w:p>
    <w:p w14:paraId="60A9B33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478955A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（一）因素分析法。原因是通过对项目评价点和影响因素的梳理，找出本次评价项目影响因素主要包括：资金支付的过程管理。根据以上因素，设置指标体系，综合全面的开展绩效评价工作。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（二）公众评判法。原因是对于无法进行量化的指标，采取调查问卷方式进行。针对本项目，为实事求是考察项目实施的效益，抽取项目受益对象，开展满意度调查。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（1）计划标准。指以预先制定的目标、计划、预算、定额等作为评价标准。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（2）行业标准。指参照国家公布的行业指标数据制定的评价标准。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（3）历史标准。指参照历史数据制定的评价标准，为体现绩效改进的原则，在可实现的条件下应当确定相对较高的评价标准。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（4）财政部门和预算部门确认或认可的其他标准。</w:t>
      </w:r>
    </w:p>
    <w:p w14:paraId="62A81E4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D0A4DE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明确评价范围时，将项目的决策、执行、产出及效益阶段全部纳入评价范围，确保评价工作的全面性。评价重点主要集中在项目的产出成果质量、实际经济效益以及社会效益的实现情况，以突出项目的核心价值。在时间安排上，根据项目的实际进度，将评价工作分为三个阶段，分别为准备阶段、实施阶段和报告阶段，每个阶段设定了明确的时间节点和工作任务，保障评价工作的有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绩效评价工作中，指标体系构建是核心环节。我们紧扣项目的性质、目标和预期成果，打造了一套科学合理的绩效评价指标体系。项目决策维度，聚焦项目立项的必要性、目标设定的合理性，以及决策程序的规范性，这些指标反映项目启动时的规划是否科学。项目过程维度，着重考量资源分配是否均衡、进度把控是否精准、质量监管是否到位，以此衡量项目执行过程的优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全方位了解项目情况，我们展开广泛的数据收集工作，数据来源涵盖多个关键领域。财务报表提供了项目资金的收支明细、成本构成等核心财务信息，能直观反映项目资金的使用效率与效益；项目文档包含项目策划书、进度报告、会议纪要等，详细记录项目从规划到执行的全过程；业务数据聚焦项目业务层面，像产品产量、服务频次等，是衡量项目业务产出的重要依据；用户反馈则从终端使用者视角出发，收集他们对项目成果的满意度、使用体验等，为评价项目成果的实际价值提供一手资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完成数据分析评估后，按统一格式规范撰写项目预算绩效评价报告，涵盖项目背景、评价目的等多部分，力求条理清晰、重点突出、语言简洁。报告完成即向项目实施主体和利益相关者反馈，充分听取意见，据此完善优化，保障报告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报告提交后，持续跟踪项目改进措施落实，定期复查评估绩效，确保项目依评价结果调整优化，实现绩效提升。还会根据新情况新问题，适时调整评价指标体系与方法，保障评价适应性与前瞻性，助力项目长期稳定发展。</w:t>
      </w:r>
    </w:p>
    <w:p w14:paraId="182FB3BB">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71B5A62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体育彩票公益金结余资金安排在支付偿还往年筹备自治区第十四届运动会准确率、偿还受益企业落实率等方面表现出色，达到了预期的标准与要求。同时，项目也在有效减轻企业负担取得了显著的成效，如切实减轻了企业经营负担，预防了上诉风险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在项目管理方面，巴州文化体育广播电视和旅游局通过有效的规划、组织与协调，项目得以顺利实施，并在预算与时间上保持了良好的控制。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从项目效益的角度来看，本项目不仅实现了预期的社会效益、经济效益等方面产生了积极的影响。具体而言，有效减轻企业负担等方面的提升，为项目的利益相关者带来了实实在在的利益。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综上所述，体育彩票公益金结余资金安排在绩效评价中表现出色，达到了项目的预期目标，并在多个方面取得了显著的成效。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 100%。项目过程类指标权重为20分，得分为 20分，得分率为 100%。项目产出类指标权重为40分，得分为 40分，得分率为 100%。项目效益类指标权重为20分，得分为 20分，得分率为 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71B18C12">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60031D0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46014D4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化解群众身边不正之风和腐败问题集中整治工作中设计的信访问题设立此项，该项目立项符合国家相关法律法规及发展政策，符合行业规划要求，重点围绕偿还往年筹备自治区第十四届运动会工程款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体育彩票公益金结余资金安排项目的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体育彩票公益金结余资金安排的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体育彩票公益金结余资金安排支付后，将有效减轻企业负担，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根据2024年计划完成体育彩票公益金结余资金安排，进行了全面的成本估算，确保项目所需的各项资源得到合理的预估与分配。同时，预算编制还紧密结合了项目的特点与实际情况，对体育彩票公益金结余资金安排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本项目资金分配进程中，始终秉持公平、公正、透明的准则，致力于达成项目资源的合理配置与高效运用。在具体操作时，深入考量项目的实际需求以及预期目标，针对体育彩票公益金结余资金，展开了全面且科学的规划与部署。</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资金分配工作紧密贴合项目特性与实际状况，精准定位关键环节，将销售服务费环节列为重点支持对象。这一举措源于对项目核心业务的深度理解，销售服务费的合理支出对于维系合作公司的积极性、保障销售工作的顺畅开展至关重要。同时，项目团队在前期便积极筹备、合理规划，借助对各项任务的细致梳理以及对资源需求的精准预估，实现了项目资金的均衡分配。这种科学的分配方式有效规避了资源浪费与资金闲置的现象，让每一笔资金都能精准流向最需要的地方，切实发挥出最大效用。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综上所述，本项目的资金分配兼具合理性与科学性。一方面，契合结算合作公司销售服务费尾款的实际情形，充分保障了合作方的权益，维持了合作关系的稳定；另一方面，也满足了预算资金使用效益最大化的要求，使有限的资金创造出更多价值。资金分配的合理性无疑为项目的成功实施筑牢了根基，也为后续开展项目绩效评价提供了坚实保障，助力项目全方位展现卓越成效，达成既定目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p>
    <w:p w14:paraId="5DE9C65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04EB437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本项目总投资309万元，财政资金及时足额到位，到位率100%，预算资金按计划进度执行。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预算编制较为详细，项目资金支出总体能够按照预算执行，预算资金支出309万元，预算执行率为100%。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中华人民共和国预算法》、《彩票公益金管理办法》等相关法律法规与财务制度，确保了项目资金的合规性与安全性。在资金使用过程中，我们建立了完善的财务管理体系，对资金的审批、支付进行了详细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具体而言，资金使用坚持了彩票公益金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中华人民共和国预算法》、《彩票公益金管理办法》等国家相关法律法规与财务制度的要求，又满足了体育彩票公益金结余资金安排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项目的整个工作流程，我局成立了专门的工作小组，按照工作分工划分职责，并建立了一整套完善的管理制度体系，为项目的成功实施提供了坚实的制度保障。项目管理制度的制定紧密结合了项目的特点与实际情况，涵盖了项目的设计、组织、实施、监控与评价等各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在制度设计上，依照《中华人民共和国预算法》、《中共中央国务院关于全面实施预算绩效管理的意见》等国家法律法规的相关要求，注重制度的科学性与可操作性，确保制度能够切实指导项目的执行与管理。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外，项目管理制度还充分考虑了资金审批、款项支付等环节存在的风险因素，根据可能存在的风险制定了相应的应对措施，以应对项目实施过程中可能出现的各种风险与挑战。管理制度的健全既包括制度的完善，也包括制度的执行与监督。为此，单位通过定期召开集中会议对监督和反馈过程中发现的风险隐患、问题矛盾进行充分交流，对项目实施过程中的检查与评估进行通报，及时发现并纠正项目实施中存在的问题。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综上所述，我单位制定的项目管理制度是健全的、有效的，既满足项目管理的需要，又充分考虑项目实施的实际情况。管理制度的健全性为项目的成功实施和绩效评价奠定了有力的基础。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体育彩票公益金结余资金安排项目在执行过程中，项目管理工作小组根据实际需要明确责任分配、制定执行计划、细化工作流程、完善监督反馈机制，严格按照制定的管理制度执行。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项目具体执行过程中，项目负责人、项目管理人、财务人员等各司其职，在体育彩票公益金结余资金安排项目的项目设立、项目批复以及具体的资金支付和绩效评价等各环节严格按照有关制度要求落实。同时，项目管理工作小组通过组织各方定期召开项目工作会议畅通沟通和反馈渠道，确保项目信息传递的时效性与问题解决的及时性，切实抓好制度落实。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综上所述，本项目的管理制度在执行过程中表现出了高度的有效性，既确保了项目的顺利进行，又实现了项目目标的有效达成。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EDC529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60DC07F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项目产出类指标包括产出数量、产出质量、产出时效、产出成本四方面的内容，由9个三级指标构成，权重分为40分，实际得分40分，得分率为100%。具体产出指标完成情况如下：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指标1：偿还企业数量，指标值：=4家，实际完成值：4家，指标完成率100%；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指标2：偿还工程数量，指标值：=4个，实际完成值：4个，指标完成率100%。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②质量指标：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指标1：偿还资金发放准确率，指标值：=100%，实际完成值：100%，指标完成率100%；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此项权重分值为5分，得分为5分。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指标1：偿还任务完成时限，指标值：2024年12月，实际完成值：2024年11月，指标完成率100%；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此项权重分值为5分，得分为5分。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指标1：偿还消防改造工程款，指标值：&lt;=84万元，实际完成值：=84万元，指标完成率100%；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指标2：偿还巴音体育馆维修工程款，指标值：&lt;=24万元，实际完成值：=24万元，指标完成率100%；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指标3：偿还体育馆空调维修工程款，指标值：&lt;=25万元，实际完成值：=25万元，指标完成率100%；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指标4：偿还消防改造设计费，指标值：&lt;=7万元，实际完成值：=7万元，指标完成率100%；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指标5：偿还巴音体育馆提升改造费，指标值：&lt;=169万元，实际完成值：=169万元，指标完成率100%；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此项权重分值为20分，得分为20分。</w:t>
      </w:r>
    </w:p>
    <w:p w14:paraId="733195D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2E34D46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项目效益类指标包括项目实施效益和满意度两方面的内容，由2个三级指标构成，权重分为20分，实际得分20分，得分率为20%。具体效益指标及满意度指标完成情况如下：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指标1：偿还受益企业落实率，指标值：=100%，实际完成值：100%，指标完成率100%；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03B6B5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指标1：企业满意度，指标值：&gt;=95%，实际完成值：100%，指标完成率100%；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满意度指标的完成情况，我局通过发放满意度调查问卷的形式开展评价。2024年度共发放问卷调查表4份，收回4份，所答项目100%有效，据调查结果统计，本次企业非常满意1份，占100%，，满意度指标实际完成值为100%，指标完成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013FFF2">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763A7BE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体育彩票公益金结余资金安排项目的实施，切实化解了群众身边不正之风和腐败问题集中整治工作中存在的上诉风险，为我州体育事业发展起到了积极作用。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我局提前与企业做好协商，并积极征求财政的意见和建议，根据州党委财经委员会的意见进行了项目的申报，严格按照项目管理规范进行，让项目资金落于实处。在项目完成后，做好企业满意度调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2.绩效评价体系的认识不足，但个别绩效指标设置不够精准，设置的产出数量指标对项目建设内容的反映不够全面，在工程量方面缺乏清晰、可衡量的指标值予以体现，一定程度影响指标的定量考核。 </w:t>
      </w:r>
    </w:p>
    <w:p w14:paraId="4A293AC4">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273A3A0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加强对绩效管理工作的组织领导，提高对预算绩效管理工作重要性的认识，总结经验查找问题，抓紧研究制定更全面更完善的绩效评价管理办法。结合考核建立绩效工作考核制度，加大全局对全面实施预算绩效管理和绩效管理工作的学习力度，让“花钱必问效，无效必问责”的理念深入工作每个环节。</w:t>
      </w:r>
    </w:p>
    <w:p w14:paraId="2AC423C7">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10D0CDD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5775052F">
      <w:pPr>
        <w:spacing w:line="540" w:lineRule="exact"/>
        <w:ind w:firstLine="567"/>
        <w:rPr>
          <w:rStyle w:val="19"/>
          <w:rFonts w:ascii="仿宋" w:hAnsi="仿宋" w:eastAsia="仿宋"/>
          <w:b w:val="0"/>
          <w:spacing w:val="-4"/>
          <w:sz w:val="32"/>
          <w:szCs w:val="32"/>
        </w:rPr>
      </w:pPr>
    </w:p>
    <w:p w14:paraId="7AD363CB">
      <w:pPr>
        <w:spacing w:line="540" w:lineRule="exact"/>
        <w:ind w:firstLine="567"/>
        <w:rPr>
          <w:rStyle w:val="19"/>
          <w:rFonts w:ascii="仿宋" w:hAnsi="仿宋" w:eastAsia="仿宋"/>
          <w:b w:val="0"/>
          <w:spacing w:val="-4"/>
          <w:sz w:val="32"/>
          <w:szCs w:val="32"/>
        </w:rPr>
      </w:pPr>
    </w:p>
    <w:p w14:paraId="11508B59">
      <w:pPr>
        <w:spacing w:line="540" w:lineRule="exact"/>
        <w:ind w:firstLine="567"/>
        <w:rPr>
          <w:rStyle w:val="19"/>
          <w:rFonts w:ascii="仿宋" w:hAnsi="仿宋" w:eastAsia="仿宋"/>
          <w:b w:val="0"/>
          <w:spacing w:val="-4"/>
          <w:sz w:val="32"/>
          <w:szCs w:val="32"/>
        </w:rPr>
      </w:pPr>
    </w:p>
    <w:p w14:paraId="3F14AE0E">
      <w:pPr>
        <w:spacing w:line="540" w:lineRule="exact"/>
        <w:ind w:firstLine="567"/>
        <w:rPr>
          <w:rStyle w:val="19"/>
          <w:rFonts w:ascii="仿宋" w:hAnsi="仿宋" w:eastAsia="仿宋"/>
          <w:b w:val="0"/>
          <w:spacing w:val="-4"/>
          <w:sz w:val="32"/>
          <w:szCs w:val="32"/>
        </w:rPr>
      </w:pPr>
    </w:p>
    <w:p w14:paraId="415EB221">
      <w:pPr>
        <w:spacing w:line="540" w:lineRule="exact"/>
        <w:ind w:firstLine="567"/>
        <w:rPr>
          <w:rStyle w:val="19"/>
          <w:rFonts w:ascii="仿宋" w:hAnsi="仿宋" w:eastAsia="仿宋"/>
          <w:b w:val="0"/>
          <w:spacing w:val="-4"/>
          <w:sz w:val="32"/>
          <w:szCs w:val="32"/>
        </w:rPr>
      </w:pPr>
    </w:p>
    <w:p w14:paraId="2E5635B1">
      <w:pPr>
        <w:spacing w:line="540" w:lineRule="exact"/>
        <w:ind w:firstLine="567"/>
        <w:rPr>
          <w:rStyle w:val="19"/>
          <w:rFonts w:ascii="仿宋" w:hAnsi="仿宋" w:eastAsia="仿宋"/>
          <w:b w:val="0"/>
          <w:spacing w:val="-4"/>
          <w:sz w:val="32"/>
          <w:szCs w:val="32"/>
        </w:rPr>
      </w:pPr>
    </w:p>
    <w:p w14:paraId="67059D00">
      <w:pPr>
        <w:spacing w:line="540" w:lineRule="exact"/>
        <w:ind w:firstLine="567"/>
        <w:rPr>
          <w:rStyle w:val="19"/>
          <w:rFonts w:ascii="仿宋" w:hAnsi="仿宋" w:eastAsia="仿宋"/>
          <w:b w:val="0"/>
          <w:spacing w:val="-4"/>
          <w:sz w:val="32"/>
          <w:szCs w:val="32"/>
        </w:rPr>
      </w:pPr>
    </w:p>
    <w:p w14:paraId="42F115CA">
      <w:pPr>
        <w:spacing w:line="540" w:lineRule="exact"/>
        <w:ind w:firstLine="567"/>
        <w:rPr>
          <w:rStyle w:val="19"/>
          <w:rFonts w:ascii="仿宋" w:hAnsi="仿宋" w:eastAsia="仿宋"/>
          <w:b w:val="0"/>
          <w:spacing w:val="-4"/>
          <w:sz w:val="32"/>
          <w:szCs w:val="32"/>
        </w:rPr>
      </w:pPr>
    </w:p>
    <w:p w14:paraId="63F81EDF">
      <w:pPr>
        <w:spacing w:line="540" w:lineRule="exact"/>
        <w:ind w:firstLine="567"/>
        <w:rPr>
          <w:rStyle w:val="19"/>
          <w:rFonts w:ascii="仿宋" w:hAnsi="仿宋" w:eastAsia="仿宋"/>
          <w:b w:val="0"/>
          <w:spacing w:val="-4"/>
          <w:sz w:val="32"/>
          <w:szCs w:val="32"/>
        </w:rPr>
      </w:pPr>
    </w:p>
    <w:p w14:paraId="0FD11A33">
      <w:pPr>
        <w:spacing w:line="540" w:lineRule="exact"/>
        <w:ind w:firstLine="567"/>
        <w:rPr>
          <w:rStyle w:val="19"/>
          <w:rFonts w:ascii="仿宋" w:hAnsi="仿宋" w:eastAsia="仿宋"/>
          <w:b w:val="0"/>
          <w:spacing w:val="-4"/>
          <w:sz w:val="32"/>
          <w:szCs w:val="32"/>
        </w:rPr>
      </w:pPr>
    </w:p>
    <w:p w14:paraId="1BAD8205">
      <w:pPr>
        <w:spacing w:line="540" w:lineRule="exact"/>
        <w:ind w:firstLine="567"/>
        <w:rPr>
          <w:rStyle w:val="19"/>
          <w:rFonts w:ascii="仿宋" w:hAnsi="仿宋" w:eastAsia="仿宋"/>
          <w:b w:val="0"/>
          <w:spacing w:val="-4"/>
          <w:sz w:val="32"/>
          <w:szCs w:val="32"/>
        </w:rPr>
      </w:pPr>
    </w:p>
    <w:p w14:paraId="01FE0AD5">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9F98DA7-EF94-4BED-BCCB-17AD13DA26D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F376DF75-4E5C-4BF5-8AC0-24ADDCE71CC8}"/>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0BD17D64-1EE7-4F52-BB83-061E410E6B9A}"/>
  </w:font>
  <w:font w:name="华文中宋">
    <w:panose1 w:val="02010600040101010101"/>
    <w:charset w:val="86"/>
    <w:family w:val="auto"/>
    <w:pitch w:val="default"/>
    <w:sig w:usb0="00000287" w:usb1="080F0000" w:usb2="00000000" w:usb3="00000000" w:csb0="0004009F" w:csb1="DFD70000"/>
    <w:embedRegular r:id="rId4" w:fontKey="{4E664F81-06C1-4CE0-BD91-6EA9C62EDA49}"/>
  </w:font>
  <w:font w:name="方正小标宋_GBK">
    <w:panose1 w:val="02000000000000000000"/>
    <w:charset w:val="86"/>
    <w:family w:val="script"/>
    <w:pitch w:val="default"/>
    <w:sig w:usb0="A00002BF" w:usb1="38CF7CFA" w:usb2="00082016" w:usb3="00000000" w:csb0="00040001" w:csb1="00000000"/>
    <w:embedRegular r:id="rId5" w:fontKey="{666B64AE-1D1D-4798-BADD-556371606FB2}"/>
  </w:font>
  <w:font w:name="仿宋_GB2312">
    <w:altName w:val="仿宋"/>
    <w:panose1 w:val="02010609030101010101"/>
    <w:charset w:val="86"/>
    <w:family w:val="modern"/>
    <w:pitch w:val="default"/>
    <w:sig w:usb0="00000000" w:usb1="00000000" w:usb2="00000000" w:usb3="00000000" w:csb0="00040000" w:csb1="00000000"/>
    <w:embedRegular r:id="rId6" w:fontKey="{682E4F8F-16B6-4807-9DDA-C251A3BC3ABB}"/>
  </w:font>
  <w:font w:name="楷体">
    <w:panose1 w:val="02010609060101010101"/>
    <w:charset w:val="86"/>
    <w:family w:val="modern"/>
    <w:pitch w:val="default"/>
    <w:sig w:usb0="800002BF" w:usb1="38CF7CFA" w:usb2="00000016" w:usb3="00000000" w:csb0="00040001" w:csb1="00000000"/>
    <w:embedRegular r:id="rId7" w:fontKey="{EBE73604-2589-4522-BDEF-F21CFD75DBC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41D3D4D">
        <w:pPr>
          <w:pStyle w:val="12"/>
          <w:jc w:val="center"/>
        </w:pPr>
        <w:r>
          <w:fldChar w:fldCharType="begin"/>
        </w:r>
        <w:r>
          <w:instrText xml:space="preserve">PAGE   \* MERGEFORMAT</w:instrText>
        </w:r>
        <w:r>
          <w:fldChar w:fldCharType="separate"/>
        </w:r>
        <w:r>
          <w:rPr>
            <w:lang w:val="zh-CN"/>
          </w:rPr>
          <w:t>1</w:t>
        </w:r>
        <w:r>
          <w:fldChar w:fldCharType="end"/>
        </w:r>
      </w:p>
    </w:sdtContent>
  </w:sdt>
  <w:p w14:paraId="0BC5CAB6">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975C7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3d1a3a14-261c-46e3-b91d-a68808a91a10}">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10873</Words>
  <Characters>11153</Characters>
  <Lines>5</Lines>
  <Paragraphs>1</Paragraphs>
  <TotalTime>0</TotalTime>
  <ScaleCrop>false</ScaleCrop>
  <LinksUpToDate>false</LinksUpToDate>
  <CharactersWithSpaces>11250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2025-09-22T04:19:26Z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