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新疆巴音郭楞蒙古自治州文化艺术创作中心2024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B61ABF6">
      <w:r>
        <w:br w:type="page"/>
      </w:r>
    </w:p>
    <w:p w14:paraId="3B909D49">
      <w:pPr>
        <w:spacing w:line="640" w:lineRule="exact"/>
        <w:jc w:val="center"/>
        <w:outlineLvl w:val="1"/>
      </w:pPr>
      <w:r>
        <w:rPr>
          <w:rFonts w:ascii="黑体" w:hAnsi="黑体" w:eastAsia="黑体"/>
          <w:sz w:val="32"/>
        </w:rPr>
        <w:t>第一部分 单位概况</w:t>
      </w:r>
    </w:p>
    <w:p w14:paraId="41374199">
      <w:pPr>
        <w:spacing w:line="640" w:lineRule="exact"/>
        <w:ind w:firstLine="640"/>
        <w:jc w:val="both"/>
        <w:outlineLvl w:val="2"/>
      </w:pPr>
      <w:r>
        <w:rPr>
          <w:rFonts w:ascii="黑体" w:hAnsi="黑体" w:eastAsia="黑体"/>
          <w:sz w:val="32"/>
        </w:rPr>
        <w:t>一、主要职能</w:t>
      </w:r>
    </w:p>
    <w:p w14:paraId="3C492F95">
      <w:pPr>
        <w:spacing w:line="580" w:lineRule="exact"/>
        <w:ind w:firstLine="640"/>
        <w:jc w:val="both"/>
      </w:pPr>
      <w:r>
        <w:rPr>
          <w:rFonts w:ascii="仿宋_GB2312" w:hAnsi="仿宋_GB2312" w:eastAsia="仿宋_GB2312"/>
          <w:sz w:val="32"/>
        </w:rPr>
        <w:t>从事研究制定自治州文化艺术创作规划，并组织实施；负责全州公益性、重大文艺演出节目的创作，艺术团体编创人员的培训和重点剧（节目）的辅导等。开展文化艺术的培训，组织、策划、创作、展览、承办、辅导各类群众文化活动和文艺演出。巴州美术馆美术作品的创作、收集、培训、宣传普及等工作。</w:t>
      </w:r>
    </w:p>
    <w:p w14:paraId="20A35ADA">
      <w:pPr>
        <w:spacing w:line="640" w:lineRule="exact"/>
        <w:ind w:firstLine="640"/>
        <w:jc w:val="both"/>
        <w:outlineLvl w:val="2"/>
      </w:pPr>
      <w:r>
        <w:rPr>
          <w:rFonts w:ascii="黑体" w:hAnsi="黑体" w:eastAsia="黑体"/>
          <w:sz w:val="32"/>
        </w:rPr>
        <w:t>二、机构设置及人员情况</w:t>
      </w:r>
    </w:p>
    <w:p w14:paraId="5C655442">
      <w:pPr>
        <w:spacing w:line="580" w:lineRule="exact"/>
        <w:ind w:firstLine="640"/>
        <w:jc w:val="both"/>
      </w:pPr>
      <w:r>
        <w:rPr>
          <w:rFonts w:ascii="仿宋_GB2312" w:hAnsi="仿宋_GB2312" w:eastAsia="仿宋_GB2312"/>
          <w:sz w:val="32"/>
        </w:rPr>
        <w:t>新疆巴音郭楞蒙古自治州文化艺术创作中心2024年度，实有人数8人，其中：在职人员3人，增加0人；离休人员0人，增加0人；退休人员5人,增加0人。</w:t>
      </w:r>
    </w:p>
    <w:p w14:paraId="61CE250B">
      <w:pPr>
        <w:spacing w:line="580" w:lineRule="exact"/>
        <w:ind w:firstLine="640"/>
        <w:jc w:val="both"/>
      </w:pPr>
      <w:r>
        <w:rPr>
          <w:rFonts w:ascii="仿宋_GB2312" w:hAnsi="仿宋_GB2312" w:eastAsia="仿宋_GB2312"/>
          <w:sz w:val="32"/>
        </w:rPr>
        <w:t>新疆巴音郭楞蒙古自治州文化艺术创作中心无下属预算单位，下设2个科室，分别是：美术室、财务室。</w:t>
      </w:r>
    </w:p>
    <w:p w14:paraId="319A635B">
      <w:r>
        <w:br w:type="page"/>
      </w:r>
    </w:p>
    <w:p w14:paraId="6F6C551A">
      <w:pPr>
        <w:spacing w:line="240" w:lineRule="auto"/>
        <w:jc w:val="center"/>
        <w:outlineLvl w:val="1"/>
      </w:pPr>
      <w:r>
        <w:rPr>
          <w:rFonts w:ascii="黑体" w:hAnsi="黑体" w:eastAsia="黑体"/>
          <w:sz w:val="32"/>
        </w:rPr>
        <w:t>第二部分 部门决算情况说明</w:t>
      </w:r>
    </w:p>
    <w:p w14:paraId="17700E6A">
      <w:pPr>
        <w:spacing w:line="640" w:lineRule="exact"/>
        <w:ind w:firstLine="640"/>
        <w:jc w:val="both"/>
        <w:outlineLvl w:val="2"/>
      </w:pPr>
      <w:r>
        <w:rPr>
          <w:rFonts w:ascii="黑体" w:hAnsi="黑体" w:eastAsia="黑体"/>
          <w:sz w:val="32"/>
        </w:rPr>
        <w:t>一、收入支出决算总体情况说明</w:t>
      </w:r>
    </w:p>
    <w:p w14:paraId="4C1012C1">
      <w:pPr>
        <w:spacing w:line="580" w:lineRule="exact"/>
        <w:ind w:firstLine="640"/>
        <w:jc w:val="both"/>
      </w:pPr>
      <w:r>
        <w:rPr>
          <w:rFonts w:ascii="仿宋_GB2312" w:hAnsi="仿宋_GB2312" w:eastAsia="仿宋_GB2312"/>
          <w:b/>
          <w:sz w:val="32"/>
        </w:rPr>
        <w:t>2024年度收入总计179.84万元，</w:t>
      </w:r>
      <w:r>
        <w:rPr>
          <w:rFonts w:ascii="仿宋_GB2312" w:hAnsi="仿宋_GB2312" w:eastAsia="仿宋_GB2312"/>
          <w:b w:val="0"/>
          <w:sz w:val="32"/>
        </w:rPr>
        <w:t>其中：本年收入合计179.70万元，使用非财政拨款结余（含专用结余）0.00万元，年初结转和结余0.14万元。</w:t>
      </w:r>
    </w:p>
    <w:p w14:paraId="2A567188">
      <w:pPr>
        <w:spacing w:line="580" w:lineRule="exact"/>
        <w:ind w:firstLine="640"/>
        <w:jc w:val="both"/>
      </w:pPr>
      <w:r>
        <w:rPr>
          <w:rFonts w:ascii="仿宋_GB2312" w:hAnsi="仿宋_GB2312" w:eastAsia="仿宋_GB2312"/>
          <w:b/>
          <w:sz w:val="32"/>
        </w:rPr>
        <w:t>2024年度支出总计179.84万元，</w:t>
      </w:r>
      <w:r>
        <w:rPr>
          <w:rFonts w:ascii="仿宋_GB2312" w:hAnsi="仿宋_GB2312" w:eastAsia="仿宋_GB2312"/>
          <w:b w:val="0"/>
          <w:sz w:val="32"/>
        </w:rPr>
        <w:t>其中：本年支出合计179.70万元，结余分配0.00万元，年末结转和结余0.14万元。</w:t>
      </w:r>
    </w:p>
    <w:p w14:paraId="57F44557">
      <w:pPr>
        <w:spacing w:line="580" w:lineRule="exact"/>
        <w:ind w:firstLine="640"/>
        <w:jc w:val="both"/>
      </w:pPr>
      <w:r>
        <w:rPr>
          <w:rFonts w:ascii="仿宋_GB2312" w:hAnsi="仿宋_GB2312" w:eastAsia="仿宋_GB2312"/>
          <w:b w:val="0"/>
          <w:sz w:val="32"/>
        </w:rPr>
        <w:t>收入支出总体与上年相比，减少54.26万元，下降23.18%，主要原因是：本年减少中央支持地方公共文化服务体系建设补助资金。</w:t>
      </w:r>
    </w:p>
    <w:p w14:paraId="4750D79D">
      <w:pPr>
        <w:spacing w:line="640" w:lineRule="exact"/>
        <w:ind w:firstLine="640"/>
        <w:jc w:val="both"/>
        <w:outlineLvl w:val="2"/>
      </w:pPr>
      <w:r>
        <w:rPr>
          <w:rFonts w:ascii="黑体" w:hAnsi="黑体" w:eastAsia="黑体"/>
          <w:sz w:val="32"/>
        </w:rPr>
        <w:t>二、收入决算情况说明</w:t>
      </w:r>
    </w:p>
    <w:p w14:paraId="4382C29B">
      <w:pPr>
        <w:spacing w:line="580" w:lineRule="exact"/>
        <w:ind w:firstLine="640"/>
        <w:jc w:val="both"/>
      </w:pPr>
      <w:r>
        <w:rPr>
          <w:rFonts w:ascii="仿宋_GB2312" w:hAnsi="仿宋_GB2312" w:eastAsia="仿宋_GB2312"/>
          <w:b/>
          <w:sz w:val="32"/>
        </w:rPr>
        <w:t>本年收入179.70万元，</w:t>
      </w:r>
      <w:r>
        <w:rPr>
          <w:rFonts w:ascii="仿宋_GB2312" w:hAnsi="仿宋_GB2312" w:eastAsia="仿宋_GB2312"/>
          <w:b w:val="0"/>
          <w:sz w:val="32"/>
        </w:rPr>
        <w:t>其中：财政拨款收入179.64万元，占99.97%；上级补助收入0.00万元，占0.00%；事业收入0.00万元，占0.00%；经营收入0.00万元，占0.00%；附属单位上缴收入0.00万元，占0.00%；其他收入0.07万元，占0.04%。</w:t>
      </w:r>
    </w:p>
    <w:p w14:paraId="5A17F62D">
      <w:pPr>
        <w:spacing w:line="640" w:lineRule="exact"/>
        <w:ind w:firstLine="640"/>
        <w:jc w:val="both"/>
        <w:outlineLvl w:val="2"/>
      </w:pPr>
      <w:r>
        <w:rPr>
          <w:rFonts w:ascii="黑体" w:hAnsi="黑体" w:eastAsia="黑体"/>
          <w:sz w:val="32"/>
        </w:rPr>
        <w:t>三、支出决算情况说明</w:t>
      </w:r>
    </w:p>
    <w:p w14:paraId="654CB3F9">
      <w:pPr>
        <w:spacing w:line="580" w:lineRule="exact"/>
        <w:ind w:firstLine="640"/>
        <w:jc w:val="both"/>
      </w:pPr>
      <w:r>
        <w:rPr>
          <w:rFonts w:ascii="仿宋_GB2312" w:hAnsi="仿宋_GB2312" w:eastAsia="仿宋_GB2312"/>
          <w:b/>
          <w:sz w:val="32"/>
        </w:rPr>
        <w:t>本年支出179.70万元，</w:t>
      </w:r>
      <w:r>
        <w:rPr>
          <w:rFonts w:ascii="仿宋_GB2312" w:hAnsi="仿宋_GB2312" w:eastAsia="仿宋_GB2312"/>
          <w:b w:val="0"/>
          <w:sz w:val="32"/>
        </w:rPr>
        <w:t>其中：基本支出61.23万元，占34.07%；项目支出118.47万元，占65.93%；上缴上级支出0.00万元，占0.00%；经营支出0.00万元，占0.00%；对附属单位补助支出0.00万元，占0.00%。</w:t>
      </w:r>
    </w:p>
    <w:p w14:paraId="30665E1F">
      <w:pPr>
        <w:spacing w:line="640" w:lineRule="exact"/>
        <w:ind w:firstLine="640"/>
        <w:jc w:val="both"/>
        <w:outlineLvl w:val="2"/>
      </w:pPr>
      <w:r>
        <w:rPr>
          <w:rFonts w:ascii="黑体" w:hAnsi="黑体" w:eastAsia="黑体"/>
          <w:sz w:val="32"/>
        </w:rPr>
        <w:t>四、财政拨款收入支出决算总体情况说明</w:t>
      </w:r>
    </w:p>
    <w:p w14:paraId="4846412A">
      <w:pPr>
        <w:spacing w:line="580" w:lineRule="exact"/>
        <w:ind w:firstLine="640"/>
        <w:jc w:val="both"/>
      </w:pPr>
      <w:r>
        <w:rPr>
          <w:rFonts w:ascii="仿宋_GB2312" w:hAnsi="仿宋_GB2312" w:eastAsia="仿宋_GB2312"/>
          <w:b/>
          <w:sz w:val="32"/>
        </w:rPr>
        <w:t>2024年度财政拨款收入总计179.64万元，</w:t>
      </w:r>
      <w:r>
        <w:rPr>
          <w:rFonts w:ascii="仿宋_GB2312" w:hAnsi="仿宋_GB2312" w:eastAsia="仿宋_GB2312"/>
          <w:b w:val="0"/>
          <w:sz w:val="32"/>
        </w:rPr>
        <w:t>其中：年初财政拨款结转和结余0.00万元，本年财政拨款收入179.64万元。</w:t>
      </w:r>
      <w:r>
        <w:rPr>
          <w:rFonts w:ascii="仿宋_GB2312" w:hAnsi="仿宋_GB2312" w:eastAsia="仿宋_GB2312"/>
          <w:b/>
          <w:sz w:val="32"/>
        </w:rPr>
        <w:t>财政拨款支出总计179.64万元，</w:t>
      </w:r>
      <w:r>
        <w:rPr>
          <w:rFonts w:ascii="仿宋_GB2312" w:hAnsi="仿宋_GB2312" w:eastAsia="仿宋_GB2312"/>
          <w:b w:val="0"/>
          <w:sz w:val="32"/>
        </w:rPr>
        <w:t>其中：年末财政拨款结转和结余0.00万元，本年财政拨款支出179.64万元。</w:t>
      </w:r>
    </w:p>
    <w:p w14:paraId="5CF3626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减少54.25万元，下降23.19%，主要原因是：本年减少中央支持地方公共文化服务体系建设补助资金。</w:t>
      </w:r>
      <w:r>
        <w:rPr>
          <w:rFonts w:ascii="仿宋_GB2312" w:hAnsi="仿宋_GB2312" w:eastAsia="仿宋_GB2312"/>
          <w:b/>
          <w:sz w:val="32"/>
        </w:rPr>
        <w:t>与年初预算相比，</w:t>
      </w:r>
      <w:r>
        <w:rPr>
          <w:rFonts w:ascii="仿宋_GB2312" w:hAnsi="仿宋_GB2312" w:eastAsia="仿宋_GB2312"/>
          <w:b w:val="0"/>
          <w:sz w:val="32"/>
        </w:rPr>
        <w:t>年初预算数155.70万元，决算数179.64万元，预决算差异率15.38%，主要原因是：年中追加中央补助公共文化服务体系建设资金项目，年中追加人员工资、社保、公积金基数调增部分资金，导致预决算存在差异。</w:t>
      </w:r>
    </w:p>
    <w:p w14:paraId="223061E7">
      <w:pPr>
        <w:spacing w:line="640" w:lineRule="exact"/>
        <w:ind w:firstLine="640"/>
        <w:jc w:val="both"/>
        <w:outlineLvl w:val="2"/>
      </w:pPr>
      <w:r>
        <w:rPr>
          <w:rFonts w:ascii="黑体" w:hAnsi="黑体" w:eastAsia="黑体"/>
          <w:sz w:val="32"/>
        </w:rPr>
        <w:t>五、一般公共预算财政拨款支出决算情况说明</w:t>
      </w:r>
    </w:p>
    <w:p w14:paraId="79F59DDA">
      <w:pPr>
        <w:spacing w:line="640" w:lineRule="exact"/>
        <w:ind w:firstLine="640"/>
        <w:jc w:val="both"/>
        <w:outlineLvl w:val="3"/>
      </w:pPr>
      <w:r>
        <w:rPr>
          <w:rFonts w:ascii="楷体_GB2312" w:hAnsi="楷体_GB2312" w:eastAsia="楷体_GB2312"/>
          <w:b/>
          <w:sz w:val="32"/>
        </w:rPr>
        <w:t>（一）一般公共预算财政拨款支出决算总体情况</w:t>
      </w:r>
    </w:p>
    <w:p w14:paraId="2016CAEB">
      <w:pPr>
        <w:spacing w:line="580" w:lineRule="exact"/>
        <w:ind w:firstLine="640"/>
        <w:jc w:val="both"/>
      </w:pPr>
      <w:r>
        <w:rPr>
          <w:rFonts w:ascii="仿宋_GB2312" w:hAnsi="仿宋_GB2312" w:eastAsia="仿宋_GB2312"/>
          <w:b/>
          <w:sz w:val="32"/>
        </w:rPr>
        <w:t>2024年度一般公共预算财政拨款支出179.64万元，</w:t>
      </w:r>
      <w:r>
        <w:rPr>
          <w:rFonts w:ascii="仿宋_GB2312" w:hAnsi="仿宋_GB2312" w:eastAsia="仿宋_GB2312"/>
          <w:b w:val="0"/>
          <w:sz w:val="32"/>
        </w:rPr>
        <w:t>占本年支出合计的99.97%。</w:t>
      </w:r>
      <w:r>
        <w:rPr>
          <w:rFonts w:ascii="仿宋_GB2312" w:hAnsi="仿宋_GB2312" w:eastAsia="仿宋_GB2312"/>
          <w:b/>
          <w:sz w:val="32"/>
        </w:rPr>
        <w:t>与上年相比，</w:t>
      </w:r>
      <w:r>
        <w:rPr>
          <w:rFonts w:ascii="仿宋_GB2312" w:hAnsi="仿宋_GB2312" w:eastAsia="仿宋_GB2312"/>
          <w:b w:val="0"/>
          <w:sz w:val="32"/>
        </w:rPr>
        <w:t>减少54.25万元，下降23.19%，主要原因是：本年减少中央支持地方公共文化服务体系建设补助资金。</w:t>
      </w:r>
      <w:r>
        <w:rPr>
          <w:rFonts w:ascii="仿宋_GB2312" w:hAnsi="仿宋_GB2312" w:eastAsia="仿宋_GB2312"/>
          <w:b/>
          <w:sz w:val="32"/>
        </w:rPr>
        <w:t>与年初预算相比,</w:t>
      </w:r>
      <w:r>
        <w:rPr>
          <w:rFonts w:ascii="仿宋_GB2312" w:hAnsi="仿宋_GB2312" w:eastAsia="仿宋_GB2312"/>
          <w:b w:val="0"/>
          <w:sz w:val="32"/>
        </w:rPr>
        <w:t>年初预算数155.70万元，决算数179.64万元，预决算差异率15.38%，主要原因是：年中追加中央补助公共文化服务体系建设资金项目，年中追加人员工资、社保、公积金基数调增部分资金，导致预决算存在差异。</w:t>
      </w:r>
    </w:p>
    <w:p w14:paraId="00296A22">
      <w:pPr>
        <w:spacing w:line="640" w:lineRule="exact"/>
        <w:ind w:firstLine="640"/>
        <w:jc w:val="both"/>
        <w:outlineLvl w:val="3"/>
      </w:pPr>
      <w:r>
        <w:rPr>
          <w:rFonts w:ascii="楷体_GB2312" w:hAnsi="楷体_GB2312" w:eastAsia="楷体_GB2312"/>
          <w:b/>
          <w:sz w:val="32"/>
        </w:rPr>
        <w:t>（二）一般公共预算财政拨款支出决算结构情况</w:t>
      </w:r>
    </w:p>
    <w:p w14:paraId="0C5FF067">
      <w:pPr>
        <w:spacing w:line="580" w:lineRule="exact"/>
        <w:ind w:firstLine="640"/>
        <w:jc w:val="both"/>
      </w:pPr>
      <w:r>
        <w:rPr>
          <w:rFonts w:ascii="仿宋_GB2312" w:hAnsi="仿宋_GB2312" w:eastAsia="仿宋_GB2312"/>
          <w:b w:val="0"/>
          <w:sz w:val="32"/>
        </w:rPr>
        <w:t>1.文化旅游体育与传媒支出(类)179.64万元,占100.00%。</w:t>
      </w:r>
    </w:p>
    <w:p w14:paraId="4BFC555C">
      <w:pPr>
        <w:spacing w:line="640" w:lineRule="exact"/>
        <w:ind w:firstLine="640"/>
        <w:jc w:val="both"/>
        <w:outlineLvl w:val="3"/>
      </w:pPr>
      <w:r>
        <w:rPr>
          <w:rFonts w:ascii="楷体_GB2312" w:hAnsi="楷体_GB2312" w:eastAsia="楷体_GB2312"/>
          <w:b/>
          <w:sz w:val="32"/>
        </w:rPr>
        <w:t>（三）一般公共预算财政拨款支出决算具体情况</w:t>
      </w:r>
    </w:p>
    <w:p w14:paraId="491FF833">
      <w:pPr>
        <w:spacing w:line="580" w:lineRule="exact"/>
        <w:ind w:firstLine="640"/>
        <w:jc w:val="both"/>
      </w:pPr>
      <w:r>
        <w:rPr>
          <w:rFonts w:ascii="仿宋_GB2312" w:hAnsi="仿宋_GB2312" w:eastAsia="仿宋_GB2312"/>
          <w:b w:val="0"/>
          <w:sz w:val="32"/>
        </w:rPr>
        <w:t>1.文化旅游体育与传媒支出(类)文化和旅游(款)艺术表演团体(项):支出决算数为91.16万元，比上年决算增加17.10万元，增长23.09%,主要原因是：本年在职人员工资调增，导致相关人员经费较上年有所增加。</w:t>
      </w:r>
    </w:p>
    <w:p w14:paraId="0BD299D6">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87.61万元，比上年决算增加10.92万元，增长14.24%,主要原因是：本年功能科目调整，部分美术馆、公共图书馆、文化馆(站)免费开放补助资金上年在其他文化旅游体育与传媒支出科目列支，本年其他文化和旅游支出科目列支，导致经费增加。</w:t>
      </w:r>
    </w:p>
    <w:p w14:paraId="7B1AC90B">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0.86万元，比上年决算减少82.28万元，下降98.97%,主要原因是：本年功能科目调整，部分美术馆、公共图书馆、文化馆(站)免费开放补助资金上年在其他文化旅游体育与传媒支出科目列支，本年其他文化和旅游支出科目列支，导致经费减少；减少中央支持地方公共文化服务体系建设补助资金。</w:t>
      </w:r>
    </w:p>
    <w:p w14:paraId="5B7DEF3E">
      <w:pPr>
        <w:spacing w:line="640" w:lineRule="exact"/>
        <w:ind w:firstLine="640"/>
        <w:jc w:val="both"/>
        <w:outlineLvl w:val="2"/>
      </w:pPr>
      <w:r>
        <w:rPr>
          <w:rFonts w:ascii="黑体" w:hAnsi="黑体" w:eastAsia="黑体"/>
          <w:sz w:val="32"/>
        </w:rPr>
        <w:t>六、一般公共预算财政拨款基本支出决算情况说明</w:t>
      </w:r>
    </w:p>
    <w:p w14:paraId="2F38BC00">
      <w:pPr>
        <w:spacing w:line="580" w:lineRule="exact"/>
        <w:ind w:firstLine="640"/>
        <w:jc w:val="both"/>
      </w:pPr>
      <w:r>
        <w:rPr>
          <w:rFonts w:ascii="仿宋_GB2312" w:hAnsi="仿宋_GB2312" w:eastAsia="仿宋_GB2312"/>
          <w:b w:val="0"/>
          <w:sz w:val="32"/>
        </w:rPr>
        <w:t>2024年度一般公共预算财政拨款基本支出61.16万元，其中：</w:t>
      </w:r>
      <w:r>
        <w:rPr>
          <w:rFonts w:ascii="仿宋_GB2312" w:hAnsi="仿宋_GB2312" w:eastAsia="仿宋_GB2312"/>
          <w:b/>
          <w:sz w:val="32"/>
        </w:rPr>
        <w:t>人员经费54.71万元，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包括：基本工资、津贴补贴、奖金、伙食补助费、机关事业单位基本养老保险缴费、职工基本医疗保险缴费、其他社会保障缴费、住房公积金、医疗费、退休费、奖励金。</w:t>
      </w:r>
    </w:p>
    <w:p w14:paraId="69C4C6EE">
      <w:pPr>
        <w:spacing w:line="580" w:lineRule="exact"/>
        <w:ind w:firstLine="640"/>
        <w:jc w:val="both"/>
      </w:pPr>
      <w:r>
        <w:rPr>
          <w:rFonts w:ascii="仿宋_GB2312" w:hAnsi="仿宋_GB2312" w:eastAsia="仿宋_GB2312"/>
          <w:b/>
          <w:sz w:val="32"/>
        </w:rPr>
        <w:t>公用经费6.45万元，</w:t>
      </w:r>
      <w:r>
        <w:rPr>
          <w:rFonts w:ascii="仿宋_GB2312" w:hAnsi="仿宋_GB2312" w:eastAsia="仿宋_GB2312"/>
          <w:b w:val="0"/>
          <w:sz w:val="32"/>
        </w:rPr>
        <w:t>包括：办公费、水费、电费、邮电费、取暖费、物业管理费、差旅费、培训费、工会经费、福利费、其他商品和服务支出。</w:t>
      </w:r>
    </w:p>
    <w:p w14:paraId="1FA42906">
      <w:pPr>
        <w:spacing w:line="640" w:lineRule="exact"/>
        <w:ind w:firstLine="640"/>
        <w:jc w:val="both"/>
        <w:outlineLvl w:val="2"/>
      </w:pPr>
      <w:r>
        <w:rPr>
          <w:rFonts w:ascii="黑体" w:hAnsi="黑体" w:eastAsia="黑体"/>
          <w:sz w:val="32"/>
        </w:rPr>
        <w:t>七、政府性基金预算财政拨款收入支出决算情况说明</w:t>
      </w:r>
    </w:p>
    <w:p w14:paraId="0D09A65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E115ECB">
      <w:pPr>
        <w:spacing w:line="640" w:lineRule="exact"/>
        <w:ind w:firstLine="640"/>
        <w:jc w:val="both"/>
        <w:outlineLvl w:val="2"/>
      </w:pPr>
      <w:r>
        <w:rPr>
          <w:rFonts w:ascii="黑体" w:hAnsi="黑体" w:eastAsia="黑体"/>
          <w:sz w:val="32"/>
        </w:rPr>
        <w:t>八、国有资本经营预算财政拨款收入支出决算情况说明</w:t>
      </w:r>
    </w:p>
    <w:p w14:paraId="6603E05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E33581">
      <w:pPr>
        <w:spacing w:line="640" w:lineRule="exact"/>
        <w:ind w:firstLine="640"/>
        <w:jc w:val="both"/>
        <w:outlineLvl w:val="2"/>
      </w:pPr>
      <w:r>
        <w:rPr>
          <w:rFonts w:ascii="黑体" w:hAnsi="黑体" w:eastAsia="黑体"/>
          <w:sz w:val="32"/>
        </w:rPr>
        <w:t>九、财政拨款“三公”经费支出决算情况说明</w:t>
      </w:r>
    </w:p>
    <w:p w14:paraId="6FA2E1E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E7FE403">
      <w:pPr>
        <w:spacing w:line="580" w:lineRule="exact"/>
        <w:ind w:firstLine="640"/>
        <w:jc w:val="both"/>
      </w:pPr>
      <w:r>
        <w:rPr>
          <w:rFonts w:ascii="仿宋_GB2312" w:hAnsi="仿宋_GB2312" w:eastAsia="仿宋_GB2312"/>
          <w:b/>
          <w:sz w:val="32"/>
        </w:rPr>
        <w:t>具体情况如下：</w:t>
      </w:r>
    </w:p>
    <w:p w14:paraId="65E6CFE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8D19C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80AB85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EB9C21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87A98C4">
      <w:pPr>
        <w:spacing w:line="640" w:lineRule="exact"/>
        <w:ind w:firstLine="640"/>
        <w:jc w:val="both"/>
        <w:outlineLvl w:val="2"/>
      </w:pPr>
      <w:r>
        <w:rPr>
          <w:rFonts w:ascii="黑体" w:hAnsi="黑体" w:eastAsia="黑体"/>
          <w:sz w:val="32"/>
        </w:rPr>
        <w:t>十、其他重要事项的情况说明</w:t>
      </w:r>
    </w:p>
    <w:p w14:paraId="2A7742A6">
      <w:pPr>
        <w:spacing w:line="640" w:lineRule="exact"/>
        <w:ind w:firstLine="640"/>
        <w:jc w:val="both"/>
        <w:outlineLvl w:val="3"/>
      </w:pPr>
      <w:r>
        <w:rPr>
          <w:rFonts w:ascii="楷体_GB2312" w:hAnsi="楷体_GB2312" w:eastAsia="楷体_GB2312"/>
          <w:b/>
          <w:sz w:val="32"/>
        </w:rPr>
        <w:t>（一）机关运行经费及公用经费支出情况</w:t>
      </w:r>
    </w:p>
    <w:p w14:paraId="4BAB89F6">
      <w:pPr>
        <w:spacing w:line="580" w:lineRule="exact"/>
        <w:ind w:firstLine="640"/>
        <w:jc w:val="both"/>
      </w:pPr>
      <w:r>
        <w:rPr>
          <w:rFonts w:ascii="仿宋_GB2312" w:hAnsi="仿宋_GB2312" w:eastAsia="仿宋_GB2312"/>
          <w:b w:val="0"/>
          <w:sz w:val="32"/>
        </w:rPr>
        <w:t>2024年度新疆巴音郭楞蒙古自治州文化艺术创作中心（事业单位）公用经费支出6.45万元，比上年增加0.02万元，增长0.31%，主要原因是：本年更新、维护补充办公用品，导致公用经费较上年增加。</w:t>
      </w:r>
    </w:p>
    <w:p w14:paraId="43F19808">
      <w:pPr>
        <w:spacing w:line="640" w:lineRule="exact"/>
        <w:ind w:firstLine="640"/>
        <w:jc w:val="both"/>
        <w:outlineLvl w:val="3"/>
      </w:pPr>
      <w:r>
        <w:rPr>
          <w:rFonts w:ascii="楷体_GB2312" w:hAnsi="楷体_GB2312" w:eastAsia="楷体_GB2312"/>
          <w:b/>
          <w:sz w:val="32"/>
        </w:rPr>
        <w:t>（二）政府采购情况</w:t>
      </w:r>
    </w:p>
    <w:p w14:paraId="60CB2493">
      <w:pPr>
        <w:spacing w:line="580" w:lineRule="exact"/>
        <w:ind w:firstLine="640"/>
        <w:jc w:val="both"/>
      </w:pPr>
      <w:r>
        <w:rPr>
          <w:rFonts w:ascii="仿宋_GB2312" w:hAnsi="仿宋_GB2312" w:eastAsia="仿宋_GB2312"/>
          <w:b w:val="0"/>
          <w:sz w:val="32"/>
        </w:rPr>
        <w:t>2024年度政府采购支出总额43.34万元，其中：政府采购货物支出15.54万元、政府采购工程支出0.00万元、政府采购服务支出27.79万元。</w:t>
      </w:r>
    </w:p>
    <w:p w14:paraId="15564C1F">
      <w:pPr>
        <w:spacing w:line="580" w:lineRule="exact"/>
        <w:ind w:firstLine="640"/>
        <w:jc w:val="both"/>
      </w:pPr>
      <w:r>
        <w:rPr>
          <w:rFonts w:ascii="仿宋_GB2312" w:hAnsi="仿宋_GB2312" w:eastAsia="仿宋_GB2312"/>
          <w:b w:val="0"/>
          <w:sz w:val="32"/>
        </w:rPr>
        <w:t>授予中小企业合同金额0.15万元，占政府采购支出总额的0.35%，其中：授予小微企业合同金额0.15万元，占政府采购支出总额的0.35%。</w:t>
      </w:r>
    </w:p>
    <w:p w14:paraId="34C73D32">
      <w:pPr>
        <w:spacing w:line="640" w:lineRule="exact"/>
        <w:ind w:firstLine="640"/>
        <w:jc w:val="both"/>
        <w:outlineLvl w:val="3"/>
      </w:pPr>
      <w:r>
        <w:rPr>
          <w:rFonts w:ascii="楷体_GB2312" w:hAnsi="楷体_GB2312" w:eastAsia="楷体_GB2312"/>
          <w:b/>
          <w:sz w:val="32"/>
        </w:rPr>
        <w:t>（三）国有资产占用情况说明</w:t>
      </w:r>
    </w:p>
    <w:p w14:paraId="300F04B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8B3939E">
      <w:pPr>
        <w:spacing w:line="640" w:lineRule="exact"/>
        <w:ind w:firstLine="640"/>
        <w:jc w:val="both"/>
        <w:outlineLvl w:val="2"/>
      </w:pPr>
      <w:r>
        <w:rPr>
          <w:rFonts w:ascii="黑体" w:hAnsi="黑体" w:eastAsia="黑体"/>
          <w:sz w:val="32"/>
        </w:rPr>
        <w:t>十一、预算绩效的情况说明</w:t>
      </w:r>
    </w:p>
    <w:p w14:paraId="26D139CB">
      <w:pPr>
        <w:spacing w:line="580" w:lineRule="exact"/>
        <w:ind w:firstLine="640"/>
        <w:jc w:val="both"/>
      </w:pPr>
      <w:r>
        <w:rPr>
          <w:rFonts w:ascii="仿宋_GB2312" w:hAnsi="仿宋_GB2312" w:eastAsia="仿宋_GB2312"/>
          <w:b w:val="0"/>
          <w:sz w:val="32"/>
        </w:rPr>
        <w:t>根据预算绩效管理要求，本单位预算绩效评价项目5个，全年预算数118.46万元，全年执行数118.46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宣传引导，强化绩效观念。党的十八届三中全会作出的《关于全面深化改革若干重大问题的决定》中对政府绩效管理和财政预算管理提出了明确要求，新修订的《中华人民共和国预算法》也对预算绩效管理作出了具体规定，尽快建立并完善预算绩效管理机制也是推进法治型、服务型、节约型政府建设的有效途径和重要举措。具体附项目支出绩效自评表。</w:t>
      </w:r>
    </w:p>
    <w:p w14:paraId="4F8790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94A7120">
        <w:tblPrEx>
          <w:tblCellMar>
            <w:top w:w="0" w:type="dxa"/>
            <w:left w:w="108" w:type="dxa"/>
            <w:bottom w:w="0" w:type="dxa"/>
            <w:right w:w="108" w:type="dxa"/>
          </w:tblCellMar>
        </w:tblPrEx>
        <w:tc>
          <w:tcPr>
            <w:tcW w:w="8848" w:type="dxa"/>
            <w:gridSpan w:val="14"/>
            <w:vAlign w:val="center"/>
          </w:tcPr>
          <w:p w14:paraId="014D9A30">
            <w:pPr>
              <w:jc w:val="center"/>
            </w:pPr>
            <w:r>
              <w:rPr>
                <w:rFonts w:ascii="宋体" w:hAnsi="宋体" w:eastAsia="宋体"/>
                <w:sz w:val="24"/>
              </w:rPr>
              <w:t>项目支出绩效自评表</w:t>
            </w:r>
          </w:p>
        </w:tc>
      </w:tr>
      <w:tr w14:paraId="31A5E77D">
        <w:tblPrEx>
          <w:tblCellMar>
            <w:top w:w="0" w:type="dxa"/>
            <w:left w:w="108" w:type="dxa"/>
            <w:bottom w:w="0" w:type="dxa"/>
            <w:right w:w="108" w:type="dxa"/>
          </w:tblCellMar>
        </w:tblPrEx>
        <w:tc>
          <w:tcPr>
            <w:tcW w:w="8848" w:type="dxa"/>
            <w:gridSpan w:val="14"/>
            <w:vAlign w:val="center"/>
          </w:tcPr>
          <w:p w14:paraId="12C7E230">
            <w:pPr>
              <w:jc w:val="center"/>
            </w:pPr>
            <w:r>
              <w:rPr>
                <w:rFonts w:ascii="宋体" w:hAnsi="宋体" w:eastAsia="宋体"/>
                <w:sz w:val="24"/>
              </w:rPr>
              <w:t>(2024年度)</w:t>
            </w:r>
          </w:p>
        </w:tc>
      </w:tr>
      <w:tr w14:paraId="67B52D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5B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C263DB">
            <w:pPr>
              <w:jc w:val="center"/>
            </w:pPr>
            <w:r>
              <w:rPr>
                <w:rFonts w:ascii="宋体" w:hAnsi="宋体" w:eastAsia="宋体"/>
                <w:sz w:val="16"/>
              </w:rPr>
              <w:t>2023年中央补助地方公共文化服务体系建设专项资金（上年结转）</w:t>
            </w:r>
          </w:p>
        </w:tc>
      </w:tr>
      <w:tr w14:paraId="1E817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B0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112B2">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0A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F3535">
            <w:pPr>
              <w:jc w:val="center"/>
            </w:pPr>
            <w:r>
              <w:rPr>
                <w:rFonts w:ascii="宋体" w:hAnsi="宋体" w:eastAsia="宋体"/>
                <w:sz w:val="16"/>
              </w:rPr>
              <w:t>新疆巴音郭楞蒙古自治州文化艺术创作中心</w:t>
            </w:r>
          </w:p>
        </w:tc>
      </w:tr>
      <w:tr w14:paraId="5B164B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260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539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0BD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4E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019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D88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E5A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2E1B">
            <w:pPr>
              <w:jc w:val="center"/>
            </w:pPr>
            <w:r>
              <w:rPr>
                <w:rFonts w:ascii="宋体" w:hAnsi="宋体" w:eastAsia="宋体"/>
                <w:sz w:val="16"/>
              </w:rPr>
              <w:t>得分</w:t>
            </w:r>
          </w:p>
        </w:tc>
      </w:tr>
      <w:tr w14:paraId="2B3232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FCC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593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A11E">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D0ECC">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62CD7">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07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C9F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3444">
            <w:pPr>
              <w:jc w:val="center"/>
            </w:pPr>
            <w:r>
              <w:rPr>
                <w:rFonts w:ascii="宋体" w:hAnsi="宋体" w:eastAsia="宋体"/>
                <w:sz w:val="16"/>
              </w:rPr>
              <w:t>10.00</w:t>
            </w:r>
          </w:p>
        </w:tc>
      </w:tr>
      <w:tr w14:paraId="05595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D02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11C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4CB09">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171C">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545B0">
            <w:pPr>
              <w:jc w:val="center"/>
            </w:pPr>
            <w:r>
              <w:rPr>
                <w:rFonts w:ascii="宋体" w:hAnsi="宋体" w:eastAsia="宋体"/>
                <w:sz w:val="16"/>
              </w:rPr>
              <w:t>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8F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00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CEF2">
            <w:pPr>
              <w:jc w:val="center"/>
            </w:pPr>
            <w:r>
              <w:rPr>
                <w:rFonts w:ascii="宋体" w:hAnsi="宋体" w:eastAsia="宋体"/>
                <w:sz w:val="16"/>
              </w:rPr>
              <w:t>-</w:t>
            </w:r>
          </w:p>
        </w:tc>
      </w:tr>
      <w:tr w14:paraId="1C841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5FC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C9A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19E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D0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52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31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56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3822">
            <w:pPr>
              <w:jc w:val="center"/>
            </w:pPr>
            <w:r>
              <w:rPr>
                <w:rFonts w:ascii="宋体" w:hAnsi="宋体" w:eastAsia="宋体"/>
                <w:sz w:val="16"/>
              </w:rPr>
              <w:t>-</w:t>
            </w:r>
          </w:p>
        </w:tc>
      </w:tr>
      <w:tr w14:paraId="237A49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2CD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C7C8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E458F">
            <w:pPr>
              <w:jc w:val="center"/>
            </w:pPr>
            <w:r>
              <w:rPr>
                <w:rFonts w:ascii="宋体" w:hAnsi="宋体" w:eastAsia="宋体"/>
                <w:sz w:val="16"/>
              </w:rPr>
              <w:t>总体目标完成情况</w:t>
            </w:r>
          </w:p>
        </w:tc>
      </w:tr>
      <w:tr w14:paraId="643D4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A0B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D6D1E">
            <w:pPr>
              <w:jc w:val="both"/>
            </w:pPr>
            <w:r>
              <w:rPr>
                <w:rFonts w:ascii="宋体" w:hAnsi="宋体" w:eastAsia="宋体"/>
                <w:sz w:val="16"/>
              </w:rPr>
              <w:t>根据中央支持地方公共文化服务体系建设补助资金巴财教</w:t>
            </w:r>
            <w:r>
              <w:rPr>
                <w:rFonts w:hint="eastAsia" w:ascii="宋体" w:hAnsi="宋体"/>
                <w:sz w:val="16"/>
                <w:lang w:eastAsia="zh-CN"/>
              </w:rPr>
              <w:t>〔2023〕65号</w:t>
            </w:r>
            <w:r>
              <w:rPr>
                <w:rFonts w:ascii="宋体" w:hAnsi="宋体" w:eastAsia="宋体"/>
                <w:sz w:val="16"/>
              </w:rPr>
              <w:t>文件精神，用于引导和支持地方提供公共文化服务项目，改善公共</w:t>
            </w:r>
            <w:r>
              <w:rPr>
                <w:rFonts w:hint="eastAsia" w:ascii="宋体" w:hAnsi="宋体"/>
                <w:sz w:val="16"/>
                <w:lang w:eastAsia="zh-CN"/>
              </w:rPr>
              <w:t>文化</w:t>
            </w:r>
            <w:r>
              <w:rPr>
                <w:rFonts w:ascii="宋体" w:hAnsi="宋体" w:eastAsia="宋体"/>
                <w:sz w:val="16"/>
              </w:rPr>
              <w:t>设施条件，加强基层公共文化人才队伍建设等，</w:t>
            </w:r>
            <w:r>
              <w:rPr>
                <w:rFonts w:hint="eastAsia" w:ascii="宋体" w:hAnsi="宋体"/>
                <w:sz w:val="16"/>
                <w:lang w:eastAsia="zh-CN"/>
              </w:rPr>
              <w:t>支持</w:t>
            </w:r>
            <w:r>
              <w:rPr>
                <w:rFonts w:ascii="宋体" w:hAnsi="宋体" w:eastAsia="宋体"/>
                <w:sz w:val="16"/>
              </w:rPr>
              <w:t>加快构建现代公共文化服务体系，提升基本公共文化服务水平。为庆祝巴音郭楞蒙古自治州成立70周年，凝聚力量跟党走，讲好新时代故事，全面反映全疆各行各业、各条战线人民在党领导下所取得的辉煌成绩和安居乐业的幸福生活，作品以体现70年来大美巴州的巨大变化，美丽田园，人与自然、人与万物的美好关系，幸福、和谐、和平、发展的美好新时代为主要内容。举办美术活动5次，活动天数180天，预计展览人数25000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8B7C8">
            <w:pPr>
              <w:jc w:val="both"/>
            </w:pPr>
            <w:r>
              <w:rPr>
                <w:rFonts w:ascii="宋体" w:hAnsi="宋体" w:eastAsia="宋体"/>
                <w:sz w:val="16"/>
              </w:rPr>
              <w:t>根据中央支持地方公共文化服务体系建设补助资金巴财教</w:t>
            </w:r>
            <w:r>
              <w:rPr>
                <w:rFonts w:hint="eastAsia" w:ascii="宋体" w:hAnsi="宋体"/>
                <w:sz w:val="16"/>
                <w:lang w:eastAsia="zh-CN"/>
              </w:rPr>
              <w:t>〔2023〕65号</w:t>
            </w:r>
            <w:r>
              <w:rPr>
                <w:rFonts w:ascii="宋体" w:hAnsi="宋体" w:eastAsia="宋体"/>
                <w:sz w:val="16"/>
              </w:rPr>
              <w:t>文件精神，巴州艺术创作中心为庆祝巴音郭楞蒙古自治州成立70周年，凝聚力量跟党走，讲好新时代故事，全面反映全疆各行各业、各条战线人民在党领导下所取得的辉煌成绩和安居乐业的幸福生活，完成美术作品展览1场，举办50天，参加活动115人，通过展览体现70年来大美巴州的巨大变化，美丽田园，人与自然、人与万物的美好关系，幸福、和谐、和平、发展的美好新时代。</w:t>
            </w:r>
          </w:p>
        </w:tc>
      </w:tr>
      <w:tr w14:paraId="52F5D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FC8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43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F7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45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E38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7C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A2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762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A01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5B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42A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D2C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30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F950">
            <w:pPr>
              <w:jc w:val="center"/>
            </w:pPr>
            <w:r>
              <w:rPr>
                <w:rFonts w:ascii="宋体" w:hAnsi="宋体" w:eastAsia="宋体"/>
                <w:sz w:val="16"/>
              </w:rPr>
              <w:t>偏差原因分析及改进措施</w:t>
            </w:r>
          </w:p>
        </w:tc>
      </w:tr>
      <w:tr w14:paraId="0CF692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271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EE7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290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1AA8">
            <w:pPr>
              <w:jc w:val="center"/>
            </w:pPr>
            <w:r>
              <w:rPr>
                <w:rFonts w:ascii="宋体" w:hAnsi="宋体" w:eastAsia="宋体"/>
                <w:sz w:val="16"/>
              </w:rPr>
              <w:t>美术活动举办次数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99C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6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2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2D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2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74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766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6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7A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572E">
            <w:pPr>
              <w:jc w:val="center"/>
            </w:pPr>
          </w:p>
        </w:tc>
      </w:tr>
      <w:tr w14:paraId="64E82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48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CC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36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924B">
            <w:pPr>
              <w:jc w:val="center"/>
            </w:pPr>
            <w:r>
              <w:rPr>
                <w:rFonts w:ascii="宋体" w:hAnsi="宋体" w:eastAsia="宋体"/>
                <w:sz w:val="16"/>
              </w:rPr>
              <w:t>美术活动参加人数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5269">
            <w:pPr>
              <w:jc w:val="center"/>
            </w:pPr>
            <w:r>
              <w:rPr>
                <w:rFonts w:ascii="宋体" w:hAnsi="宋体" w:eastAsia="宋体"/>
                <w:sz w:val="16"/>
              </w:rPr>
              <w:t>&gt;=115人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68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FB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37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7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9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6188">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5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23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211C">
            <w:pPr>
              <w:jc w:val="center"/>
            </w:pPr>
          </w:p>
        </w:tc>
      </w:tr>
      <w:tr w14:paraId="37735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48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E8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80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7525">
            <w:pPr>
              <w:jc w:val="center"/>
            </w:pPr>
            <w:r>
              <w:rPr>
                <w:rFonts w:ascii="宋体" w:hAnsi="宋体" w:eastAsia="宋体"/>
                <w:sz w:val="16"/>
              </w:rPr>
              <w:t>美术活动举办天数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154E">
            <w:pPr>
              <w:jc w:val="center"/>
            </w:pPr>
            <w:r>
              <w:rPr>
                <w:rFonts w:ascii="宋体" w:hAnsi="宋体" w:eastAsia="宋体"/>
                <w:sz w:val="16"/>
              </w:rPr>
              <w:t>&gt;=50天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3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D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BB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9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7D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FF44">
            <w:pPr>
              <w:jc w:val="center"/>
            </w:pPr>
            <w:r>
              <w:rPr>
                <w:rFonts w:ascii="宋体" w:hAnsi="宋体" w:eastAsia="宋体"/>
                <w:sz w:val="16"/>
              </w:rPr>
              <w: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C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10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38C3">
            <w:pPr>
              <w:jc w:val="center"/>
            </w:pPr>
          </w:p>
        </w:tc>
      </w:tr>
      <w:tr w14:paraId="5583E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3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7B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D2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BFEC">
            <w:pPr>
              <w:jc w:val="center"/>
            </w:pPr>
            <w:r>
              <w:rPr>
                <w:rFonts w:ascii="宋体" w:hAnsi="宋体" w:eastAsia="宋体"/>
                <w:sz w:val="16"/>
              </w:rPr>
              <w:t>美术活动人员参与率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6B8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0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4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43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9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28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8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A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FD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96CA">
            <w:pPr>
              <w:jc w:val="center"/>
            </w:pPr>
          </w:p>
        </w:tc>
      </w:tr>
      <w:tr w14:paraId="147E6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33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44D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78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0B43">
            <w:pPr>
              <w:jc w:val="center"/>
            </w:pPr>
            <w:r>
              <w:rPr>
                <w:rFonts w:ascii="宋体" w:hAnsi="宋体" w:eastAsia="宋体"/>
                <w:sz w:val="16"/>
              </w:rPr>
              <w:t>美术活动按时完成率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3EA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E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29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05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9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3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A0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9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47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172E">
            <w:pPr>
              <w:jc w:val="center"/>
            </w:pPr>
          </w:p>
        </w:tc>
      </w:tr>
      <w:tr w14:paraId="62BA7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C9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35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17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1B60">
            <w:pPr>
              <w:jc w:val="center"/>
            </w:pPr>
            <w:r>
              <w:rPr>
                <w:rFonts w:ascii="宋体" w:hAnsi="宋体" w:eastAsia="宋体"/>
                <w:sz w:val="16"/>
              </w:rPr>
              <w:t>每次美术活动开展经费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E3148">
            <w:pPr>
              <w:jc w:val="center"/>
            </w:pPr>
            <w:r>
              <w:rPr>
                <w:rFonts w:ascii="宋体" w:hAnsi="宋体" w:eastAsia="宋体"/>
                <w:sz w:val="16"/>
              </w:rPr>
              <w:t>&lt;=0.85万元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4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0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FF5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07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A0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82CF">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5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34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2422">
            <w:pPr>
              <w:jc w:val="center"/>
            </w:pPr>
          </w:p>
        </w:tc>
      </w:tr>
      <w:tr w14:paraId="1A23F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C6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41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2F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5346">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A44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0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8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6C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06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A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6FA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F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56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ADFE">
            <w:pPr>
              <w:jc w:val="center"/>
            </w:pPr>
          </w:p>
        </w:tc>
      </w:tr>
      <w:tr w14:paraId="1767254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B3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D6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73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F089">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49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3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1A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71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E0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E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6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5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51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C63D">
            <w:pPr>
              <w:jc w:val="center"/>
            </w:pPr>
          </w:p>
        </w:tc>
      </w:tr>
      <w:tr w14:paraId="101165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A6A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590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E3DE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34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7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F4F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8E7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C99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CE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153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DF4FB5"/>
        </w:tc>
      </w:tr>
    </w:tbl>
    <w:p w14:paraId="623561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A701220">
        <w:tc>
          <w:tcPr>
            <w:tcW w:w="8848" w:type="dxa"/>
            <w:gridSpan w:val="14"/>
            <w:vAlign w:val="center"/>
          </w:tcPr>
          <w:p w14:paraId="6A6BAC85">
            <w:pPr>
              <w:jc w:val="center"/>
            </w:pPr>
            <w:r>
              <w:rPr>
                <w:rFonts w:ascii="宋体" w:hAnsi="宋体" w:eastAsia="宋体"/>
                <w:sz w:val="24"/>
              </w:rPr>
              <w:t>项目支出绩效自评表</w:t>
            </w:r>
          </w:p>
        </w:tc>
      </w:tr>
      <w:tr w14:paraId="0EAC6DB1">
        <w:tblPrEx>
          <w:tblCellMar>
            <w:top w:w="0" w:type="dxa"/>
            <w:left w:w="108" w:type="dxa"/>
            <w:bottom w:w="0" w:type="dxa"/>
            <w:right w:w="108" w:type="dxa"/>
          </w:tblCellMar>
        </w:tblPrEx>
        <w:tc>
          <w:tcPr>
            <w:tcW w:w="8848" w:type="dxa"/>
            <w:gridSpan w:val="14"/>
            <w:vAlign w:val="center"/>
          </w:tcPr>
          <w:p w14:paraId="03E7E6A8">
            <w:pPr>
              <w:jc w:val="center"/>
            </w:pPr>
            <w:r>
              <w:rPr>
                <w:rFonts w:ascii="宋体" w:hAnsi="宋体" w:eastAsia="宋体"/>
                <w:sz w:val="24"/>
              </w:rPr>
              <w:t>(2024年度)</w:t>
            </w:r>
          </w:p>
        </w:tc>
      </w:tr>
      <w:tr w14:paraId="3FBC91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42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150B3B">
            <w:pPr>
              <w:jc w:val="center"/>
            </w:pPr>
            <w:r>
              <w:rPr>
                <w:rFonts w:ascii="宋体" w:hAnsi="宋体" w:eastAsia="宋体"/>
                <w:sz w:val="16"/>
              </w:rPr>
              <w:t>2023年中央补助地方美术馆、公共图书馆、文化馆（站）免费开放补助资金（上年结转）</w:t>
            </w:r>
          </w:p>
        </w:tc>
      </w:tr>
      <w:tr w14:paraId="3914DC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D7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B30A9">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4B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2FF707">
            <w:pPr>
              <w:jc w:val="center"/>
            </w:pPr>
            <w:r>
              <w:rPr>
                <w:rFonts w:ascii="宋体" w:hAnsi="宋体" w:eastAsia="宋体"/>
                <w:sz w:val="16"/>
              </w:rPr>
              <w:t>新疆巴音郭楞蒙古自治州文化艺术创作中心</w:t>
            </w:r>
          </w:p>
        </w:tc>
      </w:tr>
      <w:tr w14:paraId="05BFE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EAF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11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334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DE3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7DC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48F2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CB2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D5A1">
            <w:pPr>
              <w:jc w:val="center"/>
            </w:pPr>
            <w:r>
              <w:rPr>
                <w:rFonts w:ascii="宋体" w:hAnsi="宋体" w:eastAsia="宋体"/>
                <w:sz w:val="16"/>
              </w:rPr>
              <w:t>得分</w:t>
            </w:r>
          </w:p>
        </w:tc>
      </w:tr>
      <w:tr w14:paraId="5ADA5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B4E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3DE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421DE">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C7020">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C10E9">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90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E3F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A59C">
            <w:pPr>
              <w:jc w:val="center"/>
            </w:pPr>
            <w:r>
              <w:rPr>
                <w:rFonts w:ascii="宋体" w:hAnsi="宋体" w:eastAsia="宋体"/>
                <w:sz w:val="16"/>
              </w:rPr>
              <w:t>10.00</w:t>
            </w:r>
          </w:p>
        </w:tc>
      </w:tr>
      <w:tr w14:paraId="7D23F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AF2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B45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45319">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152B">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A4FCC">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55F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C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18CB">
            <w:pPr>
              <w:jc w:val="center"/>
            </w:pPr>
            <w:r>
              <w:rPr>
                <w:rFonts w:ascii="宋体" w:hAnsi="宋体" w:eastAsia="宋体"/>
                <w:sz w:val="16"/>
              </w:rPr>
              <w:t>-</w:t>
            </w:r>
          </w:p>
        </w:tc>
      </w:tr>
      <w:tr w14:paraId="7DD6F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8F0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EF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9CE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8C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443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C8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AA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7E00">
            <w:pPr>
              <w:jc w:val="center"/>
            </w:pPr>
            <w:r>
              <w:rPr>
                <w:rFonts w:ascii="宋体" w:hAnsi="宋体" w:eastAsia="宋体"/>
                <w:sz w:val="16"/>
              </w:rPr>
              <w:t>-</w:t>
            </w:r>
          </w:p>
        </w:tc>
      </w:tr>
      <w:tr w14:paraId="6A5021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277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524E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62AD19">
            <w:pPr>
              <w:jc w:val="center"/>
            </w:pPr>
            <w:r>
              <w:rPr>
                <w:rFonts w:ascii="宋体" w:hAnsi="宋体" w:eastAsia="宋体"/>
                <w:sz w:val="16"/>
              </w:rPr>
              <w:t>总体目标完成情况</w:t>
            </w:r>
          </w:p>
        </w:tc>
      </w:tr>
      <w:tr w14:paraId="2BC0E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5E8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FD33E">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发展。通过文艺演出、宣传等方式进行免费开放活动，让更多的人享受免费开放活动带来的精神文化满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EB057">
            <w:pPr>
              <w:jc w:val="both"/>
            </w:pPr>
            <w:r>
              <w:rPr>
                <w:rFonts w:ascii="宋体" w:hAnsi="宋体" w:eastAsia="宋体"/>
                <w:sz w:val="16"/>
              </w:rPr>
              <w:t>根据《新疆维吾尔自治区美术馆、公共图书馆、文化馆（站）免费开放专项资金管理暂行办法》规定的补助范围、标准，巴州文化馆、美术馆属于地市级免费开放公共场所，2024年下达指标3.31万元，完成开展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5D3C3B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578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DA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3C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15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8D4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08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0B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061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CF0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7F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AAD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DB7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23B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3428">
            <w:pPr>
              <w:jc w:val="center"/>
            </w:pPr>
            <w:r>
              <w:rPr>
                <w:rFonts w:ascii="宋体" w:hAnsi="宋体" w:eastAsia="宋体"/>
                <w:sz w:val="16"/>
              </w:rPr>
              <w:t>偏差原因分析及改进措施</w:t>
            </w:r>
          </w:p>
        </w:tc>
      </w:tr>
      <w:tr w14:paraId="21932A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9CF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8289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E25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94B2">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4F3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5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2D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A7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4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4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416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B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D7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7495">
            <w:pPr>
              <w:jc w:val="center"/>
            </w:pPr>
          </w:p>
        </w:tc>
      </w:tr>
      <w:tr w14:paraId="40FF4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E0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06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1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3436">
            <w:pPr>
              <w:jc w:val="center"/>
            </w:pPr>
            <w:r>
              <w:rPr>
                <w:rFonts w:ascii="宋体" w:hAnsi="宋体" w:eastAsia="宋体"/>
                <w:sz w:val="16"/>
              </w:rPr>
              <w:t>免费开放美术馆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56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F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9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FF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0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6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97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F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5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D50F">
            <w:pPr>
              <w:jc w:val="center"/>
            </w:pPr>
          </w:p>
        </w:tc>
      </w:tr>
      <w:tr w14:paraId="6BAAF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1E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9E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22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A9C5">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9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E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0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4C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0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D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6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1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06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6FF1">
            <w:pPr>
              <w:jc w:val="center"/>
            </w:pPr>
          </w:p>
        </w:tc>
      </w:tr>
      <w:tr w14:paraId="51C2B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7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07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D2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0674">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0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F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5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B2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E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83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C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2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F0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3ABE">
            <w:pPr>
              <w:jc w:val="center"/>
            </w:pPr>
          </w:p>
        </w:tc>
      </w:tr>
      <w:tr w14:paraId="0067B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F19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89B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58B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2DC5">
            <w:pPr>
              <w:jc w:val="center"/>
            </w:pPr>
            <w:r>
              <w:rPr>
                <w:rFonts w:ascii="宋体" w:hAnsi="宋体" w:eastAsia="宋体"/>
                <w:sz w:val="16"/>
              </w:rPr>
              <w:t>公共文化馆每馆每年补助成本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C233">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1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5D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2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8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6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1737">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7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48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1E70">
            <w:pPr>
              <w:jc w:val="center"/>
            </w:pPr>
          </w:p>
        </w:tc>
      </w:tr>
      <w:tr w14:paraId="74F1D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24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87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B6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40CF">
            <w:pPr>
              <w:jc w:val="center"/>
            </w:pPr>
            <w:r>
              <w:rPr>
                <w:rFonts w:ascii="宋体" w:hAnsi="宋体" w:eastAsia="宋体"/>
                <w:sz w:val="16"/>
              </w:rPr>
              <w:t>公共美术馆每馆每年补助成本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965E">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6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3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2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8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8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C4A4">
            <w:pPr>
              <w:jc w:val="center"/>
            </w:pPr>
            <w:r>
              <w:rPr>
                <w:rFonts w:ascii="宋体" w:hAnsi="宋体" w:eastAsia="宋体"/>
                <w:sz w:val="16"/>
              </w:rPr>
              <w: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1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5E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5D81">
            <w:pPr>
              <w:jc w:val="center"/>
            </w:pPr>
          </w:p>
        </w:tc>
      </w:tr>
      <w:tr w14:paraId="0D29A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5FD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A3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1F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20DF">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44F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76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5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9B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D0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4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16D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7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AD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E367">
            <w:pPr>
              <w:jc w:val="center"/>
            </w:pPr>
          </w:p>
        </w:tc>
      </w:tr>
      <w:tr w14:paraId="45DC0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5C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89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DF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FC9E">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08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E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7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CE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02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B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8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D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B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B14E">
            <w:pPr>
              <w:jc w:val="center"/>
            </w:pPr>
          </w:p>
        </w:tc>
      </w:tr>
      <w:tr w14:paraId="62CC69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FCB2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503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DBC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E7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E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482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918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E0C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51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476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E68B9"/>
        </w:tc>
      </w:tr>
    </w:tbl>
    <w:p w14:paraId="6F83CF55">
      <w:r>
        <w:br w:type="page"/>
      </w:r>
    </w:p>
    <w:tbl>
      <w:tblPr>
        <w:tblStyle w:val="9"/>
        <w:tblW w:w="9093" w:type="dxa"/>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gridCol w:w="181"/>
      </w:tblGrid>
      <w:tr w14:paraId="2FB39425">
        <w:tblPrEx>
          <w:tblCellMar>
            <w:top w:w="0" w:type="dxa"/>
            <w:left w:w="108" w:type="dxa"/>
            <w:bottom w:w="0" w:type="dxa"/>
            <w:right w:w="108" w:type="dxa"/>
          </w:tblCellMar>
        </w:tblPrEx>
        <w:tc>
          <w:tcPr>
            <w:tcW w:w="9093" w:type="dxa"/>
            <w:gridSpan w:val="15"/>
            <w:vAlign w:val="center"/>
          </w:tcPr>
          <w:p w14:paraId="6DE716DB">
            <w:pPr>
              <w:jc w:val="center"/>
            </w:pPr>
            <w:r>
              <w:rPr>
                <w:rFonts w:ascii="宋体" w:hAnsi="宋体" w:eastAsia="宋体"/>
                <w:sz w:val="24"/>
              </w:rPr>
              <w:t>项目支出绩效自评表</w:t>
            </w:r>
          </w:p>
        </w:tc>
      </w:tr>
      <w:tr w14:paraId="46E3373D">
        <w:tblPrEx>
          <w:tblCellMar>
            <w:top w:w="0" w:type="dxa"/>
            <w:left w:w="108" w:type="dxa"/>
            <w:bottom w:w="0" w:type="dxa"/>
            <w:right w:w="108" w:type="dxa"/>
          </w:tblCellMar>
        </w:tblPrEx>
        <w:tc>
          <w:tcPr>
            <w:tcW w:w="9093" w:type="dxa"/>
            <w:gridSpan w:val="15"/>
            <w:vAlign w:val="center"/>
          </w:tcPr>
          <w:p w14:paraId="41309012">
            <w:pPr>
              <w:jc w:val="center"/>
            </w:pPr>
            <w:r>
              <w:rPr>
                <w:rFonts w:ascii="宋体" w:hAnsi="宋体" w:eastAsia="宋体"/>
                <w:sz w:val="24"/>
              </w:rPr>
              <w:t>(2024年度)</w:t>
            </w:r>
          </w:p>
        </w:tc>
      </w:tr>
      <w:tr w14:paraId="3DA5C4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3A2D">
            <w:pPr>
              <w:jc w:val="center"/>
            </w:pPr>
            <w:r>
              <w:rPr>
                <w:rFonts w:ascii="宋体" w:hAnsi="宋体" w:eastAsia="宋体"/>
                <w:sz w:val="16"/>
              </w:rPr>
              <w:t>项目名称</w:t>
            </w:r>
          </w:p>
        </w:tc>
        <w:tc>
          <w:tcPr>
            <w:tcW w:w="846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DBAC9DC">
            <w:pPr>
              <w:jc w:val="center"/>
            </w:pPr>
            <w:r>
              <w:rPr>
                <w:rFonts w:ascii="宋体" w:hAnsi="宋体" w:eastAsia="宋体"/>
                <w:sz w:val="16"/>
              </w:rPr>
              <w:t>巴财教〔2023〕51号关于提前下达自治区2024年美术馆、公共图书馆、文化馆（站）免费开放补助资金预算的通知</w:t>
            </w:r>
          </w:p>
        </w:tc>
      </w:tr>
      <w:tr w14:paraId="6D6E50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DF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2C987">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352B">
            <w:pPr>
              <w:jc w:val="center"/>
            </w:pPr>
            <w:r>
              <w:rPr>
                <w:rFonts w:ascii="宋体" w:hAnsi="宋体" w:eastAsia="宋体"/>
                <w:sz w:val="16"/>
              </w:rPr>
              <w:t>实施单位</w:t>
            </w:r>
          </w:p>
        </w:tc>
        <w:tc>
          <w:tcPr>
            <w:tcW w:w="340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F66110">
            <w:pPr>
              <w:jc w:val="center"/>
            </w:pPr>
            <w:r>
              <w:rPr>
                <w:rFonts w:ascii="宋体" w:hAnsi="宋体" w:eastAsia="宋体"/>
                <w:sz w:val="16"/>
              </w:rPr>
              <w:t>新疆巴音郭楞蒙古自治州文化艺术创作中心</w:t>
            </w:r>
          </w:p>
        </w:tc>
      </w:tr>
      <w:tr w14:paraId="2A9055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963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26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50C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E0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89F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56074">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ED384">
            <w:pPr>
              <w:jc w:val="center"/>
            </w:pPr>
            <w:r>
              <w:rPr>
                <w:rFonts w:ascii="宋体" w:hAnsi="宋体" w:eastAsia="宋体"/>
                <w:sz w:val="16"/>
              </w:rPr>
              <w:t>执行率</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B444A">
            <w:pPr>
              <w:jc w:val="center"/>
            </w:pPr>
            <w:r>
              <w:rPr>
                <w:rFonts w:ascii="宋体" w:hAnsi="宋体" w:eastAsia="宋体"/>
                <w:sz w:val="16"/>
              </w:rPr>
              <w:t>得分</w:t>
            </w:r>
          </w:p>
        </w:tc>
      </w:tr>
      <w:tr w14:paraId="365AD3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F9D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D09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9C2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E973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E979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2B420">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0EC2D">
            <w:pPr>
              <w:jc w:val="center"/>
            </w:pPr>
            <w:r>
              <w:rPr>
                <w:rFonts w:ascii="宋体" w:hAnsi="宋体" w:eastAsia="宋体"/>
                <w:sz w:val="16"/>
              </w:rPr>
              <w:t>100.00%</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DF8A">
            <w:pPr>
              <w:jc w:val="center"/>
            </w:pPr>
            <w:r>
              <w:rPr>
                <w:rFonts w:ascii="宋体" w:hAnsi="宋体" w:eastAsia="宋体"/>
                <w:sz w:val="16"/>
              </w:rPr>
              <w:t>10.00</w:t>
            </w:r>
          </w:p>
        </w:tc>
      </w:tr>
      <w:tr w14:paraId="03310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213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13D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A8A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3A06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2F4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FFAEB">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6469">
            <w:pPr>
              <w:jc w:val="center"/>
            </w:pPr>
            <w:r>
              <w:rPr>
                <w:rFonts w:ascii="宋体" w:hAnsi="宋体" w:eastAsia="宋体"/>
                <w:sz w:val="16"/>
              </w:rPr>
              <w:t>-</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EF03">
            <w:pPr>
              <w:jc w:val="center"/>
            </w:pPr>
            <w:r>
              <w:rPr>
                <w:rFonts w:ascii="宋体" w:hAnsi="宋体" w:eastAsia="宋体"/>
                <w:sz w:val="16"/>
              </w:rPr>
              <w:t>-</w:t>
            </w:r>
          </w:p>
        </w:tc>
      </w:tr>
      <w:tr w14:paraId="5C26E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DC0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881F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6D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7B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995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1DCCC">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5895B">
            <w:pPr>
              <w:jc w:val="center"/>
            </w:pPr>
            <w:r>
              <w:rPr>
                <w:rFonts w:ascii="宋体" w:hAnsi="宋体" w:eastAsia="宋体"/>
                <w:sz w:val="16"/>
              </w:rPr>
              <w:t>-</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865B8">
            <w:pPr>
              <w:jc w:val="center"/>
            </w:pPr>
            <w:r>
              <w:rPr>
                <w:rFonts w:ascii="宋体" w:hAnsi="宋体" w:eastAsia="宋体"/>
                <w:sz w:val="16"/>
              </w:rPr>
              <w:t>-</w:t>
            </w:r>
          </w:p>
        </w:tc>
      </w:tr>
      <w:tr w14:paraId="3850E3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2E1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29CE8E">
            <w:pPr>
              <w:jc w:val="center"/>
            </w:pPr>
            <w:r>
              <w:rPr>
                <w:rFonts w:ascii="宋体" w:hAnsi="宋体" w:eastAsia="宋体"/>
                <w:sz w:val="16"/>
              </w:rPr>
              <w:t>总体目标</w:t>
            </w:r>
          </w:p>
        </w:tc>
        <w:tc>
          <w:tcPr>
            <w:tcW w:w="403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59744F">
            <w:pPr>
              <w:jc w:val="center"/>
            </w:pPr>
            <w:r>
              <w:rPr>
                <w:rFonts w:ascii="宋体" w:hAnsi="宋体" w:eastAsia="宋体"/>
                <w:sz w:val="16"/>
              </w:rPr>
              <w:t>总体目标完成情况</w:t>
            </w:r>
          </w:p>
        </w:tc>
      </w:tr>
      <w:tr w14:paraId="136A2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9A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0C5FF">
            <w:pPr>
              <w:jc w:val="both"/>
            </w:pPr>
            <w:r>
              <w:rPr>
                <w:rFonts w:ascii="宋体" w:hAnsi="宋体" w:eastAsia="宋体"/>
                <w:sz w:val="16"/>
              </w:rPr>
              <w:t>文化馆作为公共服务体系的重要组成部分，在开展公共文化服务，促进全民艺术普及等方面发挥着重要的作用。为贯彻落实习近平总书记关于新疆工作的重要讲话，深入开展文化润疆工程，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根据《新疆维吾尔自治区美术馆、公共图书馆、文化馆（站）免费开放专项资金管理暂行办法》规定的补助范围、标准，免费开放地市级文化馆1个、美术馆1个，标准每年每馆7万元，有效保障群众精神文化需求。</w:t>
            </w:r>
          </w:p>
        </w:tc>
        <w:tc>
          <w:tcPr>
            <w:tcW w:w="403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5B6C8">
            <w:pPr>
              <w:jc w:val="both"/>
            </w:pPr>
            <w:r>
              <w:rPr>
                <w:rFonts w:ascii="宋体" w:hAnsi="宋体" w:eastAsia="宋体"/>
                <w:sz w:val="16"/>
              </w:rPr>
              <w:t>根据《新疆维吾尔自治区美术馆、公共图书馆、文化馆（站）免费开放专项资金管理暂行办法》规定的补助范围、标准，巴州文化馆、美术馆属于地市级免费开放公共场所，2024年下达指标14万元，完成举办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119C38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4A5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4E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B6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37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767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30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374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038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ADF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0B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3BA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545F">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7FB635">
            <w:pPr>
              <w:jc w:val="center"/>
            </w:pPr>
            <w:r>
              <w:rPr>
                <w:rFonts w:ascii="宋体" w:hAnsi="宋体" w:eastAsia="宋体"/>
                <w:sz w:val="16"/>
              </w:rPr>
              <w:t>指标得分</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D3A0F">
            <w:pPr>
              <w:jc w:val="center"/>
            </w:pPr>
            <w:r>
              <w:rPr>
                <w:rFonts w:ascii="宋体" w:hAnsi="宋体" w:eastAsia="宋体"/>
                <w:sz w:val="16"/>
              </w:rPr>
              <w:t>偏差原因分析及改进措施</w:t>
            </w:r>
          </w:p>
        </w:tc>
      </w:tr>
      <w:tr w14:paraId="4D4FA3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78F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F32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B76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B7CF">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0FA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DC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5D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D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1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B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B3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D6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EA8FD8">
            <w:pPr>
              <w:jc w:val="center"/>
            </w:pPr>
            <w:r>
              <w:rPr>
                <w:rFonts w:ascii="宋体" w:hAnsi="宋体" w:eastAsia="宋体"/>
                <w:sz w:val="16"/>
              </w:rPr>
              <w:t>10</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E1B5">
            <w:pPr>
              <w:jc w:val="center"/>
            </w:pPr>
          </w:p>
        </w:tc>
      </w:tr>
      <w:tr w14:paraId="20A9E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9A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3F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06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2A90">
            <w:pPr>
              <w:jc w:val="center"/>
            </w:pPr>
            <w:r>
              <w:rPr>
                <w:rFonts w:ascii="宋体" w:hAnsi="宋体" w:eastAsia="宋体"/>
                <w:sz w:val="16"/>
              </w:rPr>
              <w:t>免费开放美术馆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BE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9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50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1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9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9A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B59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F29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AD99C0">
            <w:pPr>
              <w:jc w:val="center"/>
            </w:pPr>
            <w:r>
              <w:rPr>
                <w:rFonts w:ascii="宋体" w:hAnsi="宋体" w:eastAsia="宋体"/>
                <w:sz w:val="16"/>
              </w:rPr>
              <w:t>10</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210F3">
            <w:pPr>
              <w:jc w:val="center"/>
            </w:pPr>
          </w:p>
        </w:tc>
      </w:tr>
      <w:tr w14:paraId="4EC50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C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49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4F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0F84">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F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0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0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62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1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1F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6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CCB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5B2146">
            <w:pPr>
              <w:jc w:val="center"/>
            </w:pPr>
            <w:r>
              <w:rPr>
                <w:rFonts w:ascii="宋体" w:hAnsi="宋体" w:eastAsia="宋体"/>
                <w:sz w:val="16"/>
              </w:rPr>
              <w:t>10</w:t>
            </w:r>
          </w:p>
        </w:tc>
        <w:tc>
          <w:tcPr>
            <w:tcW w:w="8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B2CF9">
            <w:pPr>
              <w:jc w:val="center"/>
            </w:pPr>
          </w:p>
        </w:tc>
      </w:tr>
      <w:tr w14:paraId="40ADEF87">
        <w:tblPrEx>
          <w:tblCellMar>
            <w:top w:w="0" w:type="dxa"/>
            <w:left w:w="108" w:type="dxa"/>
            <w:bottom w:w="0" w:type="dxa"/>
            <w:right w:w="108" w:type="dxa"/>
          </w:tblCellMar>
        </w:tblPrEx>
        <w:trPr>
          <w:gridAfter w:val="1"/>
          <w:wAfter w:w="18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B9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93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E2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A6CE">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A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5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F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A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3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7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E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6EA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2439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37D8">
            <w:pPr>
              <w:jc w:val="center"/>
            </w:pPr>
          </w:p>
        </w:tc>
      </w:tr>
      <w:tr w14:paraId="514386E5">
        <w:tblPrEx>
          <w:tblCellMar>
            <w:top w:w="0" w:type="dxa"/>
            <w:left w:w="108" w:type="dxa"/>
            <w:bottom w:w="0" w:type="dxa"/>
            <w:right w:w="108" w:type="dxa"/>
          </w:tblCellMar>
        </w:tblPrEx>
        <w:trPr>
          <w:gridAfter w:val="1"/>
          <w:wAfter w:w="18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CE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B63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530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1AD8">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C40A">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F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22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85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29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0E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C2C3">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BBF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3F04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491F">
            <w:pPr>
              <w:jc w:val="center"/>
            </w:pPr>
          </w:p>
        </w:tc>
      </w:tr>
      <w:tr w14:paraId="7F3E4A37">
        <w:tblPrEx>
          <w:tblCellMar>
            <w:top w:w="0" w:type="dxa"/>
            <w:left w:w="108" w:type="dxa"/>
            <w:bottom w:w="0" w:type="dxa"/>
            <w:right w:w="108" w:type="dxa"/>
          </w:tblCellMar>
        </w:tblPrEx>
        <w:trPr>
          <w:gridAfter w:val="1"/>
          <w:wAfter w:w="18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FA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13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CC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413C">
            <w:pPr>
              <w:jc w:val="center"/>
            </w:pPr>
            <w:r>
              <w:rPr>
                <w:rFonts w:ascii="宋体" w:hAnsi="宋体" w:eastAsia="宋体"/>
                <w:sz w:val="16"/>
              </w:rPr>
              <w:t>公共美术馆每馆每年补助标准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CD60">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D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9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A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2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90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77F3">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8A2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CEB7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0244">
            <w:pPr>
              <w:jc w:val="center"/>
            </w:pPr>
          </w:p>
        </w:tc>
      </w:tr>
      <w:tr w14:paraId="3D0E9E4C">
        <w:tblPrEx>
          <w:tblCellMar>
            <w:top w:w="0" w:type="dxa"/>
            <w:left w:w="108" w:type="dxa"/>
            <w:bottom w:w="0" w:type="dxa"/>
            <w:right w:w="108" w:type="dxa"/>
          </w:tblCellMar>
        </w:tblPrEx>
        <w:trPr>
          <w:gridAfter w:val="1"/>
          <w:wAfter w:w="18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90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C7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B2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435E">
            <w:pPr>
              <w:jc w:val="center"/>
            </w:pPr>
            <w:r>
              <w:rPr>
                <w:rFonts w:ascii="宋体" w:hAnsi="宋体" w:eastAsia="宋体"/>
                <w:sz w:val="16"/>
              </w:rPr>
              <w:t>保障群众文化精神文化需求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0FC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8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11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73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42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CE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05E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E09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6ECB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07E7">
            <w:pPr>
              <w:jc w:val="center"/>
            </w:pPr>
          </w:p>
        </w:tc>
      </w:tr>
      <w:tr w14:paraId="35B360F4">
        <w:tblPrEx>
          <w:tblCellMar>
            <w:top w:w="0" w:type="dxa"/>
            <w:left w:w="108" w:type="dxa"/>
            <w:bottom w:w="0" w:type="dxa"/>
            <w:right w:w="108" w:type="dxa"/>
          </w:tblCellMar>
        </w:tblPrEx>
        <w:trPr>
          <w:gridAfter w:val="1"/>
          <w:wAfter w:w="181"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5E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23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69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4475">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FA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4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7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56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A0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A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1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9E0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B6F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A3C2">
            <w:pPr>
              <w:jc w:val="center"/>
            </w:pPr>
          </w:p>
        </w:tc>
      </w:tr>
      <w:tr w14:paraId="7CA21140">
        <w:tblPrEx>
          <w:tblCellMar>
            <w:top w:w="0" w:type="dxa"/>
            <w:left w:w="108" w:type="dxa"/>
            <w:bottom w:w="0" w:type="dxa"/>
            <w:right w:w="108" w:type="dxa"/>
          </w:tblCellMar>
        </w:tblPrEx>
        <w:trPr>
          <w:gridAfter w:val="1"/>
          <w:wAfter w:w="181" w:type="dxa"/>
        </w:trPr>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E347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F62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82F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A5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2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A20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C12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3E5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4AE2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706DE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6DE7C"/>
        </w:tc>
      </w:tr>
    </w:tbl>
    <w:p w14:paraId="025FE8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81FA451">
        <w:tblPrEx>
          <w:tblCellMar>
            <w:top w:w="0" w:type="dxa"/>
            <w:left w:w="108" w:type="dxa"/>
            <w:bottom w:w="0" w:type="dxa"/>
            <w:right w:w="108" w:type="dxa"/>
          </w:tblCellMar>
        </w:tblPrEx>
        <w:tc>
          <w:tcPr>
            <w:tcW w:w="8848" w:type="dxa"/>
            <w:gridSpan w:val="14"/>
            <w:vAlign w:val="center"/>
          </w:tcPr>
          <w:p w14:paraId="76C98169">
            <w:pPr>
              <w:jc w:val="center"/>
            </w:pPr>
            <w:r>
              <w:rPr>
                <w:rFonts w:ascii="宋体" w:hAnsi="宋体" w:eastAsia="宋体"/>
                <w:sz w:val="24"/>
              </w:rPr>
              <w:t>项目支出绩效自评表</w:t>
            </w:r>
          </w:p>
        </w:tc>
      </w:tr>
      <w:tr w14:paraId="43AE2DAF">
        <w:tblPrEx>
          <w:tblCellMar>
            <w:top w:w="0" w:type="dxa"/>
            <w:left w:w="108" w:type="dxa"/>
            <w:bottom w:w="0" w:type="dxa"/>
            <w:right w:w="108" w:type="dxa"/>
          </w:tblCellMar>
        </w:tblPrEx>
        <w:tc>
          <w:tcPr>
            <w:tcW w:w="8848" w:type="dxa"/>
            <w:gridSpan w:val="14"/>
            <w:vAlign w:val="center"/>
          </w:tcPr>
          <w:p w14:paraId="789B3689">
            <w:pPr>
              <w:jc w:val="center"/>
            </w:pPr>
            <w:r>
              <w:rPr>
                <w:rFonts w:ascii="宋体" w:hAnsi="宋体" w:eastAsia="宋体"/>
                <w:sz w:val="24"/>
              </w:rPr>
              <w:t>(2024年度)</w:t>
            </w:r>
          </w:p>
        </w:tc>
      </w:tr>
      <w:tr w14:paraId="70A550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8D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493ACC">
            <w:pPr>
              <w:jc w:val="center"/>
            </w:pPr>
            <w:r>
              <w:rPr>
                <w:rFonts w:ascii="宋体" w:hAnsi="宋体" w:eastAsia="宋体"/>
                <w:sz w:val="16"/>
              </w:rPr>
              <w:t>巴财教〔2023〕58 号关于提前下达2024年中央补助地方公共文化服务体系建设补助资金预算的通知</w:t>
            </w:r>
          </w:p>
        </w:tc>
      </w:tr>
      <w:tr w14:paraId="0DEB8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A8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7EF2F">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5C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F2F2D0">
            <w:pPr>
              <w:jc w:val="center"/>
            </w:pPr>
            <w:r>
              <w:rPr>
                <w:rFonts w:ascii="宋体" w:hAnsi="宋体" w:eastAsia="宋体"/>
                <w:sz w:val="16"/>
              </w:rPr>
              <w:t>新疆巴音郭楞蒙古自治州文化艺术创作中心</w:t>
            </w:r>
          </w:p>
        </w:tc>
      </w:tr>
      <w:tr w14:paraId="23555E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3CD7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F21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570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FB3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EEE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FC8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B65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62AF">
            <w:pPr>
              <w:jc w:val="center"/>
            </w:pPr>
            <w:r>
              <w:rPr>
                <w:rFonts w:ascii="宋体" w:hAnsi="宋体" w:eastAsia="宋体"/>
                <w:sz w:val="16"/>
              </w:rPr>
              <w:t>得分</w:t>
            </w:r>
          </w:p>
        </w:tc>
      </w:tr>
      <w:tr w14:paraId="1DECD6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9E1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73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2336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155C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74B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796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F32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61A7">
            <w:pPr>
              <w:jc w:val="center"/>
            </w:pPr>
            <w:r>
              <w:rPr>
                <w:rFonts w:ascii="宋体" w:hAnsi="宋体" w:eastAsia="宋体"/>
                <w:sz w:val="16"/>
              </w:rPr>
              <w:t>10.00</w:t>
            </w:r>
          </w:p>
        </w:tc>
      </w:tr>
      <w:tr w14:paraId="5EE47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DD8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AE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2A2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6A4E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6386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04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F3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79B2">
            <w:pPr>
              <w:jc w:val="center"/>
            </w:pPr>
            <w:r>
              <w:rPr>
                <w:rFonts w:ascii="宋体" w:hAnsi="宋体" w:eastAsia="宋体"/>
                <w:sz w:val="16"/>
              </w:rPr>
              <w:t>-</w:t>
            </w:r>
          </w:p>
        </w:tc>
      </w:tr>
      <w:tr w14:paraId="55DD4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75A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CF87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8BF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06F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C60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F34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2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19FB">
            <w:pPr>
              <w:jc w:val="center"/>
            </w:pPr>
            <w:r>
              <w:rPr>
                <w:rFonts w:ascii="宋体" w:hAnsi="宋体" w:eastAsia="宋体"/>
                <w:sz w:val="16"/>
              </w:rPr>
              <w:t>-</w:t>
            </w:r>
          </w:p>
        </w:tc>
      </w:tr>
      <w:tr w14:paraId="528159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F9F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60A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0360C8">
            <w:pPr>
              <w:jc w:val="center"/>
            </w:pPr>
            <w:r>
              <w:rPr>
                <w:rFonts w:ascii="宋体" w:hAnsi="宋体" w:eastAsia="宋体"/>
                <w:sz w:val="16"/>
              </w:rPr>
              <w:t>总体目标完成情况</w:t>
            </w:r>
          </w:p>
        </w:tc>
      </w:tr>
      <w:tr w14:paraId="38073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07F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BA32A">
            <w:pPr>
              <w:jc w:val="both"/>
            </w:pPr>
            <w:r>
              <w:rPr>
                <w:rFonts w:ascii="宋体" w:hAnsi="宋体" w:eastAsia="宋体"/>
                <w:sz w:val="16"/>
              </w:rPr>
              <w:t>美术馆作为公共服务体系的重要组成部分，在开展公共文化服务，促进全民艺术普及等方面发挥着重要的作用。为贯彻落实习近平总书记关于新疆工作的重要讲话，深入开展文化润疆工程，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，展现我馆开展公共文化服务的成果和人民群众良好的精神风貌。举办3次美术展，旨为传承和弘扬</w:t>
            </w:r>
            <w:r>
              <w:rPr>
                <w:rFonts w:hint="eastAsia" w:ascii="宋体" w:hAnsi="宋体"/>
                <w:sz w:val="16"/>
                <w:lang w:eastAsia="zh-CN"/>
              </w:rPr>
              <w:t>中华优秀传统文化</w:t>
            </w:r>
            <w:r>
              <w:rPr>
                <w:rFonts w:ascii="宋体" w:hAnsi="宋体" w:eastAsia="宋体"/>
                <w:sz w:val="16"/>
              </w:rPr>
              <w:t>，给自治州广大青少年书画爱好者提供良好的平台。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FE557">
            <w:pPr>
              <w:jc w:val="both"/>
            </w:pPr>
            <w:r>
              <w:rPr>
                <w:rFonts w:ascii="宋体" w:hAnsi="宋体" w:eastAsia="宋体"/>
                <w:sz w:val="16"/>
              </w:rPr>
              <w:t>美术馆作为公共服务体系的重要组成部分，在开展公共文化服务，促进全民艺术普及等方面发挥着重要的作用。为贯彻落实习近平总书记关于新疆工作的重要讲话，深入开展文化润疆工程，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，展现我馆开展公共文化服务的成果和人民群众良好的精神风貌。完成3次美术展，参加活动人数114人，旨为传承和弘扬</w:t>
            </w:r>
            <w:r>
              <w:rPr>
                <w:rFonts w:hint="eastAsia" w:ascii="宋体" w:hAnsi="宋体"/>
                <w:sz w:val="16"/>
                <w:lang w:eastAsia="zh-CN"/>
              </w:rPr>
              <w:t>中华优秀传统文化</w:t>
            </w:r>
            <w:r>
              <w:rPr>
                <w:rFonts w:ascii="宋体" w:hAnsi="宋体" w:eastAsia="宋体"/>
                <w:sz w:val="16"/>
              </w:rPr>
              <w:t>，给自治州广大青少年书画爱好者提供良好的平台。</w:t>
            </w:r>
          </w:p>
        </w:tc>
      </w:tr>
      <w:tr w14:paraId="06D7E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C0B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AA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A9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9E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91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97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2F4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E4A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7F5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2A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3D4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7B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298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4E2F">
            <w:pPr>
              <w:jc w:val="center"/>
            </w:pPr>
            <w:r>
              <w:rPr>
                <w:rFonts w:ascii="宋体" w:hAnsi="宋体" w:eastAsia="宋体"/>
                <w:sz w:val="16"/>
              </w:rPr>
              <w:t>偏差原因分析及改进措施</w:t>
            </w:r>
          </w:p>
        </w:tc>
      </w:tr>
      <w:tr w14:paraId="6A4B2B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EE7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61E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952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832F">
            <w:pPr>
              <w:jc w:val="center"/>
            </w:pPr>
            <w:r>
              <w:rPr>
                <w:rFonts w:ascii="宋体" w:hAnsi="宋体" w:eastAsia="宋体"/>
                <w:sz w:val="16"/>
              </w:rPr>
              <w:t>举办美术展览次数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65C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E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0FFE">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F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7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9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C1B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1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B7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6C66">
            <w:pPr>
              <w:jc w:val="center"/>
            </w:pPr>
          </w:p>
        </w:tc>
      </w:tr>
      <w:tr w14:paraId="45152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50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4D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34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3A1E">
            <w:pPr>
              <w:jc w:val="center"/>
            </w:pPr>
            <w:r>
              <w:rPr>
                <w:rFonts w:ascii="宋体" w:hAnsi="宋体" w:eastAsia="宋体"/>
                <w:sz w:val="16"/>
              </w:rPr>
              <w:t>举办美术展览参加人数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65B6">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B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4E9D">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E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6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F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1237">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D9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5158">
            <w:pPr>
              <w:jc w:val="center"/>
            </w:pPr>
            <w:r>
              <w:rPr>
                <w:rFonts w:ascii="宋体" w:hAnsi="宋体" w:eastAsia="宋体"/>
                <w:sz w:val="16"/>
              </w:rPr>
              <w:t>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B06D">
            <w:pPr>
              <w:jc w:val="center"/>
            </w:pPr>
            <w:r>
              <w:rPr>
                <w:rFonts w:ascii="宋体" w:hAnsi="宋体" w:eastAsia="宋体"/>
                <w:sz w:val="16"/>
              </w:rPr>
              <w:t>原因分析：根据往年活动人数预测此次参加活动人次，实际以签到表进行统计的相关人数，与预算存在偏差。改进措施：各项指标的设置要进一步优化、完善，主要在细化、量化上改进。目标设置更加精准化。</w:t>
            </w:r>
          </w:p>
        </w:tc>
      </w:tr>
      <w:tr w14:paraId="18509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B9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A1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CD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D7A8">
            <w:pPr>
              <w:jc w:val="center"/>
            </w:pPr>
            <w:r>
              <w:rPr>
                <w:rFonts w:ascii="宋体" w:hAnsi="宋体" w:eastAsia="宋体"/>
                <w:sz w:val="16"/>
              </w:rPr>
              <w:t>举办美术展览人员参与率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4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1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94D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DC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1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5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E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4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6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4F24">
            <w:pPr>
              <w:jc w:val="center"/>
            </w:pPr>
          </w:p>
        </w:tc>
      </w:tr>
      <w:tr w14:paraId="0BDFB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5B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37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37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D2DA">
            <w:pPr>
              <w:jc w:val="center"/>
            </w:pPr>
            <w:r>
              <w:rPr>
                <w:rFonts w:ascii="宋体" w:hAnsi="宋体" w:eastAsia="宋体"/>
                <w:sz w:val="16"/>
              </w:rPr>
              <w:t>举办美术展览按时完成时间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014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1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818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03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1C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C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9D67">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0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A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9E9D">
            <w:pPr>
              <w:jc w:val="center"/>
            </w:pPr>
          </w:p>
        </w:tc>
      </w:tr>
      <w:tr w14:paraId="37E71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4D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F65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FF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BB79">
            <w:pPr>
              <w:jc w:val="center"/>
            </w:pPr>
            <w:r>
              <w:rPr>
                <w:rFonts w:ascii="宋体" w:hAnsi="宋体" w:eastAsia="宋体"/>
                <w:sz w:val="16"/>
              </w:rPr>
              <w:t>每次举办美术展览经费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4AD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3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2C0B">
            <w:pPr>
              <w:jc w:val="center"/>
            </w:pPr>
            <w:r>
              <w:rPr>
                <w:rFonts w:ascii="宋体" w:hAnsi="宋体" w:eastAsia="宋体"/>
                <w:sz w:val="16"/>
              </w:rPr>
              <w:t>9.14万元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29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F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42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146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7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23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1490">
            <w:pPr>
              <w:jc w:val="center"/>
            </w:pPr>
          </w:p>
        </w:tc>
      </w:tr>
      <w:tr w14:paraId="74DEB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E8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2E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49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5A08">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9AF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8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C84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29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61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C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02F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1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63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8D70">
            <w:pPr>
              <w:jc w:val="center"/>
            </w:pPr>
          </w:p>
        </w:tc>
      </w:tr>
      <w:tr w14:paraId="4472C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4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C5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B7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F9C9">
            <w:pPr>
              <w:jc w:val="center"/>
            </w:pPr>
            <w:r>
              <w:rPr>
                <w:rFonts w:ascii="宋体" w:hAnsi="宋体" w:eastAsia="宋体"/>
                <w:sz w:val="16"/>
              </w:rPr>
              <w:t>参加展览人员满意度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F5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3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ED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98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31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2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0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B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6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B51F">
            <w:pPr>
              <w:jc w:val="center"/>
            </w:pPr>
            <w:r>
              <w:rPr>
                <w:rFonts w:ascii="宋体" w:hAnsi="宋体" w:eastAsia="宋体"/>
                <w:sz w:val="16"/>
              </w:rPr>
              <w:t>活动宣传力度较大，参加人数较多，人员满意度较高</w:t>
            </w:r>
          </w:p>
        </w:tc>
      </w:tr>
      <w:tr w14:paraId="301909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1E57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87C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A82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E4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8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334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662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B2E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3C7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A4C7">
            <w:pPr>
              <w:jc w:val="center"/>
            </w:pPr>
            <w:r>
              <w:rPr>
                <w:rFonts w:ascii="宋体" w:hAnsi="宋体" w:eastAsia="宋体"/>
                <w:sz w:val="16"/>
              </w:rPr>
              <w:t>98.75分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60923"/>
        </w:tc>
      </w:tr>
    </w:tbl>
    <w:p w14:paraId="3CA37FB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0F138736">
        <w:tblPrEx>
          <w:tblCellMar>
            <w:top w:w="0" w:type="dxa"/>
            <w:left w:w="108" w:type="dxa"/>
            <w:bottom w:w="0" w:type="dxa"/>
            <w:right w:w="108" w:type="dxa"/>
          </w:tblCellMar>
        </w:tblPrEx>
        <w:tc>
          <w:tcPr>
            <w:tcW w:w="8848" w:type="dxa"/>
            <w:gridSpan w:val="14"/>
            <w:vAlign w:val="center"/>
          </w:tcPr>
          <w:p w14:paraId="2CE51327">
            <w:pPr>
              <w:jc w:val="center"/>
            </w:pPr>
            <w:r>
              <w:rPr>
                <w:rFonts w:ascii="宋体" w:hAnsi="宋体" w:eastAsia="宋体"/>
                <w:sz w:val="24"/>
              </w:rPr>
              <w:t>项目支出绩效自评表</w:t>
            </w:r>
          </w:p>
        </w:tc>
      </w:tr>
      <w:tr w14:paraId="18592B19">
        <w:tblPrEx>
          <w:tblCellMar>
            <w:top w:w="0" w:type="dxa"/>
            <w:left w:w="108" w:type="dxa"/>
            <w:bottom w:w="0" w:type="dxa"/>
            <w:right w:w="108" w:type="dxa"/>
          </w:tblCellMar>
        </w:tblPrEx>
        <w:tc>
          <w:tcPr>
            <w:tcW w:w="8848" w:type="dxa"/>
            <w:gridSpan w:val="14"/>
            <w:vAlign w:val="center"/>
          </w:tcPr>
          <w:p w14:paraId="55945717">
            <w:pPr>
              <w:jc w:val="center"/>
            </w:pPr>
            <w:r>
              <w:rPr>
                <w:rFonts w:ascii="宋体" w:hAnsi="宋体" w:eastAsia="宋体"/>
                <w:sz w:val="24"/>
              </w:rPr>
              <w:t>(2024年度)</w:t>
            </w:r>
          </w:p>
        </w:tc>
      </w:tr>
      <w:tr w14:paraId="604CC6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39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5F6C71">
            <w:pPr>
              <w:jc w:val="center"/>
            </w:pPr>
            <w:r>
              <w:rPr>
                <w:rFonts w:ascii="宋体" w:hAnsi="宋体" w:eastAsia="宋体"/>
                <w:sz w:val="16"/>
              </w:rPr>
              <w:t>巴财教〔2023〕61号关于提前下达中央2024年公共图书馆 美术馆  文化馆（站）免费开放补助资金预算的通知</w:t>
            </w:r>
          </w:p>
        </w:tc>
      </w:tr>
      <w:tr w14:paraId="21436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DB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C6720">
            <w:pPr>
              <w:jc w:val="center"/>
            </w:pPr>
            <w:r>
              <w:rPr>
                <w:rFonts w:ascii="宋体" w:hAnsi="宋体" w:eastAsia="宋体"/>
                <w:sz w:val="16"/>
              </w:rPr>
              <w:t>新疆巴音郭楞蒙古自治州文化艺术创作中心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64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B1B3B">
            <w:pPr>
              <w:jc w:val="center"/>
            </w:pPr>
            <w:r>
              <w:rPr>
                <w:rFonts w:ascii="宋体" w:hAnsi="宋体" w:eastAsia="宋体"/>
                <w:sz w:val="16"/>
              </w:rPr>
              <w:t>新疆巴音郭楞蒙古自治州文化艺术创作中心</w:t>
            </w:r>
          </w:p>
        </w:tc>
      </w:tr>
      <w:tr w14:paraId="15C16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BD7D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F18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21D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4F7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F22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A6B8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AF6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ECDB">
            <w:pPr>
              <w:jc w:val="center"/>
            </w:pPr>
            <w:r>
              <w:rPr>
                <w:rFonts w:ascii="宋体" w:hAnsi="宋体" w:eastAsia="宋体"/>
                <w:sz w:val="16"/>
              </w:rPr>
              <w:t>得分</w:t>
            </w:r>
          </w:p>
        </w:tc>
      </w:tr>
      <w:tr w14:paraId="3E7A2A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EB0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E92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E194">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6D7A">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1978E">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6E4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3B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AACF">
            <w:pPr>
              <w:jc w:val="center"/>
            </w:pPr>
            <w:r>
              <w:rPr>
                <w:rFonts w:ascii="宋体" w:hAnsi="宋体" w:eastAsia="宋体"/>
                <w:sz w:val="16"/>
              </w:rPr>
              <w:t>10.00</w:t>
            </w:r>
          </w:p>
        </w:tc>
      </w:tr>
      <w:tr w14:paraId="4100F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1C7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537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88543">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A5ECD">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0492">
            <w:pPr>
              <w:jc w:val="center"/>
            </w:pPr>
            <w:r>
              <w:rPr>
                <w:rFonts w:ascii="宋体" w:hAnsi="宋体" w:eastAsia="宋体"/>
                <w:sz w:val="16"/>
              </w:rPr>
              <w:t>70.30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6A4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05E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C3C2">
            <w:pPr>
              <w:jc w:val="center"/>
            </w:pPr>
            <w:r>
              <w:rPr>
                <w:rFonts w:ascii="宋体" w:hAnsi="宋体" w:eastAsia="宋体"/>
                <w:sz w:val="16"/>
              </w:rPr>
              <w:t>-</w:t>
            </w:r>
          </w:p>
        </w:tc>
      </w:tr>
      <w:tr w14:paraId="4B025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9E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CE5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F2C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70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60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34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3E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7534">
            <w:pPr>
              <w:jc w:val="center"/>
            </w:pPr>
            <w:r>
              <w:rPr>
                <w:rFonts w:ascii="宋体" w:hAnsi="宋体" w:eastAsia="宋体"/>
                <w:sz w:val="16"/>
              </w:rPr>
              <w:t>-</w:t>
            </w:r>
          </w:p>
        </w:tc>
      </w:tr>
      <w:tr w14:paraId="2B18CA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382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F4F0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1286F">
            <w:pPr>
              <w:jc w:val="center"/>
            </w:pPr>
            <w:r>
              <w:rPr>
                <w:rFonts w:ascii="宋体" w:hAnsi="宋体" w:eastAsia="宋体"/>
                <w:sz w:val="16"/>
              </w:rPr>
              <w:t>总体目标完成情况</w:t>
            </w:r>
          </w:p>
        </w:tc>
      </w:tr>
      <w:tr w14:paraId="441F5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679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455B46">
            <w:pPr>
              <w:jc w:val="both"/>
            </w:pPr>
            <w:r>
              <w:rPr>
                <w:rFonts w:ascii="宋体" w:hAnsi="宋体" w:eastAsia="宋体"/>
                <w:sz w:val="16"/>
              </w:rPr>
              <w:t>文化馆作为公共服务体系的重要组成部分，在开展公共文化服务，促进全民艺术普及等方面发挥着重要的作用。为贯彻落实习近平总书记关于新疆工作的重要讲话，深入开展文化润疆工程，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根据《新疆维吾尔自治区美术馆、公共图书馆、文化馆（站）免费开放专项资金管理暂行办法》规定的补助范围、标准，免费开放地市级文化馆1个、美术馆1个，标准每年每馆40万元，共计80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FAE930">
            <w:pPr>
              <w:jc w:val="both"/>
            </w:pPr>
            <w:r>
              <w:rPr>
                <w:rFonts w:ascii="宋体" w:hAnsi="宋体" w:eastAsia="宋体"/>
                <w:sz w:val="16"/>
              </w:rPr>
              <w:t>根据《新疆维吾尔自治区美术馆、公共图书馆、文化馆（站）免费开放专项资金管理暂行办法》规定的补助范围、标准，巴州文化馆属于地市级免费开放公共场所，2024年下达指标70.3万元，完成开展免费文化活动，达到了有效</w:t>
            </w:r>
            <w:bookmarkStart w:id="0" w:name="_GoBack"/>
            <w:r>
              <w:rPr>
                <w:rFonts w:hint="eastAsia" w:ascii="宋体" w:hAnsi="宋体"/>
                <w:sz w:val="16"/>
                <w:lang w:eastAsia="zh-CN"/>
              </w:rPr>
              <w:t>地</w:t>
            </w:r>
            <w:bookmarkEnd w:id="0"/>
            <w:r>
              <w:rPr>
                <w:rFonts w:ascii="宋体" w:hAnsi="宋体" w:eastAsia="宋体"/>
                <w:sz w:val="16"/>
              </w:rPr>
              <w:t>保障群众文化精神文化需求，使社会公众对“三馆一站”公共文化服务满意度提高的目的。</w:t>
            </w:r>
          </w:p>
        </w:tc>
      </w:tr>
      <w:tr w14:paraId="760EE4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FF4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2A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12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50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ECE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67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0FE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D5C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08F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B4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EE8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09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09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8F9C">
            <w:pPr>
              <w:jc w:val="center"/>
            </w:pPr>
            <w:r>
              <w:rPr>
                <w:rFonts w:ascii="宋体" w:hAnsi="宋体" w:eastAsia="宋体"/>
                <w:sz w:val="16"/>
              </w:rPr>
              <w:t>偏差原因分析及改进措施</w:t>
            </w:r>
          </w:p>
        </w:tc>
      </w:tr>
      <w:tr w14:paraId="59A406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C04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987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CD8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5356">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1B1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D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D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0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0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D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C28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5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E2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BCF2">
            <w:pPr>
              <w:jc w:val="center"/>
            </w:pPr>
          </w:p>
        </w:tc>
      </w:tr>
      <w:tr w14:paraId="63FD6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F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5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07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6D1EF">
            <w:pPr>
              <w:jc w:val="center"/>
            </w:pPr>
            <w:r>
              <w:rPr>
                <w:rFonts w:ascii="宋体" w:hAnsi="宋体" w:eastAsia="宋体"/>
                <w:sz w:val="16"/>
              </w:rPr>
              <w:t>免费开放美术馆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969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E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C1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D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D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A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93A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E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48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D259">
            <w:pPr>
              <w:jc w:val="center"/>
            </w:pPr>
          </w:p>
        </w:tc>
      </w:tr>
      <w:tr w14:paraId="1A807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6F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4A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4B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6F41">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7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D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0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66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9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22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A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6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3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8DA1">
            <w:pPr>
              <w:jc w:val="center"/>
            </w:pPr>
          </w:p>
        </w:tc>
      </w:tr>
      <w:tr w14:paraId="200B6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B3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B5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2D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9868">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E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E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B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76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82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6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3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2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A9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54D7">
            <w:pPr>
              <w:jc w:val="center"/>
            </w:pPr>
          </w:p>
        </w:tc>
      </w:tr>
      <w:tr w14:paraId="6899C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EBF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078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F9D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A30A">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1794">
            <w:pPr>
              <w:jc w:val="center"/>
            </w:pPr>
            <w:r>
              <w:rPr>
                <w:rFonts w:ascii="宋体" w:hAnsi="宋体" w:eastAsia="宋体"/>
                <w:sz w:val="16"/>
              </w:rPr>
              <w:t>&lt;=35.15万元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6F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2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8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07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71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0B72">
            <w:pPr>
              <w:jc w:val="center"/>
            </w:pPr>
            <w:r>
              <w:rPr>
                <w:rFonts w:ascii="宋体" w:hAnsi="宋体" w:eastAsia="宋体"/>
                <w:sz w:val="16"/>
              </w:rPr>
              <w: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0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3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47AA">
            <w:pPr>
              <w:jc w:val="center"/>
            </w:pPr>
          </w:p>
        </w:tc>
      </w:tr>
      <w:tr w14:paraId="2B0E6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73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AD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48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49E9">
            <w:pPr>
              <w:jc w:val="center"/>
            </w:pPr>
            <w:r>
              <w:rPr>
                <w:rFonts w:ascii="宋体" w:hAnsi="宋体" w:eastAsia="宋体"/>
                <w:sz w:val="16"/>
              </w:rPr>
              <w:t>公共美术馆每馆每年补助标准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A664">
            <w:pPr>
              <w:jc w:val="center"/>
            </w:pPr>
            <w:r>
              <w:rPr>
                <w:rFonts w:ascii="宋体" w:hAnsi="宋体" w:eastAsia="宋体"/>
                <w:sz w:val="16"/>
              </w:rPr>
              <w:t>&lt;=35.15万元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E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8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83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D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5A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E715">
            <w:pPr>
              <w:jc w:val="center"/>
            </w:pPr>
            <w:r>
              <w:rPr>
                <w:rFonts w:ascii="宋体" w:hAnsi="宋体" w:eastAsia="宋体"/>
                <w:sz w:val="16"/>
              </w:rPr>
              <w:t>=35.15万元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A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F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75EB">
            <w:pPr>
              <w:jc w:val="center"/>
            </w:pPr>
          </w:p>
        </w:tc>
      </w:tr>
      <w:tr w14:paraId="58C1D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08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80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BA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04A2">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27C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3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0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60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29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D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3E4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8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E9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16F5">
            <w:pPr>
              <w:jc w:val="center"/>
            </w:pPr>
          </w:p>
        </w:tc>
      </w:tr>
      <w:tr w14:paraId="7E40C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79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72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95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4463">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27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55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B2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D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4D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9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5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0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0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BDB0">
            <w:pPr>
              <w:jc w:val="center"/>
            </w:pPr>
          </w:p>
        </w:tc>
      </w:tr>
      <w:tr w14:paraId="6FCF18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B1AA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5891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6D8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37B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B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914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FE8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EBD9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2C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7B8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8B5AD7"/>
        </w:tc>
      </w:tr>
    </w:tbl>
    <w:p w14:paraId="7DFF3740">
      <w:r>
        <w:br w:type="page"/>
      </w:r>
    </w:p>
    <w:p w14:paraId="0725AC92">
      <w:pPr>
        <w:spacing w:line="640" w:lineRule="exact"/>
        <w:ind w:firstLine="640"/>
        <w:jc w:val="both"/>
        <w:outlineLvl w:val="2"/>
      </w:pPr>
      <w:r>
        <w:rPr>
          <w:rFonts w:ascii="黑体" w:hAnsi="黑体" w:eastAsia="黑体"/>
          <w:sz w:val="32"/>
        </w:rPr>
        <w:t>十二、其他需说明的事项</w:t>
      </w:r>
    </w:p>
    <w:p w14:paraId="059ED0F5">
      <w:pPr>
        <w:spacing w:line="580" w:lineRule="exact"/>
        <w:ind w:firstLine="640"/>
        <w:jc w:val="both"/>
      </w:pPr>
      <w:r>
        <w:rPr>
          <w:rFonts w:ascii="仿宋_GB2312" w:hAnsi="仿宋_GB2312" w:eastAsia="仿宋_GB2312"/>
          <w:b w:val="0"/>
          <w:sz w:val="32"/>
        </w:rPr>
        <w:t>本年度本单位整体绩效自评表由主管部门编报并公开。</w:t>
      </w:r>
    </w:p>
    <w:p w14:paraId="75787828">
      <w:r>
        <w:br w:type="page"/>
      </w:r>
    </w:p>
    <w:p w14:paraId="4A844FBE">
      <w:pPr>
        <w:spacing w:line="240" w:lineRule="auto"/>
        <w:jc w:val="center"/>
        <w:outlineLvl w:val="1"/>
      </w:pPr>
      <w:r>
        <w:rPr>
          <w:rFonts w:ascii="黑体" w:hAnsi="黑体" w:eastAsia="黑体"/>
          <w:sz w:val="32"/>
        </w:rPr>
        <w:t>第三部分 专业名词解释</w:t>
      </w:r>
    </w:p>
    <w:p w14:paraId="2AD63B1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21D70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03C3BB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A760C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59C99F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357D1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B391E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A62B0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FDB5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5641C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D35ED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8DD74D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5EF40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3D783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8E599BD">
      <w:r>
        <w:br w:type="page"/>
      </w:r>
    </w:p>
    <w:p w14:paraId="70DEFFF8">
      <w:pPr>
        <w:spacing w:line="240" w:lineRule="auto"/>
        <w:jc w:val="center"/>
        <w:outlineLvl w:val="1"/>
      </w:pPr>
      <w:r>
        <w:rPr>
          <w:rFonts w:ascii="黑体" w:hAnsi="黑体" w:eastAsia="黑体"/>
          <w:sz w:val="32"/>
        </w:rPr>
        <w:t>第四部分 部门决算报表（见附表）</w:t>
      </w:r>
    </w:p>
    <w:p w14:paraId="467366EE">
      <w:pPr>
        <w:spacing w:line="240" w:lineRule="auto"/>
        <w:ind w:firstLine="640"/>
        <w:jc w:val="both"/>
      </w:pPr>
      <w:r>
        <w:rPr>
          <w:rFonts w:ascii="仿宋_GB2312" w:hAnsi="仿宋_GB2312" w:eastAsia="仿宋_GB2312"/>
          <w:b w:val="0"/>
          <w:sz w:val="32"/>
        </w:rPr>
        <w:t>一、《收入支出决算总表》</w:t>
      </w:r>
    </w:p>
    <w:p w14:paraId="3F9BC196">
      <w:pPr>
        <w:spacing w:line="240" w:lineRule="auto"/>
        <w:ind w:firstLine="640"/>
        <w:jc w:val="both"/>
      </w:pPr>
      <w:r>
        <w:rPr>
          <w:rFonts w:ascii="仿宋_GB2312" w:hAnsi="仿宋_GB2312" w:eastAsia="仿宋_GB2312"/>
          <w:b w:val="0"/>
          <w:sz w:val="32"/>
        </w:rPr>
        <w:t>二、《收入决算表》</w:t>
      </w:r>
    </w:p>
    <w:p w14:paraId="4ABEE7D7">
      <w:pPr>
        <w:spacing w:line="240" w:lineRule="auto"/>
        <w:ind w:firstLine="640"/>
        <w:jc w:val="both"/>
      </w:pPr>
      <w:r>
        <w:rPr>
          <w:rFonts w:ascii="仿宋_GB2312" w:hAnsi="仿宋_GB2312" w:eastAsia="仿宋_GB2312"/>
          <w:b w:val="0"/>
          <w:sz w:val="32"/>
        </w:rPr>
        <w:t>三、《支出决算表》</w:t>
      </w:r>
    </w:p>
    <w:p w14:paraId="125707A7">
      <w:pPr>
        <w:spacing w:line="240" w:lineRule="auto"/>
        <w:ind w:firstLine="640"/>
        <w:jc w:val="both"/>
      </w:pPr>
      <w:r>
        <w:rPr>
          <w:rFonts w:ascii="仿宋_GB2312" w:hAnsi="仿宋_GB2312" w:eastAsia="仿宋_GB2312"/>
          <w:b w:val="0"/>
          <w:sz w:val="32"/>
        </w:rPr>
        <w:t>四、《财政拨款收入支出决算总表》</w:t>
      </w:r>
    </w:p>
    <w:p w14:paraId="3A7B90F0">
      <w:pPr>
        <w:spacing w:line="240" w:lineRule="auto"/>
        <w:ind w:firstLine="640"/>
        <w:jc w:val="both"/>
      </w:pPr>
      <w:r>
        <w:rPr>
          <w:rFonts w:ascii="仿宋_GB2312" w:hAnsi="仿宋_GB2312" w:eastAsia="仿宋_GB2312"/>
          <w:b w:val="0"/>
          <w:sz w:val="32"/>
        </w:rPr>
        <w:t>五、《一般公共预算财政拨款支出决算表》</w:t>
      </w:r>
    </w:p>
    <w:p w14:paraId="78AEB440">
      <w:pPr>
        <w:spacing w:line="240" w:lineRule="auto"/>
        <w:ind w:firstLine="640"/>
        <w:jc w:val="both"/>
      </w:pPr>
      <w:r>
        <w:rPr>
          <w:rFonts w:ascii="仿宋_GB2312" w:hAnsi="仿宋_GB2312" w:eastAsia="仿宋_GB2312"/>
          <w:b w:val="0"/>
          <w:sz w:val="32"/>
        </w:rPr>
        <w:t>六、《一般公共预算财政拨款基本支出决算表》</w:t>
      </w:r>
    </w:p>
    <w:p w14:paraId="70D440DE">
      <w:pPr>
        <w:spacing w:line="240" w:lineRule="auto"/>
        <w:ind w:firstLine="640"/>
        <w:jc w:val="both"/>
      </w:pPr>
      <w:r>
        <w:rPr>
          <w:rFonts w:ascii="仿宋_GB2312" w:hAnsi="仿宋_GB2312" w:eastAsia="仿宋_GB2312"/>
          <w:b w:val="0"/>
          <w:sz w:val="32"/>
        </w:rPr>
        <w:t>七、《政府性基金预算财政拨款收入支出决算表》</w:t>
      </w:r>
    </w:p>
    <w:p w14:paraId="6A706BF8">
      <w:pPr>
        <w:spacing w:line="240" w:lineRule="auto"/>
        <w:ind w:firstLine="640"/>
        <w:jc w:val="both"/>
      </w:pPr>
      <w:r>
        <w:rPr>
          <w:rFonts w:ascii="仿宋_GB2312" w:hAnsi="仿宋_GB2312" w:eastAsia="仿宋_GB2312"/>
          <w:b w:val="0"/>
          <w:sz w:val="32"/>
        </w:rPr>
        <w:t>八、《国有资本经营预算财政拨款收入支出决算表》</w:t>
      </w:r>
    </w:p>
    <w:p w14:paraId="58A48947">
      <w:pPr>
        <w:spacing w:line="240" w:lineRule="auto"/>
        <w:ind w:firstLine="640"/>
        <w:jc w:val="both"/>
      </w:pPr>
      <w:r>
        <w:rPr>
          <w:rFonts w:ascii="仿宋_GB2312" w:hAnsi="仿宋_GB2312" w:eastAsia="仿宋_GB2312"/>
          <w:b w:val="0"/>
          <w:sz w:val="32"/>
        </w:rPr>
        <w:t>九、《财政拨款“三公”经费支出决算表》</w:t>
      </w:r>
    </w:p>
    <w:p w14:paraId="427EF043">
      <w:pPr>
        <w:spacing w:line="240" w:lineRule="auto"/>
        <w:ind w:firstLine="640"/>
        <w:jc w:val="both"/>
      </w:pPr>
    </w:p>
    <w:p w14:paraId="2641BCE6">
      <w:pPr>
        <w:spacing w:line="240" w:lineRule="auto"/>
        <w:ind w:firstLine="640"/>
        <w:jc w:val="both"/>
      </w:pPr>
    </w:p>
    <w:p w14:paraId="01FB6A90">
      <w:pPr>
        <w:spacing w:line="240" w:lineRule="auto"/>
        <w:ind w:firstLine="640"/>
        <w:jc w:val="both"/>
      </w:pPr>
    </w:p>
    <w:p w14:paraId="725266DC">
      <w:pPr>
        <w:spacing w:line="240" w:lineRule="auto"/>
        <w:ind w:firstLine="640"/>
        <w:jc w:val="both"/>
      </w:pPr>
    </w:p>
    <w:p w14:paraId="5917D3D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BCC5AA-1B9F-4EF6-B983-EAC68E27CC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5DB2C30-ABD0-460E-A3B0-B4C3F3DD40DE}"/>
  </w:font>
  <w:font w:name="仿宋_GB2312">
    <w:altName w:val="仿宋"/>
    <w:panose1 w:val="02010609030101010101"/>
    <w:charset w:val="86"/>
    <w:family w:val="modern"/>
    <w:pitch w:val="default"/>
    <w:sig w:usb0="00000000" w:usb1="00000000" w:usb2="00000000" w:usb3="00000000" w:csb0="00040000" w:csb1="00000000"/>
    <w:embedRegular r:id="rId3" w:fontKey="{EA66A6FE-BF94-4957-9DDD-6948BEB6A7E4}"/>
  </w:font>
  <w:font w:name="楷体_GB2312">
    <w:altName w:val="楷体"/>
    <w:panose1 w:val="00000000000000000000"/>
    <w:charset w:val="00"/>
    <w:family w:val="auto"/>
    <w:pitch w:val="default"/>
    <w:sig w:usb0="00000000" w:usb1="00000000" w:usb2="00000000" w:usb3="00000000" w:csb0="00000000" w:csb1="00000000"/>
    <w:embedRegular r:id="rId4" w:fontKey="{4142A64F-2538-4B09-9EC6-5803F55C15C1}"/>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C31458"/>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4072</Words>
  <Characters>4603</Characters>
  <Lines>0</Lines>
  <Paragraphs>0</Paragraphs>
  <TotalTime>1</TotalTime>
  <ScaleCrop>false</ScaleCrop>
  <LinksUpToDate>false</LinksUpToDate>
  <CharactersWithSpaces>4611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2025-09-11T04:21:26Z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