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新疆巴音郭楞蒙古自治州体育场地管理中心2024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EAA1503">
      <w:r>
        <w:br w:type="page"/>
      </w:r>
    </w:p>
    <w:p w14:paraId="40F03F00">
      <w:pPr>
        <w:spacing w:line="640" w:lineRule="exact"/>
        <w:jc w:val="center"/>
        <w:outlineLvl w:val="1"/>
      </w:pPr>
      <w:r>
        <w:rPr>
          <w:rFonts w:ascii="黑体" w:hAnsi="黑体" w:eastAsia="黑体"/>
          <w:sz w:val="32"/>
        </w:rPr>
        <w:t>第一部分 单位概况</w:t>
      </w:r>
    </w:p>
    <w:p w14:paraId="2B03955C">
      <w:pPr>
        <w:spacing w:line="640" w:lineRule="exact"/>
        <w:ind w:firstLine="640"/>
        <w:jc w:val="both"/>
        <w:outlineLvl w:val="2"/>
      </w:pPr>
      <w:r>
        <w:rPr>
          <w:rFonts w:ascii="黑体" w:hAnsi="黑体" w:eastAsia="黑体"/>
          <w:sz w:val="32"/>
        </w:rPr>
        <w:t>一、主要职能</w:t>
      </w:r>
    </w:p>
    <w:p w14:paraId="2EE5CD1E">
      <w:pPr>
        <w:spacing w:line="580" w:lineRule="exact"/>
        <w:ind w:firstLine="640"/>
        <w:jc w:val="both"/>
      </w:pPr>
      <w:r>
        <w:rPr>
          <w:rFonts w:ascii="仿宋_GB2312" w:hAnsi="仿宋_GB2312" w:eastAsia="仿宋_GB2312"/>
          <w:sz w:val="32"/>
        </w:rPr>
        <w:t>我中心肩负贯彻执行《中华人民共和国体育法》《奥运争光计划纲要》，按照《青少年儿童训练大纲》，提供训练、比赛场所与相关服务，促进体育事业的发展提供与管理训练、比赛场所；提供体育训练、比赛后勤保障；提供规模性会议及群众性文体活动后勤保障；开展有偿场地出租业务。负责巴音体育馆两场一馆（巴音体育馆、巴音游泳馆、巴音体育场）的体育设备及场地、体育器材的维修维护的管理和安全保卫工作，负责新建体育设施项目筹建工作，负责提供体育训练、体育竞赛和大小型群众文化体育活动及其他活动后勤保障服务工作。</w:t>
      </w:r>
    </w:p>
    <w:p w14:paraId="71FF8F15">
      <w:pPr>
        <w:spacing w:line="640" w:lineRule="exact"/>
        <w:ind w:firstLine="640"/>
        <w:jc w:val="both"/>
        <w:outlineLvl w:val="2"/>
      </w:pPr>
      <w:r>
        <w:rPr>
          <w:rFonts w:ascii="黑体" w:hAnsi="黑体" w:eastAsia="黑体"/>
          <w:sz w:val="32"/>
        </w:rPr>
        <w:t>二、机构设置及人员情况</w:t>
      </w:r>
    </w:p>
    <w:p w14:paraId="6F42BD68">
      <w:pPr>
        <w:spacing w:line="580" w:lineRule="exact"/>
        <w:ind w:firstLine="640"/>
        <w:jc w:val="both"/>
      </w:pPr>
      <w:r>
        <w:rPr>
          <w:rFonts w:ascii="仿宋_GB2312" w:hAnsi="仿宋_GB2312" w:eastAsia="仿宋_GB2312"/>
          <w:sz w:val="32"/>
        </w:rPr>
        <w:t>新疆巴音郭楞蒙古自治州体育场地管理中心2024年度，实有人数17人，其中：在职人员13人，增加0人；离休人员0人，增加0人；退休人员4人,增加0人。</w:t>
      </w:r>
    </w:p>
    <w:p w14:paraId="17BA4F11">
      <w:pPr>
        <w:spacing w:line="580" w:lineRule="exact"/>
        <w:ind w:firstLine="640"/>
        <w:jc w:val="both"/>
      </w:pPr>
      <w:r>
        <w:rPr>
          <w:rFonts w:ascii="仿宋_GB2312" w:hAnsi="仿宋_GB2312" w:eastAsia="仿宋_GB2312"/>
          <w:sz w:val="32"/>
        </w:rPr>
        <w:t>新疆巴音郭楞蒙古自治州体育场地管理中心无下属预算单位，下设3个科室，分别是：办公室、财务室、党建办。</w:t>
      </w:r>
    </w:p>
    <w:p w14:paraId="26041B28">
      <w:r>
        <w:br w:type="page"/>
      </w:r>
    </w:p>
    <w:p w14:paraId="112B744B">
      <w:pPr>
        <w:spacing w:line="240" w:lineRule="auto"/>
        <w:jc w:val="center"/>
        <w:outlineLvl w:val="1"/>
      </w:pPr>
      <w:r>
        <w:rPr>
          <w:rFonts w:ascii="黑体" w:hAnsi="黑体" w:eastAsia="黑体"/>
          <w:sz w:val="32"/>
        </w:rPr>
        <w:t>第二部分 部门决算情况说明</w:t>
      </w:r>
    </w:p>
    <w:p w14:paraId="1FB91CE7">
      <w:pPr>
        <w:spacing w:line="640" w:lineRule="exact"/>
        <w:ind w:firstLine="640"/>
        <w:jc w:val="both"/>
        <w:outlineLvl w:val="2"/>
      </w:pPr>
      <w:r>
        <w:rPr>
          <w:rFonts w:ascii="黑体" w:hAnsi="黑体" w:eastAsia="黑体"/>
          <w:sz w:val="32"/>
        </w:rPr>
        <w:t>一、收入支出决算总体情况说明</w:t>
      </w:r>
    </w:p>
    <w:p w14:paraId="6BB5E52C">
      <w:pPr>
        <w:spacing w:line="580" w:lineRule="exact"/>
        <w:ind w:firstLine="640"/>
        <w:jc w:val="both"/>
      </w:pPr>
      <w:r>
        <w:rPr>
          <w:rFonts w:ascii="仿宋_GB2312" w:hAnsi="仿宋_GB2312" w:eastAsia="仿宋_GB2312"/>
          <w:b/>
          <w:sz w:val="32"/>
        </w:rPr>
        <w:t>2024年度收入总计746.01万元，</w:t>
      </w:r>
      <w:r>
        <w:rPr>
          <w:rFonts w:ascii="仿宋_GB2312" w:hAnsi="仿宋_GB2312" w:eastAsia="仿宋_GB2312"/>
          <w:b w:val="0"/>
          <w:sz w:val="32"/>
        </w:rPr>
        <w:t>其中：本年收入合计746.01万元，使用非财政拨款结余（含专用结余）0.00万元，年初结转和结余0.00万元。</w:t>
      </w:r>
    </w:p>
    <w:p w14:paraId="53D951E4">
      <w:pPr>
        <w:spacing w:line="580" w:lineRule="exact"/>
        <w:ind w:firstLine="640"/>
        <w:jc w:val="both"/>
      </w:pPr>
      <w:r>
        <w:rPr>
          <w:rFonts w:ascii="仿宋_GB2312" w:hAnsi="仿宋_GB2312" w:eastAsia="仿宋_GB2312"/>
          <w:b/>
          <w:sz w:val="32"/>
        </w:rPr>
        <w:t>2024年度支出总计746.01万元，</w:t>
      </w:r>
      <w:r>
        <w:rPr>
          <w:rFonts w:ascii="仿宋_GB2312" w:hAnsi="仿宋_GB2312" w:eastAsia="仿宋_GB2312"/>
          <w:b w:val="0"/>
          <w:sz w:val="32"/>
        </w:rPr>
        <w:t>其中：本年支出合计745.97万元，结余分配0.00万元，年末结转和结余0.04万元。</w:t>
      </w:r>
    </w:p>
    <w:p w14:paraId="571575BC">
      <w:pPr>
        <w:spacing w:line="580" w:lineRule="exact"/>
        <w:ind w:firstLine="640"/>
        <w:jc w:val="both"/>
      </w:pPr>
      <w:r>
        <w:rPr>
          <w:rFonts w:ascii="仿宋_GB2312" w:hAnsi="仿宋_GB2312" w:eastAsia="仿宋_GB2312"/>
          <w:b w:val="0"/>
          <w:sz w:val="32"/>
        </w:rPr>
        <w:t>收入支出总体与上年相比，增加286.97万元，增长62.52%，主要原因是：本年增加体育彩票公益金结余项目资金。</w:t>
      </w:r>
    </w:p>
    <w:p w14:paraId="3C02321A">
      <w:pPr>
        <w:spacing w:line="640" w:lineRule="exact"/>
        <w:ind w:firstLine="640"/>
        <w:jc w:val="both"/>
        <w:outlineLvl w:val="2"/>
      </w:pPr>
      <w:r>
        <w:rPr>
          <w:rFonts w:ascii="黑体" w:hAnsi="黑体" w:eastAsia="黑体"/>
          <w:sz w:val="32"/>
        </w:rPr>
        <w:t>二、收入决算情况说明</w:t>
      </w:r>
    </w:p>
    <w:p w14:paraId="6462BF94">
      <w:pPr>
        <w:spacing w:line="580" w:lineRule="exact"/>
        <w:ind w:firstLine="640"/>
        <w:jc w:val="both"/>
      </w:pPr>
      <w:r>
        <w:rPr>
          <w:rFonts w:ascii="仿宋_GB2312" w:hAnsi="仿宋_GB2312" w:eastAsia="仿宋_GB2312"/>
          <w:b/>
          <w:sz w:val="32"/>
        </w:rPr>
        <w:t>本年收入746.01万元，</w:t>
      </w:r>
      <w:r>
        <w:rPr>
          <w:rFonts w:ascii="仿宋_GB2312" w:hAnsi="仿宋_GB2312" w:eastAsia="仿宋_GB2312"/>
          <w:b w:val="0"/>
          <w:sz w:val="32"/>
        </w:rPr>
        <w:t>其中：财政拨款收入739.67万元，占99.15%；上级补助收入0.00万元，占0.00%；事业收入0.00万元，占0.00%；经营收入0.00万元，占0.00%；附属单位上缴收入0.00万元，占0.00%；其他收入6.34万元，占0.85%。</w:t>
      </w:r>
    </w:p>
    <w:p w14:paraId="07E0C9E6">
      <w:pPr>
        <w:spacing w:line="640" w:lineRule="exact"/>
        <w:ind w:firstLine="640"/>
        <w:jc w:val="both"/>
        <w:outlineLvl w:val="2"/>
      </w:pPr>
      <w:r>
        <w:rPr>
          <w:rFonts w:ascii="黑体" w:hAnsi="黑体" w:eastAsia="黑体"/>
          <w:sz w:val="32"/>
        </w:rPr>
        <w:t>三、支出决算情况说明</w:t>
      </w:r>
    </w:p>
    <w:p w14:paraId="1C3A90E0">
      <w:pPr>
        <w:spacing w:line="580" w:lineRule="exact"/>
        <w:ind w:firstLine="640"/>
        <w:jc w:val="both"/>
      </w:pPr>
      <w:r>
        <w:rPr>
          <w:rFonts w:ascii="仿宋_GB2312" w:hAnsi="仿宋_GB2312" w:eastAsia="仿宋_GB2312"/>
          <w:b/>
          <w:sz w:val="32"/>
        </w:rPr>
        <w:t>本年支出745.97万元，</w:t>
      </w:r>
      <w:r>
        <w:rPr>
          <w:rFonts w:ascii="仿宋_GB2312" w:hAnsi="仿宋_GB2312" w:eastAsia="仿宋_GB2312"/>
          <w:b w:val="0"/>
          <w:sz w:val="32"/>
        </w:rPr>
        <w:t>其中：基本支出270.52万元，占36.26%；项目支出475.46万元，占63.74%；上缴上级支出0.00万元，占0.00%；经营支出0.00万元，占0.00%；对附属单位补助支出0.00万元，占0.00%。</w:t>
      </w:r>
    </w:p>
    <w:p w14:paraId="6E99015D">
      <w:pPr>
        <w:spacing w:line="640" w:lineRule="exact"/>
        <w:ind w:firstLine="640"/>
        <w:jc w:val="both"/>
        <w:outlineLvl w:val="2"/>
      </w:pPr>
      <w:r>
        <w:rPr>
          <w:rFonts w:ascii="黑体" w:hAnsi="黑体" w:eastAsia="黑体"/>
          <w:sz w:val="32"/>
        </w:rPr>
        <w:t>四、财政拨款收入支出决算总体情况说明</w:t>
      </w:r>
    </w:p>
    <w:p w14:paraId="33762FDE">
      <w:pPr>
        <w:spacing w:line="580" w:lineRule="exact"/>
        <w:ind w:firstLine="640"/>
        <w:jc w:val="both"/>
      </w:pPr>
      <w:r>
        <w:rPr>
          <w:rFonts w:ascii="仿宋_GB2312" w:hAnsi="仿宋_GB2312" w:eastAsia="仿宋_GB2312"/>
          <w:b/>
          <w:sz w:val="32"/>
        </w:rPr>
        <w:t>2024年度财政拨款收入总计739.67万元，</w:t>
      </w:r>
      <w:r>
        <w:rPr>
          <w:rFonts w:ascii="仿宋_GB2312" w:hAnsi="仿宋_GB2312" w:eastAsia="仿宋_GB2312"/>
          <w:b w:val="0"/>
          <w:sz w:val="32"/>
        </w:rPr>
        <w:t>其中：年初财政拨款结转和结余0.00万元，本年财政拨款收入739.67万元。</w:t>
      </w:r>
      <w:r>
        <w:rPr>
          <w:rFonts w:ascii="仿宋_GB2312" w:hAnsi="仿宋_GB2312" w:eastAsia="仿宋_GB2312"/>
          <w:b/>
          <w:sz w:val="32"/>
        </w:rPr>
        <w:t>财政拨款支出总计739.67万元，</w:t>
      </w:r>
      <w:r>
        <w:rPr>
          <w:rFonts w:ascii="仿宋_GB2312" w:hAnsi="仿宋_GB2312" w:eastAsia="仿宋_GB2312"/>
          <w:b w:val="0"/>
          <w:sz w:val="32"/>
        </w:rPr>
        <w:t>其中：年末财政拨款结转和结余0.00万元，本年财政拨款支出739.67万元。</w:t>
      </w:r>
    </w:p>
    <w:p w14:paraId="195C8CD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增加280.78万元，增长61.19%，主要原因是：本年增加体育彩票公益金结余项目资金。</w:t>
      </w:r>
      <w:r>
        <w:rPr>
          <w:rFonts w:ascii="仿宋_GB2312" w:hAnsi="仿宋_GB2312" w:eastAsia="仿宋_GB2312"/>
          <w:b/>
          <w:sz w:val="32"/>
        </w:rPr>
        <w:t>与年初预算相比，</w:t>
      </w:r>
      <w:r>
        <w:rPr>
          <w:rFonts w:ascii="仿宋_GB2312" w:hAnsi="仿宋_GB2312" w:eastAsia="仿宋_GB2312"/>
          <w:b w:val="0"/>
          <w:sz w:val="32"/>
        </w:rPr>
        <w:t>年初预算数415.61万元，决算数739.67万元，预决算差异率77.97%，主要原因是：年中追加体育彩票公益金结余资金项目，导致预决算存在差异。</w:t>
      </w:r>
    </w:p>
    <w:p w14:paraId="2AD56CAF">
      <w:pPr>
        <w:spacing w:line="640" w:lineRule="exact"/>
        <w:ind w:firstLine="640"/>
        <w:jc w:val="both"/>
        <w:outlineLvl w:val="2"/>
      </w:pPr>
      <w:r>
        <w:rPr>
          <w:rFonts w:ascii="黑体" w:hAnsi="黑体" w:eastAsia="黑体"/>
          <w:sz w:val="32"/>
        </w:rPr>
        <w:t>五、一般公共预算财政拨款支出决算情况说明</w:t>
      </w:r>
    </w:p>
    <w:p w14:paraId="698A0462">
      <w:pPr>
        <w:spacing w:line="640" w:lineRule="exact"/>
        <w:ind w:firstLine="640"/>
        <w:jc w:val="both"/>
        <w:outlineLvl w:val="3"/>
      </w:pPr>
      <w:r>
        <w:rPr>
          <w:rFonts w:ascii="楷体_GB2312" w:hAnsi="楷体_GB2312" w:eastAsia="楷体_GB2312"/>
          <w:b/>
          <w:sz w:val="32"/>
        </w:rPr>
        <w:t>（一）一般公共预算财政拨款支出决算总体情况</w:t>
      </w:r>
    </w:p>
    <w:p w14:paraId="51F3E451">
      <w:pPr>
        <w:spacing w:line="580" w:lineRule="exact"/>
        <w:ind w:firstLine="640"/>
        <w:jc w:val="both"/>
      </w:pPr>
      <w:r>
        <w:rPr>
          <w:rFonts w:ascii="仿宋_GB2312" w:hAnsi="仿宋_GB2312" w:eastAsia="仿宋_GB2312"/>
          <w:b/>
          <w:sz w:val="32"/>
        </w:rPr>
        <w:t>2024年度一般公共预算财政拨款支出386.00万元，</w:t>
      </w:r>
      <w:r>
        <w:rPr>
          <w:rFonts w:ascii="仿宋_GB2312" w:hAnsi="仿宋_GB2312" w:eastAsia="仿宋_GB2312"/>
          <w:b w:val="0"/>
          <w:sz w:val="32"/>
        </w:rPr>
        <w:t>占本年支出合计的51.74%。</w:t>
      </w:r>
      <w:r>
        <w:rPr>
          <w:rFonts w:ascii="仿宋_GB2312" w:hAnsi="仿宋_GB2312" w:eastAsia="仿宋_GB2312"/>
          <w:b/>
          <w:sz w:val="32"/>
        </w:rPr>
        <w:t>与上年相比，</w:t>
      </w:r>
      <w:r>
        <w:rPr>
          <w:rFonts w:ascii="仿宋_GB2312" w:hAnsi="仿宋_GB2312" w:eastAsia="仿宋_GB2312"/>
          <w:b w:val="0"/>
          <w:sz w:val="32"/>
        </w:rPr>
        <w:t>减少41.31万元，下降9.67%，主要原因是：本年减少中央补助地方公共文化服务体系建设项目</w:t>
      </w:r>
      <w:r>
        <w:rPr>
          <w:rFonts w:hint="eastAsia" w:ascii="仿宋_GB2312" w:hAnsi="仿宋_GB2312" w:eastAsia="仿宋_GB2312"/>
          <w:b w:val="0"/>
          <w:sz w:val="32"/>
          <w:lang w:eastAsia="zh-CN"/>
        </w:rPr>
        <w:t>、</w:t>
      </w:r>
      <w:r>
        <w:rPr>
          <w:rFonts w:ascii="仿宋_GB2312" w:hAnsi="仿宋_GB2312" w:eastAsia="仿宋_GB2312"/>
          <w:b w:val="0"/>
          <w:sz w:val="32"/>
        </w:rPr>
        <w:t>公共体育场馆向社会免费或低收费开放补助</w:t>
      </w:r>
      <w:r>
        <w:rPr>
          <w:rFonts w:hint="eastAsia" w:ascii="仿宋_GB2312" w:hAnsi="仿宋_GB2312" w:eastAsia="仿宋_GB2312"/>
          <w:b w:val="0"/>
          <w:sz w:val="32"/>
          <w:lang w:val="en-US" w:eastAsia="zh-CN"/>
        </w:rPr>
        <w:t>资金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年初预算数399.61万元，决算数386.00万元，预决算差异率-3.41%，主要原因是：</w:t>
      </w:r>
      <w:r>
        <w:rPr>
          <w:rFonts w:hint="eastAsia" w:ascii="仿宋_GB2312" w:hAnsi="仿宋_GB2312" w:eastAsia="仿宋_GB2312"/>
          <w:b w:val="0"/>
          <w:sz w:val="32"/>
          <w:lang w:val="en-US" w:eastAsia="zh-CN"/>
        </w:rPr>
        <w:t>年中调减</w:t>
      </w:r>
      <w:r>
        <w:rPr>
          <w:rFonts w:ascii="仿宋_GB2312" w:hAnsi="仿宋_GB2312" w:eastAsia="仿宋_GB2312"/>
          <w:b w:val="0"/>
          <w:sz w:val="32"/>
        </w:rPr>
        <w:t>中央补助地方公共文化服务体系建设项目</w:t>
      </w:r>
      <w:r>
        <w:rPr>
          <w:rFonts w:hint="eastAsia" w:ascii="仿宋_GB2312" w:hAnsi="仿宋_GB2312" w:eastAsia="仿宋_GB2312"/>
          <w:b w:val="0"/>
          <w:sz w:val="32"/>
          <w:lang w:val="en-US" w:eastAsia="zh-CN"/>
        </w:rPr>
        <w:t>资金</w:t>
      </w:r>
      <w:r>
        <w:rPr>
          <w:rFonts w:ascii="仿宋_GB2312" w:hAnsi="仿宋_GB2312" w:eastAsia="仿宋_GB2312"/>
          <w:b w:val="0"/>
          <w:sz w:val="32"/>
        </w:rPr>
        <w:t>。</w:t>
      </w:r>
    </w:p>
    <w:p w14:paraId="6E56DD92">
      <w:pPr>
        <w:spacing w:line="640" w:lineRule="exact"/>
        <w:ind w:firstLine="640"/>
        <w:jc w:val="both"/>
        <w:outlineLvl w:val="3"/>
      </w:pPr>
      <w:r>
        <w:rPr>
          <w:rFonts w:ascii="楷体_GB2312" w:hAnsi="楷体_GB2312" w:eastAsia="楷体_GB2312"/>
          <w:b/>
          <w:sz w:val="32"/>
        </w:rPr>
        <w:t>（二）一般公共预算财政拨款支出决算结构情况</w:t>
      </w:r>
    </w:p>
    <w:p w14:paraId="75DE8BA5">
      <w:pPr>
        <w:spacing w:line="580" w:lineRule="exact"/>
        <w:ind w:firstLine="640"/>
        <w:jc w:val="both"/>
      </w:pPr>
      <w:r>
        <w:rPr>
          <w:rFonts w:ascii="仿宋_GB2312" w:hAnsi="仿宋_GB2312" w:eastAsia="仿宋_GB2312"/>
          <w:b w:val="0"/>
          <w:sz w:val="32"/>
        </w:rPr>
        <w:t>1.文化旅游体育与传媒支出(类)386.00万元,占100.00%。</w:t>
      </w:r>
    </w:p>
    <w:p w14:paraId="630EFD14">
      <w:pPr>
        <w:spacing w:line="640" w:lineRule="exact"/>
        <w:ind w:firstLine="640"/>
        <w:jc w:val="both"/>
        <w:outlineLvl w:val="3"/>
      </w:pPr>
      <w:r>
        <w:rPr>
          <w:rFonts w:ascii="楷体_GB2312" w:hAnsi="楷体_GB2312" w:eastAsia="楷体_GB2312"/>
          <w:b/>
          <w:sz w:val="32"/>
        </w:rPr>
        <w:t>（三）一般公共预算财政拨款支出决算具体情况</w:t>
      </w:r>
    </w:p>
    <w:p w14:paraId="2B350B13">
      <w:pPr>
        <w:spacing w:line="580" w:lineRule="exact"/>
        <w:ind w:firstLine="640"/>
        <w:jc w:val="both"/>
      </w:pPr>
      <w:r>
        <w:rPr>
          <w:rFonts w:ascii="仿宋_GB2312" w:hAnsi="仿宋_GB2312" w:eastAsia="仿宋_GB2312"/>
          <w:b w:val="0"/>
          <w:sz w:val="32"/>
        </w:rPr>
        <w:t>1.文化旅游体育与传媒支出(类)体育(款)体育场馆(项):支出决算数为386.00万元，比上年决算减少16.31万元，下降4.05%,主要原因是：本年减少公共体育场馆向社会免费或低收费开放补助</w:t>
      </w:r>
      <w:r>
        <w:rPr>
          <w:rFonts w:hint="eastAsia" w:ascii="仿宋_GB2312" w:hAnsi="仿宋_GB2312" w:eastAsia="仿宋_GB2312"/>
          <w:b w:val="0"/>
          <w:sz w:val="32"/>
          <w:lang w:val="en-US" w:eastAsia="zh-CN"/>
        </w:rPr>
        <w:t>资金</w:t>
      </w:r>
      <w:r>
        <w:rPr>
          <w:rFonts w:ascii="仿宋_GB2312" w:hAnsi="仿宋_GB2312" w:eastAsia="仿宋_GB2312"/>
          <w:b w:val="0"/>
          <w:sz w:val="32"/>
        </w:rPr>
        <w:t>。</w:t>
      </w:r>
    </w:p>
    <w:p w14:paraId="281EABB1">
      <w:pPr>
        <w:spacing w:line="580" w:lineRule="exact"/>
        <w:ind w:firstLine="640"/>
        <w:jc w:val="both"/>
      </w:pPr>
      <w:r>
        <w:rPr>
          <w:rFonts w:ascii="仿宋_GB2312" w:hAnsi="仿宋_GB2312" w:eastAsia="仿宋_GB2312"/>
          <w:b w:val="0"/>
          <w:sz w:val="32"/>
        </w:rPr>
        <w:t>2.文化旅游体育与传媒支出(类)其他文化旅游体育与传媒支出(款)其他文化旅游体育与传媒支出(项):支出决算数为0.00万元，比上年决算减少25.00万元，下降100.00%,主要原因是：本年减少公共文化服务体系建设资金项目。</w:t>
      </w:r>
    </w:p>
    <w:p w14:paraId="2411FD6C">
      <w:pPr>
        <w:spacing w:line="640" w:lineRule="exact"/>
        <w:ind w:firstLine="640"/>
        <w:jc w:val="both"/>
        <w:outlineLvl w:val="2"/>
      </w:pPr>
      <w:r>
        <w:rPr>
          <w:rFonts w:ascii="黑体" w:hAnsi="黑体" w:eastAsia="黑体"/>
          <w:sz w:val="32"/>
        </w:rPr>
        <w:t>六、一般公共预算财政拨款基本支出决算情况说明</w:t>
      </w:r>
    </w:p>
    <w:p w14:paraId="78CCCBF1">
      <w:pPr>
        <w:spacing w:line="580" w:lineRule="exact"/>
        <w:ind w:firstLine="640"/>
        <w:jc w:val="both"/>
      </w:pPr>
      <w:r>
        <w:rPr>
          <w:rFonts w:ascii="仿宋_GB2312" w:hAnsi="仿宋_GB2312" w:eastAsia="仿宋_GB2312"/>
          <w:b w:val="0"/>
          <w:sz w:val="32"/>
        </w:rPr>
        <w:t>2024年度一般公共预算财政拨款基本支出270.52万元，其中：</w:t>
      </w:r>
      <w:r>
        <w:rPr>
          <w:rFonts w:ascii="仿宋_GB2312" w:hAnsi="仿宋_GB2312" w:eastAsia="仿宋_GB2312"/>
          <w:b/>
          <w:sz w:val="32"/>
        </w:rPr>
        <w:t>人员经费234.15万元，</w:t>
      </w:r>
      <w:r>
        <w:rPr>
          <w:rFonts w:ascii="仿宋_GB2312" w:hAnsi="仿宋_GB2312" w:eastAsia="仿宋_GB2312"/>
          <w:b w:val="0"/>
          <w:sz w:val="32"/>
        </w:rPr>
        <w:t>包括：基本工资、津贴补贴、奖金、伙食补助费、机关事业单位基本养老保险缴费、职工基本医疗保险缴费、其他社会保障缴费、住房公积金、退休费、奖励金。</w:t>
      </w:r>
    </w:p>
    <w:p w14:paraId="7B069E0A">
      <w:pPr>
        <w:spacing w:line="580" w:lineRule="exact"/>
        <w:ind w:firstLine="640"/>
        <w:jc w:val="both"/>
      </w:pPr>
      <w:r>
        <w:rPr>
          <w:rFonts w:ascii="仿宋_GB2312" w:hAnsi="仿宋_GB2312" w:eastAsia="仿宋_GB2312"/>
          <w:b/>
          <w:sz w:val="32"/>
        </w:rPr>
        <w:t>公用经费36.37万元，</w:t>
      </w:r>
      <w:r>
        <w:rPr>
          <w:rFonts w:ascii="仿宋_GB2312" w:hAnsi="仿宋_GB2312" w:eastAsia="仿宋_GB2312"/>
          <w:b w:val="0"/>
          <w:sz w:val="32"/>
        </w:rPr>
        <w:t>包括：办公费、水费、电费、邮电费、取暖费、物业管理费、差旅费、培训费、工会经费、福利费、其他商品和服务支出。</w:t>
      </w:r>
    </w:p>
    <w:p w14:paraId="33AE0F5F">
      <w:pPr>
        <w:spacing w:line="640" w:lineRule="exact"/>
        <w:ind w:firstLine="640"/>
        <w:jc w:val="both"/>
        <w:outlineLvl w:val="2"/>
      </w:pPr>
      <w:r>
        <w:rPr>
          <w:rFonts w:ascii="黑体" w:hAnsi="黑体" w:eastAsia="黑体"/>
          <w:sz w:val="32"/>
        </w:rPr>
        <w:t>七、政府性基金预算财政拨款收入支出决算情况说明</w:t>
      </w:r>
    </w:p>
    <w:p w14:paraId="4DFB2472">
      <w:pPr>
        <w:spacing w:line="580" w:lineRule="exact"/>
        <w:ind w:firstLine="640"/>
        <w:jc w:val="both"/>
      </w:pPr>
      <w:r>
        <w:rPr>
          <w:rFonts w:ascii="仿宋_GB2312" w:hAnsi="仿宋_GB2312" w:eastAsia="仿宋_GB2312"/>
          <w:b/>
          <w:sz w:val="32"/>
        </w:rPr>
        <w:t>2024年度政府性基金预算财政拨款收入总计353.67万元，</w:t>
      </w:r>
      <w:r>
        <w:rPr>
          <w:rFonts w:ascii="仿宋_GB2312" w:hAnsi="仿宋_GB2312" w:eastAsia="仿宋_GB2312"/>
          <w:b w:val="0"/>
          <w:sz w:val="32"/>
        </w:rPr>
        <w:t>其中：年初结转和结余0.00万元，本年收入353.67万元。</w:t>
      </w:r>
      <w:r>
        <w:rPr>
          <w:rFonts w:ascii="仿宋_GB2312" w:hAnsi="仿宋_GB2312" w:eastAsia="仿宋_GB2312"/>
          <w:b/>
          <w:sz w:val="32"/>
        </w:rPr>
        <w:t>政府性基金预算财政拨款支出总计353.67万元，</w:t>
      </w:r>
      <w:r>
        <w:rPr>
          <w:rFonts w:ascii="仿宋_GB2312" w:hAnsi="仿宋_GB2312" w:eastAsia="仿宋_GB2312"/>
          <w:b w:val="0"/>
          <w:sz w:val="32"/>
        </w:rPr>
        <w:t>其中：年末结转和结余0.00万元，本年支出353.67万元。</w:t>
      </w:r>
    </w:p>
    <w:p w14:paraId="0E14DAD3">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增加322.08万元，增长1,019.56%，主要原因是：本年自治州体育彩票公益金支持体育事业项目资金较上年增加；本年增加体育彩票公益金结余资金项目。</w:t>
      </w:r>
      <w:r>
        <w:rPr>
          <w:rFonts w:ascii="仿宋_GB2312" w:hAnsi="仿宋_GB2312" w:eastAsia="仿宋_GB2312"/>
          <w:b/>
          <w:sz w:val="32"/>
        </w:rPr>
        <w:t>与年初预算相比，</w:t>
      </w:r>
      <w:r>
        <w:rPr>
          <w:rFonts w:ascii="仿宋_GB2312" w:hAnsi="仿宋_GB2312" w:eastAsia="仿宋_GB2312"/>
          <w:b w:val="0"/>
          <w:sz w:val="32"/>
        </w:rPr>
        <w:t>年初预算数16.00万元，决算数353.67万元，预决算差异率2110.44%，主要原因是：年中追加自治州体育彩票公益金支持体育事业项目资金、体育彩票公益金结余资金项目，导致预决算存在差异。</w:t>
      </w:r>
    </w:p>
    <w:p w14:paraId="48BC0A8E">
      <w:pPr>
        <w:spacing w:line="580" w:lineRule="exact"/>
        <w:ind w:firstLine="640"/>
        <w:jc w:val="both"/>
      </w:pPr>
      <w:r>
        <w:rPr>
          <w:rFonts w:ascii="仿宋_GB2312" w:hAnsi="仿宋_GB2312" w:eastAsia="仿宋_GB2312"/>
          <w:b w:val="0"/>
          <w:sz w:val="32"/>
        </w:rPr>
        <w:t>政府性基金预算财政拨款支出353.67万元。</w:t>
      </w:r>
    </w:p>
    <w:p w14:paraId="5B7604C5">
      <w:pPr>
        <w:spacing w:line="580" w:lineRule="exact"/>
        <w:ind w:firstLine="640"/>
        <w:jc w:val="both"/>
      </w:pPr>
      <w:r>
        <w:rPr>
          <w:rFonts w:ascii="仿宋_GB2312" w:hAnsi="仿宋_GB2312" w:eastAsia="仿宋_GB2312"/>
          <w:b w:val="0"/>
          <w:sz w:val="32"/>
        </w:rPr>
        <w:t>1.其他支出(类)彩票公益金安排的支出(款)用于体育事业的彩票公益金支出(项):支出决算数为353.67万元，比上年决算增加322.08万元，增长1,019.56%,主要原因是：本年自治州体育彩票公益金支持体育事业项目资金较上年增加；本年增加体育彩票公益金结余资金项目。</w:t>
      </w:r>
    </w:p>
    <w:p w14:paraId="391E62F0">
      <w:pPr>
        <w:spacing w:line="640" w:lineRule="exact"/>
        <w:ind w:firstLine="640"/>
        <w:jc w:val="both"/>
        <w:outlineLvl w:val="2"/>
      </w:pPr>
      <w:r>
        <w:rPr>
          <w:rFonts w:ascii="黑体" w:hAnsi="黑体" w:eastAsia="黑体"/>
          <w:sz w:val="32"/>
        </w:rPr>
        <w:t>八、国有资本经营预算财政拨款收入支出决算情况说明</w:t>
      </w:r>
    </w:p>
    <w:p w14:paraId="50CC44D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11AA55B">
      <w:pPr>
        <w:spacing w:line="640" w:lineRule="exact"/>
        <w:ind w:firstLine="640"/>
        <w:jc w:val="both"/>
        <w:outlineLvl w:val="2"/>
      </w:pPr>
      <w:r>
        <w:rPr>
          <w:rFonts w:ascii="黑体" w:hAnsi="黑体" w:eastAsia="黑体"/>
          <w:sz w:val="32"/>
        </w:rPr>
        <w:t>九、财政拨款“三公”经费支出决算情况说明</w:t>
      </w:r>
    </w:p>
    <w:p w14:paraId="22552F8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D84DF8E">
      <w:pPr>
        <w:spacing w:line="580" w:lineRule="exact"/>
        <w:ind w:firstLine="640"/>
        <w:jc w:val="both"/>
      </w:pPr>
      <w:r>
        <w:rPr>
          <w:rFonts w:ascii="仿宋_GB2312" w:hAnsi="仿宋_GB2312" w:eastAsia="仿宋_GB2312"/>
          <w:b/>
          <w:sz w:val="32"/>
        </w:rPr>
        <w:t>具体情况如下：</w:t>
      </w:r>
    </w:p>
    <w:p w14:paraId="16E7C4B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8E8CE9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509E70E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049967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6D20053">
      <w:pPr>
        <w:spacing w:line="640" w:lineRule="exact"/>
        <w:ind w:firstLine="640"/>
        <w:jc w:val="both"/>
        <w:outlineLvl w:val="2"/>
      </w:pPr>
      <w:r>
        <w:rPr>
          <w:rFonts w:ascii="黑体" w:hAnsi="黑体" w:eastAsia="黑体"/>
          <w:sz w:val="32"/>
        </w:rPr>
        <w:t>十、其他重要事项的情况说明</w:t>
      </w:r>
    </w:p>
    <w:p w14:paraId="43A0CCE0">
      <w:pPr>
        <w:spacing w:line="640" w:lineRule="exact"/>
        <w:ind w:firstLine="640"/>
        <w:jc w:val="both"/>
        <w:outlineLvl w:val="3"/>
      </w:pPr>
      <w:r>
        <w:rPr>
          <w:rFonts w:ascii="楷体_GB2312" w:hAnsi="楷体_GB2312" w:eastAsia="楷体_GB2312"/>
          <w:b/>
          <w:sz w:val="32"/>
        </w:rPr>
        <w:t>（一）机关运行经费及公用经费支出情况</w:t>
      </w:r>
    </w:p>
    <w:p w14:paraId="55B455D1">
      <w:pPr>
        <w:spacing w:line="580" w:lineRule="exact"/>
        <w:ind w:firstLine="640"/>
        <w:jc w:val="both"/>
      </w:pPr>
      <w:r>
        <w:rPr>
          <w:rFonts w:ascii="仿宋_GB2312" w:hAnsi="仿宋_GB2312" w:eastAsia="仿宋_GB2312"/>
          <w:b w:val="0"/>
          <w:sz w:val="32"/>
        </w:rPr>
        <w:t>2024年度新疆巴音郭楞蒙古自治州体育场地管理中心（事业单位）公用经费支出36.37万元，比上年增加1.71万元，增长4.93%，主要原因是：本年增加邮电费等经费，导致公用经费增加。</w:t>
      </w:r>
    </w:p>
    <w:p w14:paraId="4B9EB77B">
      <w:pPr>
        <w:spacing w:line="640" w:lineRule="exact"/>
        <w:ind w:firstLine="640"/>
        <w:jc w:val="both"/>
        <w:outlineLvl w:val="3"/>
      </w:pPr>
      <w:r>
        <w:rPr>
          <w:rFonts w:ascii="楷体_GB2312" w:hAnsi="楷体_GB2312" w:eastAsia="楷体_GB2312"/>
          <w:b/>
          <w:sz w:val="32"/>
        </w:rPr>
        <w:t>（二）政府采购情况</w:t>
      </w:r>
    </w:p>
    <w:p w14:paraId="5B9C1016">
      <w:pPr>
        <w:spacing w:line="580" w:lineRule="exact"/>
        <w:ind w:firstLine="640"/>
        <w:jc w:val="both"/>
      </w:pPr>
      <w:r>
        <w:rPr>
          <w:rFonts w:ascii="仿宋_GB2312" w:hAnsi="仿宋_GB2312" w:eastAsia="仿宋_GB2312"/>
          <w:b w:val="0"/>
          <w:sz w:val="32"/>
        </w:rPr>
        <w:t>2024年度政府采购支出总额390.65万元，其中：政府采购货物支出70.27万元、政府采购工程支出315.23万元、政府采购服务支出5.15万元。</w:t>
      </w:r>
    </w:p>
    <w:p w14:paraId="55C9BEE6">
      <w:pPr>
        <w:spacing w:line="580" w:lineRule="exact"/>
        <w:ind w:firstLine="640"/>
        <w:jc w:val="both"/>
      </w:pPr>
      <w:r>
        <w:rPr>
          <w:rFonts w:ascii="仿宋_GB2312" w:hAnsi="仿宋_GB2312" w:eastAsia="仿宋_GB2312"/>
          <w:b w:val="0"/>
          <w:sz w:val="32"/>
        </w:rPr>
        <w:t>授予中小企业合同金额287.99万元，占政府采购支出总额的73.72%，其中：授予小微企业合同金额8.71万元，占政府采购支出总额的2.23%。</w:t>
      </w:r>
    </w:p>
    <w:p w14:paraId="0AF41FC0">
      <w:pPr>
        <w:spacing w:line="640" w:lineRule="exact"/>
        <w:ind w:firstLine="640"/>
        <w:jc w:val="both"/>
        <w:outlineLvl w:val="3"/>
      </w:pPr>
      <w:r>
        <w:rPr>
          <w:rFonts w:ascii="楷体_GB2312" w:hAnsi="楷体_GB2312" w:eastAsia="楷体_GB2312"/>
          <w:b/>
          <w:sz w:val="32"/>
        </w:rPr>
        <w:t>（三）国有资产占用情况说明</w:t>
      </w:r>
    </w:p>
    <w:p w14:paraId="14BF1A5D">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C990AAB">
      <w:pPr>
        <w:spacing w:line="640" w:lineRule="exact"/>
        <w:ind w:firstLine="640"/>
        <w:jc w:val="both"/>
        <w:outlineLvl w:val="2"/>
      </w:pPr>
      <w:r>
        <w:rPr>
          <w:rFonts w:ascii="黑体" w:hAnsi="黑体" w:eastAsia="黑体"/>
          <w:sz w:val="32"/>
        </w:rPr>
        <w:t>十一、预算绩效的情况说明</w:t>
      </w:r>
    </w:p>
    <w:p w14:paraId="5E0CB553">
      <w:pPr>
        <w:spacing w:line="580" w:lineRule="exact"/>
        <w:ind w:firstLine="640"/>
        <w:jc w:val="both"/>
      </w:pPr>
      <w:r>
        <w:rPr>
          <w:rFonts w:ascii="仿宋_GB2312" w:hAnsi="仿宋_GB2312" w:eastAsia="仿宋_GB2312"/>
          <w:b w:val="0"/>
          <w:sz w:val="32"/>
        </w:rPr>
        <w:t>根据预算绩效管理要求，本单位预算绩效评价项目5个，全年预算数469.21万元，全年执行数469.15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单位管理水平和资金使用效益，为全面实施绩效管理打下了坚实的基础。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一是高度重视，加强领导，精心组织，逐步推开，实现编制预算绩效目标全覆盖。积极开展绩效跟踪监控，及时纠偏，确保绩效目标实现；财政管理部门对各部门绩效自评工作进行指导、监督、检查，积极运用评价结果，提高资金使用效率。二是加大预算绩效评价公开力度。不仅各类预算支出项目的绩效目标需要公开，还应进一步较为详细</w:t>
      </w:r>
      <w:r>
        <w:rPr>
          <w:rFonts w:hint="eastAsia" w:ascii="仿宋_GB2312" w:hAnsi="仿宋_GB2312" w:eastAsia="仿宋_GB2312"/>
          <w:b w:val="0"/>
          <w:sz w:val="32"/>
          <w:lang w:eastAsia="zh-CN"/>
        </w:rPr>
        <w:t>地</w:t>
      </w:r>
      <w:r>
        <w:rPr>
          <w:rFonts w:ascii="仿宋_GB2312" w:hAnsi="仿宋_GB2312" w:eastAsia="仿宋_GB2312"/>
          <w:b w:val="0"/>
          <w:sz w:val="32"/>
        </w:rPr>
        <w:t>公开预算绩效评价结果及后续的追踪问责机制，避免出现各预算单位“自说自话”问题，实现信息透明、共享。具体附项目支出绩效自评表和评价报告。</w:t>
      </w:r>
    </w:p>
    <w:p w14:paraId="2FE0D699">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96"/>
        <w:gridCol w:w="624"/>
        <w:gridCol w:w="624"/>
        <w:gridCol w:w="627"/>
        <w:gridCol w:w="624"/>
        <w:gridCol w:w="624"/>
        <w:gridCol w:w="696"/>
        <w:gridCol w:w="776"/>
        <w:gridCol w:w="632"/>
        <w:gridCol w:w="632"/>
      </w:tblGrid>
      <w:tr w14:paraId="4F108B2D">
        <w:tblPrEx>
          <w:tblCellMar>
            <w:top w:w="0" w:type="dxa"/>
            <w:left w:w="108" w:type="dxa"/>
            <w:bottom w:w="0" w:type="dxa"/>
            <w:right w:w="108" w:type="dxa"/>
          </w:tblCellMar>
        </w:tblPrEx>
        <w:tc>
          <w:tcPr>
            <w:tcW w:w="8848" w:type="dxa"/>
            <w:gridSpan w:val="14"/>
            <w:vAlign w:val="center"/>
          </w:tcPr>
          <w:p w14:paraId="4AC3519E">
            <w:pPr>
              <w:jc w:val="center"/>
            </w:pPr>
            <w:r>
              <w:rPr>
                <w:rFonts w:ascii="宋体" w:hAnsi="宋体" w:eastAsia="宋体"/>
                <w:sz w:val="24"/>
              </w:rPr>
              <w:t>项目支出绩效自评表</w:t>
            </w:r>
          </w:p>
        </w:tc>
      </w:tr>
      <w:tr w14:paraId="49A42724">
        <w:tblPrEx>
          <w:tblCellMar>
            <w:top w:w="0" w:type="dxa"/>
            <w:left w:w="108" w:type="dxa"/>
            <w:bottom w:w="0" w:type="dxa"/>
            <w:right w:w="108" w:type="dxa"/>
          </w:tblCellMar>
        </w:tblPrEx>
        <w:tc>
          <w:tcPr>
            <w:tcW w:w="8848" w:type="dxa"/>
            <w:gridSpan w:val="14"/>
            <w:vAlign w:val="center"/>
          </w:tcPr>
          <w:p w14:paraId="220B6A2A">
            <w:pPr>
              <w:jc w:val="center"/>
            </w:pPr>
            <w:r>
              <w:rPr>
                <w:rFonts w:ascii="宋体" w:hAnsi="宋体" w:eastAsia="宋体"/>
                <w:sz w:val="24"/>
              </w:rPr>
              <w:t>(2024年度)</w:t>
            </w:r>
          </w:p>
        </w:tc>
      </w:tr>
      <w:tr w14:paraId="4AFC9D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6D1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7A2F51">
            <w:pPr>
              <w:jc w:val="center"/>
            </w:pPr>
            <w:r>
              <w:rPr>
                <w:rFonts w:ascii="宋体" w:hAnsi="宋体" w:eastAsia="宋体"/>
                <w:sz w:val="16"/>
              </w:rPr>
              <w:t>2023年中央补助地方公共体育场馆向社会免费或低收费开放补助资金（上年结转）</w:t>
            </w:r>
          </w:p>
        </w:tc>
      </w:tr>
      <w:tr w14:paraId="73510E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6F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2BF660">
            <w:pPr>
              <w:jc w:val="center"/>
            </w:pPr>
            <w:r>
              <w:rPr>
                <w:rFonts w:ascii="宋体" w:hAnsi="宋体" w:eastAsia="宋体"/>
                <w:sz w:val="16"/>
              </w:rPr>
              <w:t>新疆巴音郭楞蒙古自治州体育场地管理中心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FA5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ACD8C9">
            <w:pPr>
              <w:jc w:val="center"/>
            </w:pPr>
            <w:r>
              <w:rPr>
                <w:rFonts w:ascii="宋体" w:hAnsi="宋体" w:eastAsia="宋体"/>
                <w:sz w:val="16"/>
              </w:rPr>
              <w:t>新疆巴音郭楞蒙古自治州体育场地管理中心</w:t>
            </w:r>
          </w:p>
        </w:tc>
      </w:tr>
      <w:tr w14:paraId="06DA08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5636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7135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F73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545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0969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FF4B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593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FFEB3">
            <w:pPr>
              <w:jc w:val="center"/>
            </w:pPr>
            <w:r>
              <w:rPr>
                <w:rFonts w:ascii="宋体" w:hAnsi="宋体" w:eastAsia="宋体"/>
                <w:sz w:val="16"/>
              </w:rPr>
              <w:t>得分</w:t>
            </w:r>
          </w:p>
        </w:tc>
      </w:tr>
      <w:tr w14:paraId="589366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C2CE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4F35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C0652">
            <w:pPr>
              <w:jc w:val="center"/>
            </w:pPr>
            <w:r>
              <w:rPr>
                <w:rFonts w:ascii="宋体" w:hAnsi="宋体" w:eastAsia="宋体"/>
                <w:sz w:val="16"/>
              </w:rPr>
              <w:t>26.48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201AE">
            <w:pPr>
              <w:jc w:val="center"/>
            </w:pPr>
            <w:r>
              <w:rPr>
                <w:rFonts w:ascii="宋体" w:hAnsi="宋体" w:eastAsia="宋体"/>
                <w:sz w:val="16"/>
              </w:rPr>
              <w:t>26.48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F7023">
            <w:pPr>
              <w:jc w:val="center"/>
            </w:pPr>
            <w:r>
              <w:rPr>
                <w:rFonts w:ascii="宋体" w:hAnsi="宋体" w:eastAsia="宋体"/>
                <w:sz w:val="16"/>
              </w:rPr>
              <w:t>26.48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CD3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7184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B1868">
            <w:pPr>
              <w:jc w:val="center"/>
            </w:pPr>
            <w:r>
              <w:rPr>
                <w:rFonts w:ascii="宋体" w:hAnsi="宋体" w:eastAsia="宋体"/>
                <w:sz w:val="16"/>
              </w:rPr>
              <w:t>10.00</w:t>
            </w:r>
          </w:p>
        </w:tc>
      </w:tr>
      <w:tr w14:paraId="305F4D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895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9304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90FFC">
            <w:pPr>
              <w:jc w:val="center"/>
            </w:pPr>
            <w:r>
              <w:rPr>
                <w:rFonts w:ascii="宋体" w:hAnsi="宋体" w:eastAsia="宋体"/>
                <w:sz w:val="16"/>
              </w:rPr>
              <w:t>26.48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E4572">
            <w:pPr>
              <w:jc w:val="center"/>
            </w:pPr>
            <w:r>
              <w:rPr>
                <w:rFonts w:ascii="宋体" w:hAnsi="宋体" w:eastAsia="宋体"/>
                <w:sz w:val="16"/>
              </w:rPr>
              <w:t>26.48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D6164">
            <w:pPr>
              <w:jc w:val="center"/>
            </w:pPr>
            <w:r>
              <w:rPr>
                <w:rFonts w:ascii="宋体" w:hAnsi="宋体" w:eastAsia="宋体"/>
                <w:sz w:val="16"/>
              </w:rPr>
              <w:t>26.48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0AF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3B3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8AC6">
            <w:pPr>
              <w:jc w:val="center"/>
            </w:pPr>
            <w:r>
              <w:rPr>
                <w:rFonts w:ascii="宋体" w:hAnsi="宋体" w:eastAsia="宋体"/>
                <w:sz w:val="16"/>
              </w:rPr>
              <w:t>-</w:t>
            </w:r>
          </w:p>
        </w:tc>
      </w:tr>
      <w:tr w14:paraId="5CFA78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024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F99B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323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8B5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453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C31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8C4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B547E">
            <w:pPr>
              <w:jc w:val="center"/>
            </w:pPr>
            <w:r>
              <w:rPr>
                <w:rFonts w:ascii="宋体" w:hAnsi="宋体" w:eastAsia="宋体"/>
                <w:sz w:val="16"/>
              </w:rPr>
              <w:t>-</w:t>
            </w:r>
          </w:p>
        </w:tc>
      </w:tr>
      <w:tr w14:paraId="417422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3FFE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F859F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6CFA60">
            <w:pPr>
              <w:jc w:val="center"/>
            </w:pPr>
            <w:r>
              <w:rPr>
                <w:rFonts w:ascii="宋体" w:hAnsi="宋体" w:eastAsia="宋体"/>
                <w:sz w:val="16"/>
              </w:rPr>
              <w:t>总体目标完成情况</w:t>
            </w:r>
          </w:p>
        </w:tc>
      </w:tr>
      <w:tr w14:paraId="6ADF2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35B9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1E167B">
            <w:pPr>
              <w:jc w:val="both"/>
            </w:pPr>
            <w:r>
              <w:rPr>
                <w:rFonts w:ascii="宋体" w:hAnsi="宋体" w:eastAsia="宋体"/>
                <w:sz w:val="16"/>
              </w:rPr>
              <w:t>2024年该项目实施主要用于巴音体育场和巴音体育馆2个享受免费开放补助资金的体育场馆在免费开放期间满足国家的开放要求，即全年免费开放天数在330天以上，每周开放时间达35小时以上，国家法定节假日、全民健身日和学校寒暑假期间每天开放时间达8小时以上。同时，用于解决体育场馆免费开放期间所外聘的保安、保洁及后勤服务等14人的工资，确保体育场馆在开放期间的安全生产、环境卫生和服务保障工作扎实有序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523E26">
            <w:pPr>
              <w:jc w:val="both"/>
            </w:pPr>
            <w:r>
              <w:rPr>
                <w:rFonts w:ascii="宋体" w:hAnsi="宋体" w:eastAsia="宋体"/>
                <w:sz w:val="16"/>
              </w:rPr>
              <w:t>2024年巴音体育馆和巴音体育场持续严格按照国家公共体育场馆低免开放的相关要求实行开放，各体育场馆全年免费开放天数达366天，每周累计开放时间平均为60.75小时，每日平均最低开放时间为8.68小时，全年开展各类体育赛事、体育活动56场，累计接待健身群众60余万人，有效发挥了公共体育场馆在推动全民健身事业发展中的重要作用。该项目的实施，首先对巴音体育馆和巴音体育场在开放期间保安、保洁等岗位的十余名工作人员4个月的工资进行支付，满足了体育场馆在开放期间安全保障和环境卫生工作的需求，为广大体育健身爱好者提供了一个安全、整洁的运动环境。其次，完成了体育馆照明设备加装作业，并对日常用水用电以及排污费的支付进行资金补充，保障了2所体育场馆低免开放工作的正常进行。</w:t>
            </w:r>
          </w:p>
        </w:tc>
      </w:tr>
      <w:tr w14:paraId="4BB0F5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0700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8CD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DF4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2F4E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B4F9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97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407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9B6F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10E5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B7B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1F5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5E8D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97B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5528">
            <w:pPr>
              <w:jc w:val="center"/>
            </w:pPr>
            <w:r>
              <w:rPr>
                <w:rFonts w:ascii="宋体" w:hAnsi="宋体" w:eastAsia="宋体"/>
                <w:sz w:val="16"/>
              </w:rPr>
              <w:t>偏差原因分析及改进措施</w:t>
            </w:r>
          </w:p>
        </w:tc>
      </w:tr>
      <w:tr w14:paraId="6FA002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DDAC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CC19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0455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93D6">
            <w:pPr>
              <w:jc w:val="center"/>
            </w:pPr>
            <w:r>
              <w:rPr>
                <w:rFonts w:ascii="宋体" w:hAnsi="宋体" w:eastAsia="宋体"/>
                <w:sz w:val="16"/>
              </w:rPr>
              <w:t>体育场馆免费开放外聘人员数量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F3616">
            <w:pPr>
              <w:jc w:val="center"/>
            </w:pPr>
            <w:r>
              <w:rPr>
                <w:rFonts w:ascii="宋体" w:hAnsi="宋体" w:eastAsia="宋体"/>
                <w:sz w:val="16"/>
              </w:rPr>
              <w:t>&gt;=14人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944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3F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1C0B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E31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0A9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43546">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F227D">
            <w:pPr>
              <w:jc w:val="center"/>
            </w:pPr>
            <w:r>
              <w:rPr>
                <w:rFonts w:ascii="宋体" w:hAnsi="宋体" w:eastAsia="宋体"/>
                <w:sz w:val="16"/>
              </w:rPr>
              <w:t>78.57%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2FC3">
            <w:pPr>
              <w:jc w:val="center"/>
            </w:pPr>
            <w:r>
              <w:rPr>
                <w:rFonts w:ascii="宋体" w:hAnsi="宋体" w:eastAsia="宋体"/>
                <w:sz w:val="16"/>
              </w:rPr>
              <w:t>1.39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953C">
            <w:pPr>
              <w:jc w:val="center"/>
            </w:pPr>
            <w:r>
              <w:rPr>
                <w:rFonts w:ascii="宋体" w:hAnsi="宋体" w:eastAsia="宋体"/>
                <w:sz w:val="16"/>
              </w:rPr>
              <w:t>由于</w:t>
            </w:r>
            <w:r>
              <w:rPr>
                <w:rFonts w:hint="eastAsia" w:ascii="宋体" w:hAnsi="宋体"/>
                <w:sz w:val="16"/>
                <w:lang w:eastAsia="zh-CN"/>
              </w:rPr>
              <w:t>本单位</w:t>
            </w:r>
            <w:r>
              <w:rPr>
                <w:rFonts w:ascii="宋体" w:hAnsi="宋体" w:eastAsia="宋体"/>
                <w:sz w:val="16"/>
              </w:rPr>
              <w:t>3名公岗人员离职，使得聘用人员数量减少。为减少类似情况的发生，今后，将进一步细化工作分工，优化人员管理。</w:t>
            </w:r>
          </w:p>
        </w:tc>
      </w:tr>
      <w:tr w14:paraId="42D933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FB7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BB9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477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4F90">
            <w:pPr>
              <w:jc w:val="center"/>
            </w:pPr>
            <w:r>
              <w:rPr>
                <w:rFonts w:ascii="宋体" w:hAnsi="宋体" w:eastAsia="宋体"/>
                <w:sz w:val="16"/>
              </w:rPr>
              <w:t>全年对外开放天数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E555">
            <w:pPr>
              <w:jc w:val="center"/>
            </w:pPr>
            <w:r>
              <w:rPr>
                <w:rFonts w:ascii="宋体" w:hAnsi="宋体" w:eastAsia="宋体"/>
                <w:sz w:val="16"/>
              </w:rPr>
              <w:t>&gt;=330天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E7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455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BB1F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219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55E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B9EF">
            <w:pPr>
              <w:jc w:val="center"/>
            </w:pPr>
            <w:r>
              <w:rPr>
                <w:rFonts w:ascii="宋体" w:hAnsi="宋体" w:eastAsia="宋体"/>
                <w:sz w:val="16"/>
              </w:rPr>
              <w:t>=366天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DA99">
            <w:pPr>
              <w:jc w:val="center"/>
            </w:pPr>
            <w:r>
              <w:rPr>
                <w:rFonts w:ascii="宋体" w:hAnsi="宋体" w:eastAsia="宋体"/>
                <w:sz w:val="16"/>
              </w:rPr>
              <w:t>110.91%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9B340">
            <w:pPr>
              <w:jc w:val="center"/>
            </w:pPr>
            <w:r>
              <w:rPr>
                <w:rFonts w:ascii="宋体" w:hAnsi="宋体" w:eastAsia="宋体"/>
                <w:sz w:val="16"/>
              </w:rPr>
              <w:t>3.56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79BB">
            <w:pPr>
              <w:jc w:val="center"/>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没有发生需要通过暂停开放而开展的活动，因此，全年均按要求对外予以开放。</w:t>
            </w:r>
          </w:p>
        </w:tc>
      </w:tr>
      <w:tr w14:paraId="65A45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B10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942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AD4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2A35">
            <w:pPr>
              <w:jc w:val="center"/>
            </w:pPr>
            <w:r>
              <w:rPr>
                <w:rFonts w:ascii="宋体" w:hAnsi="宋体" w:eastAsia="宋体"/>
                <w:sz w:val="16"/>
              </w:rPr>
              <w:t>每周开放时间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B9A3">
            <w:pPr>
              <w:jc w:val="center"/>
            </w:pPr>
            <w:r>
              <w:rPr>
                <w:rFonts w:ascii="宋体" w:hAnsi="宋体" w:eastAsia="宋体"/>
                <w:sz w:val="16"/>
              </w:rPr>
              <w:t>&gt;=35小时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A4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96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4B8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CF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E9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F261">
            <w:pPr>
              <w:jc w:val="center"/>
            </w:pPr>
            <w:r>
              <w:rPr>
                <w:rFonts w:ascii="宋体" w:hAnsi="宋体" w:eastAsia="宋体"/>
                <w:sz w:val="16"/>
              </w:rPr>
              <w:t>=60.75小时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5A7B">
            <w:pPr>
              <w:jc w:val="center"/>
            </w:pPr>
            <w:r>
              <w:rPr>
                <w:rFonts w:ascii="宋体" w:hAnsi="宋体" w:eastAsia="宋体"/>
                <w:sz w:val="16"/>
              </w:rPr>
              <w:t>173.57%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49339">
            <w:pPr>
              <w:jc w:val="center"/>
            </w:pPr>
            <w:r>
              <w:rPr>
                <w:rFonts w:ascii="宋体" w:hAnsi="宋体" w:eastAsia="宋体"/>
                <w:sz w:val="16"/>
              </w:rPr>
              <w:t>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41C1">
            <w:pPr>
              <w:jc w:val="center"/>
            </w:pPr>
            <w:r>
              <w:rPr>
                <w:rFonts w:ascii="宋体" w:hAnsi="宋体" w:eastAsia="宋体"/>
                <w:sz w:val="16"/>
              </w:rPr>
              <w:t>因</w:t>
            </w:r>
            <w:r>
              <w:rPr>
                <w:rFonts w:hint="eastAsia" w:ascii="宋体" w:hAnsi="宋体"/>
                <w:sz w:val="16"/>
                <w:lang w:eastAsia="zh-CN"/>
              </w:rPr>
              <w:t>本单位</w:t>
            </w:r>
            <w:r>
              <w:rPr>
                <w:rFonts w:ascii="宋体" w:hAnsi="宋体" w:eastAsia="宋体"/>
                <w:sz w:val="16"/>
              </w:rPr>
              <w:t>实行延长开放时间举措，使得每周开放时长大幅增加。</w:t>
            </w:r>
          </w:p>
        </w:tc>
      </w:tr>
      <w:tr w14:paraId="1FBEC4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23A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B78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6BC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D867">
            <w:pPr>
              <w:jc w:val="center"/>
            </w:pPr>
            <w:r>
              <w:rPr>
                <w:rFonts w:ascii="宋体" w:hAnsi="宋体" w:eastAsia="宋体"/>
                <w:sz w:val="16"/>
              </w:rPr>
              <w:t>国家法定节假日、全民健身日和学校寒暑假期间每天开放时间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EF0C">
            <w:pPr>
              <w:jc w:val="center"/>
            </w:pPr>
            <w:r>
              <w:rPr>
                <w:rFonts w:ascii="宋体" w:hAnsi="宋体" w:eastAsia="宋体"/>
                <w:sz w:val="16"/>
              </w:rPr>
              <w:t>&gt;=8小时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25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B6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69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858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9CC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2D7E">
            <w:pPr>
              <w:jc w:val="center"/>
            </w:pPr>
            <w:r>
              <w:rPr>
                <w:rFonts w:ascii="宋体" w:hAnsi="宋体" w:eastAsia="宋体"/>
                <w:sz w:val="16"/>
              </w:rPr>
              <w:t>=8.68小时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9C83D">
            <w:pPr>
              <w:jc w:val="center"/>
            </w:pPr>
            <w:r>
              <w:rPr>
                <w:rFonts w:ascii="宋体" w:hAnsi="宋体" w:eastAsia="宋体"/>
                <w:sz w:val="16"/>
              </w:rPr>
              <w:t>108.5%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1105B">
            <w:pPr>
              <w:jc w:val="center"/>
            </w:pPr>
            <w:r>
              <w:rPr>
                <w:rFonts w:ascii="宋体" w:hAnsi="宋体" w:eastAsia="宋体"/>
                <w:sz w:val="16"/>
              </w:rPr>
              <w:t>3.66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87E4">
            <w:pPr>
              <w:jc w:val="center"/>
            </w:pPr>
            <w:r>
              <w:rPr>
                <w:rFonts w:ascii="宋体" w:hAnsi="宋体" w:eastAsia="宋体"/>
                <w:sz w:val="16"/>
              </w:rPr>
              <w:t>因</w:t>
            </w:r>
            <w:r>
              <w:rPr>
                <w:rFonts w:hint="eastAsia" w:ascii="宋体" w:hAnsi="宋体"/>
                <w:sz w:val="16"/>
                <w:lang w:eastAsia="zh-CN"/>
              </w:rPr>
              <w:t>本单位</w:t>
            </w:r>
            <w:r>
              <w:rPr>
                <w:rFonts w:ascii="宋体" w:hAnsi="宋体" w:eastAsia="宋体"/>
                <w:sz w:val="16"/>
              </w:rPr>
              <w:t>实行延长开放时间举措，使得每天开放时长增加。</w:t>
            </w:r>
          </w:p>
        </w:tc>
      </w:tr>
      <w:tr w14:paraId="1BFD53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C17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C02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CBA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577B">
            <w:pPr>
              <w:jc w:val="center"/>
            </w:pPr>
            <w:r>
              <w:rPr>
                <w:rFonts w:ascii="宋体" w:hAnsi="宋体" w:eastAsia="宋体"/>
                <w:sz w:val="16"/>
              </w:rPr>
              <w:t>支持免费开放的体育场馆数量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F4D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81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EE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7D5C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46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B91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CABF6">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A9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4BC4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F5F6">
            <w:pPr>
              <w:jc w:val="center"/>
            </w:pPr>
          </w:p>
        </w:tc>
      </w:tr>
      <w:tr w14:paraId="5BD5F4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112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651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3C63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58CC4">
            <w:pPr>
              <w:jc w:val="center"/>
            </w:pPr>
            <w:r>
              <w:rPr>
                <w:rFonts w:ascii="宋体" w:hAnsi="宋体" w:eastAsia="宋体"/>
                <w:sz w:val="16"/>
              </w:rPr>
              <w:t>体育场馆免费开放外聘人员工资发放准确率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8A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0B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76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016E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B8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B98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A60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8CD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9D7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CB14E">
            <w:pPr>
              <w:jc w:val="center"/>
            </w:pPr>
          </w:p>
        </w:tc>
      </w:tr>
      <w:tr w14:paraId="602474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6DE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C25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041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6E794">
            <w:pPr>
              <w:jc w:val="center"/>
            </w:pPr>
            <w:r>
              <w:rPr>
                <w:rFonts w:ascii="宋体" w:hAnsi="宋体" w:eastAsia="宋体"/>
                <w:sz w:val="16"/>
              </w:rPr>
              <w:t>基础设施符合《大型体育场馆基本公共服务规范》标准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2C6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9C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DD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550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3F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3A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50A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586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B36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E2CC">
            <w:pPr>
              <w:jc w:val="center"/>
            </w:pPr>
          </w:p>
        </w:tc>
      </w:tr>
      <w:tr w14:paraId="1EB513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37A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AB3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635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F88D5">
            <w:pPr>
              <w:jc w:val="center"/>
            </w:pPr>
            <w:r>
              <w:rPr>
                <w:rFonts w:ascii="宋体" w:hAnsi="宋体" w:eastAsia="宋体"/>
                <w:sz w:val="16"/>
              </w:rPr>
              <w:t>基本管理符合《大型体育场馆基本公共服务规范》标准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4A0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87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8C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70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3CC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50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853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4D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0AC2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9B20D">
            <w:pPr>
              <w:jc w:val="center"/>
            </w:pPr>
          </w:p>
        </w:tc>
      </w:tr>
      <w:tr w14:paraId="6970E5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C8B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617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974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C4810">
            <w:pPr>
              <w:jc w:val="center"/>
            </w:pPr>
            <w:r>
              <w:rPr>
                <w:rFonts w:ascii="宋体" w:hAnsi="宋体" w:eastAsia="宋体"/>
                <w:sz w:val="16"/>
              </w:rPr>
              <w:t>基本服务符合《大型体育场馆基本公共服务规范》标准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7F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C8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A78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D4F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12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89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7F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A42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741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6CA5">
            <w:pPr>
              <w:jc w:val="center"/>
            </w:pPr>
          </w:p>
        </w:tc>
      </w:tr>
      <w:tr w14:paraId="4875D0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85B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48D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409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86F2">
            <w:pPr>
              <w:jc w:val="center"/>
            </w:pPr>
            <w:r>
              <w:rPr>
                <w:rFonts w:ascii="宋体" w:hAnsi="宋体" w:eastAsia="宋体"/>
                <w:sz w:val="16"/>
              </w:rPr>
              <w:t>体育场馆免费开放外聘人员工资发放及时率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C51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A3F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C73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BAD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31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26F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BD0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2D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40EA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6CEB9">
            <w:pPr>
              <w:jc w:val="center"/>
            </w:pPr>
          </w:p>
        </w:tc>
      </w:tr>
      <w:tr w14:paraId="42A2DF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943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82C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747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3DC7">
            <w:pPr>
              <w:jc w:val="center"/>
            </w:pPr>
            <w:r>
              <w:rPr>
                <w:rFonts w:ascii="宋体" w:hAnsi="宋体" w:eastAsia="宋体"/>
                <w:sz w:val="16"/>
              </w:rPr>
              <w:t>体育场馆免费开放运行保障经费支付及时率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280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6BE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728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7B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6B7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82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ED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BC0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73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2197">
            <w:pPr>
              <w:jc w:val="center"/>
            </w:pPr>
          </w:p>
        </w:tc>
      </w:tr>
      <w:tr w14:paraId="39BD24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31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A62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2AC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9AEC">
            <w:pPr>
              <w:jc w:val="center"/>
            </w:pPr>
            <w:r>
              <w:rPr>
                <w:rFonts w:ascii="宋体" w:hAnsi="宋体" w:eastAsia="宋体"/>
                <w:sz w:val="16"/>
              </w:rPr>
              <w:t>开放时间达标率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30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39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778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B0D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19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B1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16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21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10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E6A49">
            <w:pPr>
              <w:jc w:val="center"/>
            </w:pPr>
          </w:p>
        </w:tc>
      </w:tr>
      <w:tr w14:paraId="2028FC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B96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2633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5995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E0A8">
            <w:pPr>
              <w:jc w:val="center"/>
            </w:pPr>
            <w:r>
              <w:rPr>
                <w:rFonts w:ascii="宋体" w:hAnsi="宋体" w:eastAsia="宋体"/>
                <w:sz w:val="16"/>
              </w:rPr>
              <w:t>体育场馆免费开放外聘人员经费保障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B3CE3">
            <w:pPr>
              <w:jc w:val="center"/>
            </w:pPr>
            <w:r>
              <w:rPr>
                <w:rFonts w:ascii="宋体" w:hAnsi="宋体" w:eastAsia="宋体"/>
                <w:sz w:val="16"/>
              </w:rPr>
              <w:t>&lt;=17万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E14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71B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0A2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36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5A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AB0FA">
            <w:pPr>
              <w:jc w:val="center"/>
            </w:pPr>
            <w:r>
              <w:rPr>
                <w:rFonts w:ascii="宋体" w:hAnsi="宋体" w:eastAsia="宋体"/>
                <w:sz w:val="16"/>
              </w:rPr>
              <w:t>=17万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E87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15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A0AA">
            <w:pPr>
              <w:jc w:val="center"/>
            </w:pPr>
          </w:p>
        </w:tc>
      </w:tr>
      <w:tr w14:paraId="29D691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34D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A05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3F9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B561">
            <w:pPr>
              <w:jc w:val="center"/>
            </w:pPr>
            <w:r>
              <w:rPr>
                <w:rFonts w:ascii="宋体" w:hAnsi="宋体" w:eastAsia="宋体"/>
                <w:sz w:val="16"/>
              </w:rPr>
              <w:t>体育场馆免费开放运行保障经费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6993">
            <w:pPr>
              <w:jc w:val="center"/>
            </w:pPr>
            <w:r>
              <w:rPr>
                <w:rFonts w:ascii="宋体" w:hAnsi="宋体" w:eastAsia="宋体"/>
                <w:sz w:val="16"/>
              </w:rPr>
              <w:t>&lt;=9.48万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4C2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784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21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A1D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6D3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B202">
            <w:pPr>
              <w:jc w:val="center"/>
            </w:pPr>
            <w:r>
              <w:rPr>
                <w:rFonts w:ascii="宋体" w:hAnsi="宋体" w:eastAsia="宋体"/>
                <w:sz w:val="16"/>
              </w:rPr>
              <w:t>=9.48万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27A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B4B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2DA3">
            <w:pPr>
              <w:jc w:val="center"/>
            </w:pPr>
          </w:p>
        </w:tc>
      </w:tr>
      <w:tr w14:paraId="463152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9CA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AE9E8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C625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FD5DE">
            <w:pPr>
              <w:jc w:val="center"/>
            </w:pPr>
            <w:r>
              <w:rPr>
                <w:rFonts w:ascii="宋体" w:hAnsi="宋体" w:eastAsia="宋体"/>
                <w:sz w:val="16"/>
              </w:rPr>
              <w:t>场馆所属户外公共区域及户外健身器材全年免费开放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6C5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58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5D5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DE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FCC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66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C15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88F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FE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470A">
            <w:pPr>
              <w:jc w:val="center"/>
            </w:pPr>
          </w:p>
        </w:tc>
      </w:tr>
      <w:tr w14:paraId="041D39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BEC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0B1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B57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DA0A">
            <w:pPr>
              <w:jc w:val="center"/>
            </w:pPr>
            <w:r>
              <w:rPr>
                <w:rFonts w:ascii="宋体" w:hAnsi="宋体" w:eastAsia="宋体"/>
                <w:sz w:val="16"/>
              </w:rPr>
              <w:t>全民健身日全面免费开放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26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B0C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31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347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BAC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C5C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2D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5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A4D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36C89">
            <w:pPr>
              <w:jc w:val="center"/>
            </w:pPr>
          </w:p>
        </w:tc>
      </w:tr>
      <w:tr w14:paraId="34D4B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6A0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BE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18B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92D58">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8B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2DE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11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59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DC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2C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6B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776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26A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D931">
            <w:pPr>
              <w:jc w:val="center"/>
            </w:pPr>
          </w:p>
        </w:tc>
      </w:tr>
      <w:tr w14:paraId="7DAAA25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D64BA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03DD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6DCF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0CA1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AE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1AAB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CDF3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A085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337D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A16C">
            <w:pPr>
              <w:jc w:val="center"/>
            </w:pPr>
            <w:r>
              <w:rPr>
                <w:rFonts w:ascii="宋体" w:hAnsi="宋体" w:eastAsia="宋体"/>
                <w:sz w:val="16"/>
              </w:rPr>
              <w:t>94.67分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3D2338"/>
        </w:tc>
      </w:tr>
    </w:tbl>
    <w:p w14:paraId="0CADA1D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776"/>
        <w:gridCol w:w="632"/>
        <w:gridCol w:w="632"/>
      </w:tblGrid>
      <w:tr w14:paraId="2CD24EB2">
        <w:tblPrEx>
          <w:tblCellMar>
            <w:top w:w="0" w:type="dxa"/>
            <w:left w:w="108" w:type="dxa"/>
            <w:bottom w:w="0" w:type="dxa"/>
            <w:right w:w="108" w:type="dxa"/>
          </w:tblCellMar>
        </w:tblPrEx>
        <w:tc>
          <w:tcPr>
            <w:tcW w:w="8848" w:type="dxa"/>
            <w:gridSpan w:val="14"/>
            <w:vAlign w:val="center"/>
          </w:tcPr>
          <w:p w14:paraId="7693D716">
            <w:pPr>
              <w:jc w:val="center"/>
            </w:pPr>
            <w:r>
              <w:rPr>
                <w:rFonts w:ascii="宋体" w:hAnsi="宋体" w:eastAsia="宋体"/>
                <w:sz w:val="24"/>
              </w:rPr>
              <w:t>项目支出绩效自评表</w:t>
            </w:r>
          </w:p>
        </w:tc>
      </w:tr>
      <w:tr w14:paraId="67446C85">
        <w:tblPrEx>
          <w:tblCellMar>
            <w:top w:w="0" w:type="dxa"/>
            <w:left w:w="108" w:type="dxa"/>
            <w:bottom w:w="0" w:type="dxa"/>
            <w:right w:w="108" w:type="dxa"/>
          </w:tblCellMar>
        </w:tblPrEx>
        <w:tc>
          <w:tcPr>
            <w:tcW w:w="8848" w:type="dxa"/>
            <w:gridSpan w:val="14"/>
            <w:vAlign w:val="center"/>
          </w:tcPr>
          <w:p w14:paraId="1F11035C">
            <w:pPr>
              <w:jc w:val="center"/>
            </w:pPr>
            <w:r>
              <w:rPr>
                <w:rFonts w:ascii="宋体" w:hAnsi="宋体" w:eastAsia="宋体"/>
                <w:sz w:val="24"/>
              </w:rPr>
              <w:t>(2024年度)</w:t>
            </w:r>
          </w:p>
        </w:tc>
      </w:tr>
      <w:tr w14:paraId="4F6247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B9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5A3525">
            <w:pPr>
              <w:jc w:val="center"/>
            </w:pPr>
            <w:r>
              <w:rPr>
                <w:rFonts w:ascii="宋体" w:hAnsi="宋体" w:eastAsia="宋体"/>
                <w:sz w:val="16"/>
              </w:rPr>
              <w:t>巴财教〔2023〕47 号关于提前下达2024年公共体育场馆向社会免费 或低收费开放补助资金预算的通知</w:t>
            </w:r>
          </w:p>
        </w:tc>
      </w:tr>
      <w:tr w14:paraId="73342A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AB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512913">
            <w:pPr>
              <w:jc w:val="center"/>
            </w:pPr>
            <w:r>
              <w:rPr>
                <w:rFonts w:ascii="宋体" w:hAnsi="宋体" w:eastAsia="宋体"/>
                <w:sz w:val="16"/>
              </w:rPr>
              <w:t>新疆巴音郭楞蒙古自治州体育场地管理中心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729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E4A97F">
            <w:pPr>
              <w:jc w:val="center"/>
            </w:pPr>
            <w:r>
              <w:rPr>
                <w:rFonts w:ascii="宋体" w:hAnsi="宋体" w:eastAsia="宋体"/>
                <w:sz w:val="16"/>
              </w:rPr>
              <w:t>新疆巴音郭楞蒙古自治州体育场地管理中心</w:t>
            </w:r>
          </w:p>
        </w:tc>
      </w:tr>
      <w:tr w14:paraId="7D8A32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A9A6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13A6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CA60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57CA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9B2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D8EC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324A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59289">
            <w:pPr>
              <w:jc w:val="center"/>
            </w:pPr>
            <w:r>
              <w:rPr>
                <w:rFonts w:ascii="宋体" w:hAnsi="宋体" w:eastAsia="宋体"/>
                <w:sz w:val="16"/>
              </w:rPr>
              <w:t>得分</w:t>
            </w:r>
          </w:p>
        </w:tc>
      </w:tr>
      <w:tr w14:paraId="75AB3C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0224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81A2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0F537">
            <w:pPr>
              <w:jc w:val="center"/>
            </w:pPr>
            <w:r>
              <w:rPr>
                <w:rFonts w:ascii="宋体" w:hAnsi="宋体" w:eastAsia="宋体"/>
                <w:sz w:val="16"/>
              </w:rPr>
              <w:t>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8745F">
            <w:pPr>
              <w:jc w:val="center"/>
            </w:pPr>
            <w:r>
              <w:rPr>
                <w:rFonts w:ascii="宋体" w:hAnsi="宋体" w:eastAsia="宋体"/>
                <w:sz w:val="16"/>
              </w:rPr>
              <w:t>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9DF95">
            <w:pPr>
              <w:jc w:val="center"/>
            </w:pPr>
            <w:r>
              <w:rPr>
                <w:rFonts w:ascii="宋体" w:hAnsi="宋体" w:eastAsia="宋体"/>
                <w:sz w:val="16"/>
              </w:rPr>
              <w:t>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0B3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0556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C2BA4">
            <w:pPr>
              <w:jc w:val="center"/>
            </w:pPr>
            <w:r>
              <w:rPr>
                <w:rFonts w:ascii="宋体" w:hAnsi="宋体" w:eastAsia="宋体"/>
                <w:sz w:val="16"/>
              </w:rPr>
              <w:t>10.00</w:t>
            </w:r>
          </w:p>
        </w:tc>
      </w:tr>
      <w:tr w14:paraId="4EEE07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168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523D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5E086">
            <w:pPr>
              <w:jc w:val="center"/>
            </w:pPr>
            <w:r>
              <w:rPr>
                <w:rFonts w:ascii="宋体" w:hAnsi="宋体" w:eastAsia="宋体"/>
                <w:sz w:val="16"/>
              </w:rPr>
              <w:t>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9914B">
            <w:pPr>
              <w:jc w:val="center"/>
            </w:pPr>
            <w:r>
              <w:rPr>
                <w:rFonts w:ascii="宋体" w:hAnsi="宋体" w:eastAsia="宋体"/>
                <w:sz w:val="16"/>
              </w:rPr>
              <w:t>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D09E9">
            <w:pPr>
              <w:jc w:val="center"/>
            </w:pPr>
            <w:r>
              <w:rPr>
                <w:rFonts w:ascii="宋体" w:hAnsi="宋体" w:eastAsia="宋体"/>
                <w:sz w:val="16"/>
              </w:rPr>
              <w:t>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045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10D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C70FF">
            <w:pPr>
              <w:jc w:val="center"/>
            </w:pPr>
            <w:r>
              <w:rPr>
                <w:rFonts w:ascii="宋体" w:hAnsi="宋体" w:eastAsia="宋体"/>
                <w:sz w:val="16"/>
              </w:rPr>
              <w:t>-</w:t>
            </w:r>
          </w:p>
        </w:tc>
      </w:tr>
      <w:tr w14:paraId="306CAC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5BD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E6EB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389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07A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8D1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C7A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49A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97DE3">
            <w:pPr>
              <w:jc w:val="center"/>
            </w:pPr>
            <w:r>
              <w:rPr>
                <w:rFonts w:ascii="宋体" w:hAnsi="宋体" w:eastAsia="宋体"/>
                <w:sz w:val="16"/>
              </w:rPr>
              <w:t>-</w:t>
            </w:r>
          </w:p>
        </w:tc>
      </w:tr>
      <w:tr w14:paraId="2D95ED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AF0C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047C6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0B3D91">
            <w:pPr>
              <w:jc w:val="center"/>
            </w:pPr>
            <w:r>
              <w:rPr>
                <w:rFonts w:ascii="宋体" w:hAnsi="宋体" w:eastAsia="宋体"/>
                <w:sz w:val="16"/>
              </w:rPr>
              <w:t>总体目标完成情况</w:t>
            </w:r>
          </w:p>
        </w:tc>
      </w:tr>
      <w:tr w14:paraId="3FEC24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E76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22E304">
            <w:pPr>
              <w:jc w:val="both"/>
            </w:pPr>
            <w:r>
              <w:rPr>
                <w:rFonts w:ascii="宋体" w:hAnsi="宋体" w:eastAsia="宋体"/>
                <w:sz w:val="16"/>
              </w:rPr>
              <w:t>2024年该项目实施主要用于巴音体育场和巴音体育馆2个享受免费开放补助资金的体育场馆，在免费开放期间满足国家的开放要求，即全年免费开放天数在330天以上，每周开放时间达35小时以上，国家法定节假日、全民健身日和学校寒暑假期间每天开放时间达8小时以上。同时，用于解决体育场馆免费开放期间所外聘的保安、保洁及后勤服务等14人的工资，确保体育场馆在开放期间的安全生产、环境卫生和服务保障工作扎实有序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F74C27">
            <w:pPr>
              <w:jc w:val="both"/>
            </w:pPr>
            <w:r>
              <w:rPr>
                <w:rFonts w:ascii="宋体" w:hAnsi="宋体" w:eastAsia="宋体"/>
                <w:sz w:val="16"/>
              </w:rPr>
              <w:t>2024年巴音体育馆和巴音体育场持续严格按照国家公共体育场馆低免开放的相关要求实行开放，各体育场馆全年免费开放天数达340余天，每周累计开放时间平均为60.75小时，每日平均最低开放时间为8.68小时，全年开展各类体育赛事、体育活动56场，累计接待健身群众60余万人，有效发挥了公共体育场馆在推动全民健身事业发展中的重要作用。该项目的实施，首先对巴音体育馆和巴音体育场在开放期间保安、保洁等岗位的</w:t>
            </w:r>
            <w:r>
              <w:rPr>
                <w:rFonts w:hint="eastAsia" w:ascii="宋体" w:hAnsi="宋体"/>
                <w:sz w:val="16"/>
                <w:lang w:eastAsia="zh-CN"/>
              </w:rPr>
              <w:t>十余名</w:t>
            </w:r>
            <w:r>
              <w:rPr>
                <w:rFonts w:ascii="宋体" w:hAnsi="宋体" w:eastAsia="宋体"/>
                <w:sz w:val="16"/>
              </w:rPr>
              <w:t>工作人员8个月的工资进行支付，满足了体育场馆在开放期间安全保障和环境卫生工作的需求，为广大体育健身爱好者提供了一个安全、整洁的运动环境。其次，完成了体育馆空调主机防护棚的修建，体育场草坪种植及养护等2个较大工程，并对日常用水用电，体育器材购买，照明设备、监控设备以及场馆维修保养等零星费用进行及时支付，保障体育场馆人和物的各类需求，切实履行好公共</w:t>
            </w:r>
            <w:r>
              <w:rPr>
                <w:rFonts w:hint="eastAsia" w:ascii="宋体" w:hAnsi="宋体"/>
                <w:sz w:val="16"/>
                <w:lang w:eastAsia="zh-CN"/>
              </w:rPr>
              <w:t>体育场馆</w:t>
            </w:r>
            <w:r>
              <w:rPr>
                <w:rFonts w:ascii="宋体" w:hAnsi="宋体" w:eastAsia="宋体"/>
                <w:sz w:val="16"/>
              </w:rPr>
              <w:t>低免开放工作的工作。</w:t>
            </w:r>
          </w:p>
        </w:tc>
      </w:tr>
      <w:tr w14:paraId="2AA46A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257C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FA8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647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37B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7C2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EBC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E2EA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A62D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B27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BA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33BF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11F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BF49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8CC6">
            <w:pPr>
              <w:jc w:val="center"/>
            </w:pPr>
            <w:r>
              <w:rPr>
                <w:rFonts w:ascii="宋体" w:hAnsi="宋体" w:eastAsia="宋体"/>
                <w:sz w:val="16"/>
              </w:rPr>
              <w:t>偏差原因分析及改进措施</w:t>
            </w:r>
          </w:p>
        </w:tc>
      </w:tr>
      <w:tr w14:paraId="2B4E5C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2894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508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DCDC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410B">
            <w:pPr>
              <w:jc w:val="center"/>
            </w:pPr>
            <w:r>
              <w:rPr>
                <w:rFonts w:ascii="宋体" w:hAnsi="宋体" w:eastAsia="宋体"/>
                <w:sz w:val="16"/>
              </w:rPr>
              <w:t>全年对外开放天数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F971">
            <w:pPr>
              <w:jc w:val="center"/>
            </w:pPr>
            <w:r>
              <w:rPr>
                <w:rFonts w:ascii="宋体" w:hAnsi="宋体" w:eastAsia="宋体"/>
                <w:sz w:val="16"/>
              </w:rPr>
              <w:t>&gt;=330天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4D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038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880C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99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0B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AB27">
            <w:pPr>
              <w:jc w:val="center"/>
            </w:pPr>
            <w:r>
              <w:rPr>
                <w:rFonts w:ascii="宋体" w:hAnsi="宋体" w:eastAsia="宋体"/>
                <w:sz w:val="16"/>
              </w:rPr>
              <w:t>=366天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60724">
            <w:pPr>
              <w:jc w:val="center"/>
            </w:pPr>
            <w:r>
              <w:rPr>
                <w:rFonts w:ascii="宋体" w:hAnsi="宋体" w:eastAsia="宋体"/>
                <w:sz w:val="16"/>
              </w:rPr>
              <w:t>110.91%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1A9E3">
            <w:pPr>
              <w:jc w:val="center"/>
            </w:pPr>
            <w:r>
              <w:rPr>
                <w:rFonts w:ascii="宋体" w:hAnsi="宋体" w:eastAsia="宋体"/>
                <w:sz w:val="16"/>
              </w:rPr>
              <w:t>3.56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8B88">
            <w:pPr>
              <w:jc w:val="center"/>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没有发生需要通过暂停开放而开展的活动，因此，全年均按要求对外予以开放。</w:t>
            </w:r>
          </w:p>
        </w:tc>
      </w:tr>
      <w:tr w14:paraId="4AFAD6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02B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CC5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08B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3603">
            <w:pPr>
              <w:jc w:val="center"/>
            </w:pPr>
            <w:r>
              <w:rPr>
                <w:rFonts w:ascii="宋体" w:hAnsi="宋体" w:eastAsia="宋体"/>
                <w:sz w:val="16"/>
              </w:rPr>
              <w:t>每周开放时间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E856">
            <w:pPr>
              <w:jc w:val="center"/>
            </w:pPr>
            <w:r>
              <w:rPr>
                <w:rFonts w:ascii="宋体" w:hAnsi="宋体" w:eastAsia="宋体"/>
                <w:sz w:val="16"/>
              </w:rPr>
              <w:t>&gt;=35小时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06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A2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B96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32C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16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40BB">
            <w:pPr>
              <w:jc w:val="center"/>
            </w:pPr>
            <w:r>
              <w:rPr>
                <w:rFonts w:ascii="宋体" w:hAnsi="宋体" w:eastAsia="宋体"/>
                <w:sz w:val="16"/>
              </w:rPr>
              <w:t>=60.75小时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432D">
            <w:pPr>
              <w:jc w:val="center"/>
            </w:pPr>
            <w:r>
              <w:rPr>
                <w:rFonts w:ascii="宋体" w:hAnsi="宋体" w:eastAsia="宋体"/>
                <w:sz w:val="16"/>
              </w:rPr>
              <w:t>173.57%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9FE2">
            <w:pPr>
              <w:jc w:val="center"/>
            </w:pPr>
            <w:r>
              <w:rPr>
                <w:rFonts w:ascii="宋体" w:hAnsi="宋体" w:eastAsia="宋体"/>
                <w:sz w:val="16"/>
              </w:rPr>
              <w:t>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E175">
            <w:pPr>
              <w:jc w:val="center"/>
            </w:pPr>
            <w:r>
              <w:rPr>
                <w:rFonts w:ascii="宋体" w:hAnsi="宋体" w:eastAsia="宋体"/>
                <w:sz w:val="16"/>
              </w:rPr>
              <w:t>因</w:t>
            </w:r>
            <w:r>
              <w:rPr>
                <w:rFonts w:hint="eastAsia" w:ascii="宋体" w:hAnsi="宋体"/>
                <w:sz w:val="16"/>
                <w:lang w:eastAsia="zh-CN"/>
              </w:rPr>
              <w:t>本单位</w:t>
            </w:r>
            <w:r>
              <w:rPr>
                <w:rFonts w:ascii="宋体" w:hAnsi="宋体" w:eastAsia="宋体"/>
                <w:sz w:val="16"/>
              </w:rPr>
              <w:t>实行延长开放时间举措，使得每周开放时长大幅增加。</w:t>
            </w:r>
          </w:p>
        </w:tc>
      </w:tr>
      <w:tr w14:paraId="08EEAE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DCF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38E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AF6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95F69">
            <w:pPr>
              <w:jc w:val="center"/>
            </w:pPr>
            <w:r>
              <w:rPr>
                <w:rFonts w:ascii="宋体" w:hAnsi="宋体" w:eastAsia="宋体"/>
                <w:sz w:val="16"/>
              </w:rPr>
              <w:t>国家法定节假日、全民健身日和学校寒暑假期间每天开放时间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0A2E">
            <w:pPr>
              <w:jc w:val="center"/>
            </w:pPr>
            <w:r>
              <w:rPr>
                <w:rFonts w:ascii="宋体" w:hAnsi="宋体" w:eastAsia="宋体"/>
                <w:sz w:val="16"/>
              </w:rPr>
              <w:t>&gt;=8小时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216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341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9E9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D8E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E49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58BD">
            <w:pPr>
              <w:jc w:val="center"/>
            </w:pPr>
            <w:r>
              <w:rPr>
                <w:rFonts w:ascii="宋体" w:hAnsi="宋体" w:eastAsia="宋体"/>
                <w:sz w:val="16"/>
              </w:rPr>
              <w:t>=8.68小时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1CA26">
            <w:pPr>
              <w:jc w:val="center"/>
            </w:pPr>
            <w:r>
              <w:rPr>
                <w:rFonts w:ascii="宋体" w:hAnsi="宋体" w:eastAsia="宋体"/>
                <w:sz w:val="16"/>
              </w:rPr>
              <w:t>108.5%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983F">
            <w:pPr>
              <w:jc w:val="center"/>
            </w:pPr>
            <w:r>
              <w:rPr>
                <w:rFonts w:ascii="宋体" w:hAnsi="宋体" w:eastAsia="宋体"/>
                <w:sz w:val="16"/>
              </w:rPr>
              <w:t>3.66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EE23">
            <w:pPr>
              <w:jc w:val="center"/>
            </w:pPr>
            <w:r>
              <w:rPr>
                <w:rFonts w:ascii="宋体" w:hAnsi="宋体" w:eastAsia="宋体"/>
                <w:sz w:val="16"/>
              </w:rPr>
              <w:t>因</w:t>
            </w:r>
            <w:r>
              <w:rPr>
                <w:rFonts w:hint="eastAsia" w:ascii="宋体" w:hAnsi="宋体"/>
                <w:sz w:val="16"/>
                <w:lang w:eastAsia="zh-CN"/>
              </w:rPr>
              <w:t>本单位</w:t>
            </w:r>
            <w:r>
              <w:rPr>
                <w:rFonts w:ascii="宋体" w:hAnsi="宋体" w:eastAsia="宋体"/>
                <w:sz w:val="16"/>
              </w:rPr>
              <w:t>实行延长开放时间举措，使得每天开放时长增加。</w:t>
            </w:r>
          </w:p>
        </w:tc>
      </w:tr>
      <w:tr w14:paraId="5863E6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AF8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985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9AB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5371">
            <w:pPr>
              <w:jc w:val="center"/>
            </w:pPr>
            <w:r>
              <w:rPr>
                <w:rFonts w:ascii="宋体" w:hAnsi="宋体" w:eastAsia="宋体"/>
                <w:sz w:val="16"/>
              </w:rPr>
              <w:t>支持免费开放的体育场馆数量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0611A">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B5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35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BEA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9E4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81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0A911">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057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7228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D7501">
            <w:pPr>
              <w:jc w:val="center"/>
            </w:pPr>
          </w:p>
        </w:tc>
      </w:tr>
      <w:tr w14:paraId="0A5C5D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8ED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33E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438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C582">
            <w:pPr>
              <w:jc w:val="center"/>
            </w:pPr>
            <w:r>
              <w:rPr>
                <w:rFonts w:ascii="宋体" w:hAnsi="宋体" w:eastAsia="宋体"/>
                <w:sz w:val="16"/>
              </w:rPr>
              <w:t>体育场馆免费开放外聘人员数量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783B">
            <w:pPr>
              <w:jc w:val="center"/>
            </w:pPr>
            <w:r>
              <w:rPr>
                <w:rFonts w:ascii="宋体" w:hAnsi="宋体" w:eastAsia="宋体"/>
                <w:sz w:val="16"/>
              </w:rPr>
              <w:t>&gt;=14人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1E3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C4A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0F8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9F4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2FE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002D">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38CB">
            <w:pPr>
              <w:jc w:val="center"/>
            </w:pPr>
            <w:r>
              <w:rPr>
                <w:rFonts w:ascii="宋体" w:hAnsi="宋体" w:eastAsia="宋体"/>
                <w:sz w:val="16"/>
              </w:rPr>
              <w:t>78.57%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C5B83">
            <w:pPr>
              <w:jc w:val="center"/>
            </w:pPr>
            <w:r>
              <w:rPr>
                <w:rFonts w:ascii="宋体" w:hAnsi="宋体" w:eastAsia="宋体"/>
                <w:sz w:val="16"/>
              </w:rPr>
              <w:t>1.86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29B0C">
            <w:pPr>
              <w:jc w:val="center"/>
            </w:pPr>
            <w:r>
              <w:rPr>
                <w:rFonts w:ascii="宋体" w:hAnsi="宋体" w:eastAsia="宋体"/>
                <w:sz w:val="16"/>
              </w:rPr>
              <w:t>由于</w:t>
            </w:r>
            <w:r>
              <w:rPr>
                <w:rFonts w:hint="eastAsia" w:ascii="宋体" w:hAnsi="宋体"/>
                <w:sz w:val="16"/>
                <w:lang w:eastAsia="zh-CN"/>
              </w:rPr>
              <w:t>本单位</w:t>
            </w:r>
            <w:r>
              <w:rPr>
                <w:rFonts w:ascii="宋体" w:hAnsi="宋体" w:eastAsia="宋体"/>
                <w:sz w:val="16"/>
              </w:rPr>
              <w:t>3名公岗人员离职，使得聘用人员数量减少。为减少类似情况的发生，今后，将进一步细化工作分工，优化人员管理。</w:t>
            </w:r>
          </w:p>
        </w:tc>
      </w:tr>
      <w:tr w14:paraId="344AA3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16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629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790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5806">
            <w:pPr>
              <w:jc w:val="center"/>
            </w:pPr>
            <w:r>
              <w:rPr>
                <w:rFonts w:ascii="宋体" w:hAnsi="宋体" w:eastAsia="宋体"/>
                <w:sz w:val="16"/>
              </w:rPr>
              <w:t>服务质量达到《公共体育场馆基本公共服务规范》标准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6E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75E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D26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463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30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22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815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99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F7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D588">
            <w:pPr>
              <w:jc w:val="center"/>
            </w:pPr>
          </w:p>
        </w:tc>
      </w:tr>
      <w:tr w14:paraId="4A2B8A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7BB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2D8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C93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6DB6">
            <w:pPr>
              <w:jc w:val="center"/>
            </w:pPr>
            <w:r>
              <w:rPr>
                <w:rFonts w:ascii="宋体" w:hAnsi="宋体" w:eastAsia="宋体"/>
                <w:sz w:val="16"/>
              </w:rPr>
              <w:t>体育场馆免费开放外聘人员工资发放准确率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BA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4A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1F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A2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E84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FDC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70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FF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8A4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8DA91">
            <w:pPr>
              <w:jc w:val="center"/>
            </w:pPr>
          </w:p>
        </w:tc>
      </w:tr>
      <w:tr w14:paraId="32561B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DD7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2A2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98B8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73163">
            <w:pPr>
              <w:jc w:val="center"/>
            </w:pPr>
            <w:r>
              <w:rPr>
                <w:rFonts w:ascii="宋体" w:hAnsi="宋体" w:eastAsia="宋体"/>
                <w:sz w:val="16"/>
              </w:rPr>
              <w:t>国家全民健身信息服务平台数据填报及时率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9CFCD">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BB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62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DDEA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D6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B1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879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AA4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1D79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F2B5">
            <w:pPr>
              <w:jc w:val="center"/>
            </w:pPr>
          </w:p>
        </w:tc>
      </w:tr>
      <w:tr w14:paraId="2A4302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E36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A3C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9A5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9CBD">
            <w:pPr>
              <w:jc w:val="center"/>
            </w:pPr>
            <w:r>
              <w:rPr>
                <w:rFonts w:ascii="宋体" w:hAnsi="宋体" w:eastAsia="宋体"/>
                <w:sz w:val="16"/>
              </w:rPr>
              <w:t>体育场馆免费开放运行保障经费支付及时率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AAC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87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4BC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26B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034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EE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311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615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AE52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D1C4D">
            <w:pPr>
              <w:jc w:val="center"/>
            </w:pPr>
          </w:p>
        </w:tc>
      </w:tr>
      <w:tr w14:paraId="326073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34D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35C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AFF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D9525">
            <w:pPr>
              <w:jc w:val="center"/>
            </w:pPr>
            <w:r>
              <w:rPr>
                <w:rFonts w:ascii="宋体" w:hAnsi="宋体" w:eastAsia="宋体"/>
                <w:sz w:val="16"/>
              </w:rPr>
              <w:t>体育场馆免费开放外聘人员工资发放及时率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EC8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BF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0B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67F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F25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824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22F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14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E279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BC61">
            <w:pPr>
              <w:jc w:val="center"/>
            </w:pPr>
          </w:p>
        </w:tc>
      </w:tr>
      <w:tr w14:paraId="202F7A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D8F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93A07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8AAF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E5AFD">
            <w:pPr>
              <w:jc w:val="center"/>
            </w:pPr>
            <w:r>
              <w:rPr>
                <w:rFonts w:ascii="宋体" w:hAnsi="宋体" w:eastAsia="宋体"/>
                <w:sz w:val="16"/>
              </w:rPr>
              <w:t>体育场馆免费开放运行保障经费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3FD8">
            <w:pPr>
              <w:jc w:val="center"/>
            </w:pPr>
            <w:r>
              <w:rPr>
                <w:rFonts w:ascii="宋体" w:hAnsi="宋体" w:eastAsia="宋体"/>
                <w:sz w:val="16"/>
              </w:rPr>
              <w:t>&lt;=49万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6BB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CF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A0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643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E9E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24DAA">
            <w:pPr>
              <w:jc w:val="center"/>
            </w:pPr>
            <w:r>
              <w:rPr>
                <w:rFonts w:ascii="宋体" w:hAnsi="宋体" w:eastAsia="宋体"/>
                <w:sz w:val="16"/>
              </w:rPr>
              <w:t>=49万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130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24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5C75">
            <w:pPr>
              <w:jc w:val="center"/>
            </w:pPr>
          </w:p>
        </w:tc>
      </w:tr>
      <w:tr w14:paraId="755C7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0D7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363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D49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F835">
            <w:pPr>
              <w:jc w:val="center"/>
            </w:pPr>
            <w:r>
              <w:rPr>
                <w:rFonts w:ascii="宋体" w:hAnsi="宋体" w:eastAsia="宋体"/>
                <w:sz w:val="16"/>
              </w:rPr>
              <w:t>体育场馆免费开放外聘人员经费保障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5F195">
            <w:pPr>
              <w:jc w:val="center"/>
            </w:pPr>
            <w:r>
              <w:rPr>
                <w:rFonts w:ascii="宋体" w:hAnsi="宋体" w:eastAsia="宋体"/>
                <w:sz w:val="16"/>
              </w:rPr>
              <w:t>&lt;=40万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202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BDD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25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5A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D1F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B48DC">
            <w:pPr>
              <w:jc w:val="center"/>
            </w:pPr>
            <w:r>
              <w:rPr>
                <w:rFonts w:ascii="宋体" w:hAnsi="宋体" w:eastAsia="宋体"/>
                <w:sz w:val="16"/>
              </w:rPr>
              <w:t>=40万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F3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A7A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64E2">
            <w:pPr>
              <w:jc w:val="center"/>
            </w:pPr>
          </w:p>
        </w:tc>
      </w:tr>
      <w:tr w14:paraId="35F3A8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BAB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768D5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40A9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BE60F">
            <w:pPr>
              <w:jc w:val="center"/>
            </w:pPr>
            <w:r>
              <w:rPr>
                <w:rFonts w:ascii="宋体" w:hAnsi="宋体" w:eastAsia="宋体"/>
                <w:sz w:val="16"/>
              </w:rPr>
              <w:t>场馆所属户外公共区域及户外健身器材全年免费开放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653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8F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3AF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6D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0F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06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BD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E13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74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EBCD">
            <w:pPr>
              <w:jc w:val="center"/>
            </w:pPr>
          </w:p>
        </w:tc>
      </w:tr>
      <w:tr w14:paraId="5CD08F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AA6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5D2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BAB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8A273">
            <w:pPr>
              <w:jc w:val="center"/>
            </w:pPr>
            <w:r>
              <w:rPr>
                <w:rFonts w:ascii="宋体" w:hAnsi="宋体" w:eastAsia="宋体"/>
                <w:sz w:val="16"/>
              </w:rPr>
              <w:t>全民健身日全面免费开放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10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5A0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3F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BA4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A4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A9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86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16F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D3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9281D">
            <w:pPr>
              <w:jc w:val="center"/>
            </w:pPr>
          </w:p>
        </w:tc>
      </w:tr>
      <w:tr w14:paraId="708F03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D86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B7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BC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3811">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6DBE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05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CE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CBF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AFED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82A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E08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5F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D0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60AC1">
            <w:pPr>
              <w:jc w:val="center"/>
            </w:pPr>
          </w:p>
        </w:tc>
      </w:tr>
      <w:tr w14:paraId="721D444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5FBCB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C73B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343E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D73E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3CE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32AA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8A32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8C1C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355F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F595">
            <w:pPr>
              <w:jc w:val="center"/>
            </w:pPr>
            <w:r>
              <w:rPr>
                <w:rFonts w:ascii="宋体" w:hAnsi="宋体" w:eastAsia="宋体"/>
                <w:sz w:val="16"/>
              </w:rPr>
              <w:t>94.14分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9E9FAA"/>
        </w:tc>
      </w:tr>
    </w:tbl>
    <w:p w14:paraId="27D3AA8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776"/>
        <w:gridCol w:w="632"/>
        <w:gridCol w:w="632"/>
      </w:tblGrid>
      <w:tr w14:paraId="5DED7EB7">
        <w:tblPrEx>
          <w:tblCellMar>
            <w:top w:w="0" w:type="dxa"/>
            <w:left w:w="108" w:type="dxa"/>
            <w:bottom w:w="0" w:type="dxa"/>
            <w:right w:w="108" w:type="dxa"/>
          </w:tblCellMar>
        </w:tblPrEx>
        <w:tc>
          <w:tcPr>
            <w:tcW w:w="8848" w:type="dxa"/>
            <w:gridSpan w:val="14"/>
            <w:vAlign w:val="center"/>
          </w:tcPr>
          <w:p w14:paraId="412A1AC6">
            <w:pPr>
              <w:jc w:val="center"/>
            </w:pPr>
            <w:r>
              <w:rPr>
                <w:rFonts w:ascii="宋体" w:hAnsi="宋体" w:eastAsia="宋体"/>
                <w:sz w:val="24"/>
              </w:rPr>
              <w:t>项目支出绩效自评表</w:t>
            </w:r>
          </w:p>
        </w:tc>
      </w:tr>
      <w:tr w14:paraId="7DAF638A">
        <w:tblPrEx>
          <w:tblCellMar>
            <w:top w:w="0" w:type="dxa"/>
            <w:left w:w="108" w:type="dxa"/>
            <w:bottom w:w="0" w:type="dxa"/>
            <w:right w:w="108" w:type="dxa"/>
          </w:tblCellMar>
        </w:tblPrEx>
        <w:tc>
          <w:tcPr>
            <w:tcW w:w="8848" w:type="dxa"/>
            <w:gridSpan w:val="14"/>
            <w:vAlign w:val="center"/>
          </w:tcPr>
          <w:p w14:paraId="271A9632">
            <w:pPr>
              <w:jc w:val="center"/>
            </w:pPr>
            <w:r>
              <w:rPr>
                <w:rFonts w:ascii="宋体" w:hAnsi="宋体" w:eastAsia="宋体"/>
                <w:sz w:val="24"/>
              </w:rPr>
              <w:t>(2024年度)</w:t>
            </w:r>
          </w:p>
        </w:tc>
      </w:tr>
      <w:tr w14:paraId="5E5A3E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A0A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8086D7">
            <w:pPr>
              <w:jc w:val="center"/>
            </w:pPr>
            <w:r>
              <w:rPr>
                <w:rFonts w:ascii="宋体" w:hAnsi="宋体" w:eastAsia="宋体"/>
                <w:sz w:val="16"/>
              </w:rPr>
              <w:t>巴财教〔2023〕53 号关于提前下达自治区2024年公共体育场馆向社会免费或低收费开放补助资金的通知</w:t>
            </w:r>
          </w:p>
        </w:tc>
      </w:tr>
      <w:tr w14:paraId="1FEB63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CB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97C088">
            <w:pPr>
              <w:jc w:val="center"/>
            </w:pPr>
            <w:r>
              <w:rPr>
                <w:rFonts w:ascii="宋体" w:hAnsi="宋体" w:eastAsia="宋体"/>
                <w:sz w:val="16"/>
              </w:rPr>
              <w:t>新疆巴音郭楞蒙古自治州体育场地管理中心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BB76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1B654D">
            <w:pPr>
              <w:jc w:val="center"/>
            </w:pPr>
            <w:r>
              <w:rPr>
                <w:rFonts w:ascii="宋体" w:hAnsi="宋体" w:eastAsia="宋体"/>
                <w:sz w:val="16"/>
              </w:rPr>
              <w:t>新疆巴音郭楞蒙古自治州体育场地管理中心</w:t>
            </w:r>
          </w:p>
        </w:tc>
      </w:tr>
      <w:tr w14:paraId="77D300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DB6D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AE8D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8B60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031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1DC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3ACA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6847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1BEC">
            <w:pPr>
              <w:jc w:val="center"/>
            </w:pPr>
            <w:r>
              <w:rPr>
                <w:rFonts w:ascii="宋体" w:hAnsi="宋体" w:eastAsia="宋体"/>
                <w:sz w:val="16"/>
              </w:rPr>
              <w:t>得分</w:t>
            </w:r>
          </w:p>
        </w:tc>
      </w:tr>
      <w:tr w14:paraId="5A4DF1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C356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B68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1C2E5">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4F566">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3E8D4">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FB7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827B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FD08">
            <w:pPr>
              <w:jc w:val="center"/>
            </w:pPr>
            <w:r>
              <w:rPr>
                <w:rFonts w:ascii="宋体" w:hAnsi="宋体" w:eastAsia="宋体"/>
                <w:sz w:val="16"/>
              </w:rPr>
              <w:t>10.00</w:t>
            </w:r>
          </w:p>
        </w:tc>
      </w:tr>
      <w:tr w14:paraId="714F57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CBE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C15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D4A44">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44ABB">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5DE8B">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972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1A2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A18B">
            <w:pPr>
              <w:jc w:val="center"/>
            </w:pPr>
            <w:r>
              <w:rPr>
                <w:rFonts w:ascii="宋体" w:hAnsi="宋体" w:eastAsia="宋体"/>
                <w:sz w:val="16"/>
              </w:rPr>
              <w:t>-</w:t>
            </w:r>
          </w:p>
        </w:tc>
      </w:tr>
      <w:tr w14:paraId="55D53F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7DF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3AA2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F5B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05F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A1F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AF9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E27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9F53">
            <w:pPr>
              <w:jc w:val="center"/>
            </w:pPr>
            <w:r>
              <w:rPr>
                <w:rFonts w:ascii="宋体" w:hAnsi="宋体" w:eastAsia="宋体"/>
                <w:sz w:val="16"/>
              </w:rPr>
              <w:t>-</w:t>
            </w:r>
          </w:p>
        </w:tc>
      </w:tr>
      <w:tr w14:paraId="204798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7074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338B04">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2DAAC2">
            <w:pPr>
              <w:jc w:val="center"/>
            </w:pPr>
            <w:r>
              <w:rPr>
                <w:rFonts w:ascii="宋体" w:hAnsi="宋体" w:eastAsia="宋体"/>
                <w:sz w:val="16"/>
              </w:rPr>
              <w:t>总体目标完成情况</w:t>
            </w:r>
          </w:p>
        </w:tc>
      </w:tr>
      <w:tr w14:paraId="36E59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B44C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4BFC83">
            <w:pPr>
              <w:jc w:val="both"/>
            </w:pPr>
            <w:r>
              <w:rPr>
                <w:rFonts w:ascii="宋体" w:hAnsi="宋体" w:eastAsia="宋体"/>
                <w:sz w:val="16"/>
              </w:rPr>
              <w:t>2024年该项目实施主要用于巴音体育场和巴音体育馆2个享受免费开放补助资金的体育场馆，在免费开放期间满足国家的开放要求，即全年免费开放天数在330天以上，每周开放时间达35小时以上，国家法定节假日、全民健身日和学校寒暑假期间每天开放时间达8小时以上。同时，做好开放期间体育场馆的各项服务保障工作，不断为巴州全民健身和体育强州事业的发展助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E2AF8B">
            <w:pPr>
              <w:jc w:val="both"/>
            </w:pPr>
            <w:r>
              <w:rPr>
                <w:rFonts w:ascii="宋体" w:hAnsi="宋体" w:eastAsia="宋体"/>
                <w:sz w:val="16"/>
              </w:rPr>
              <w:t>2024年巴音体育馆和巴音体育场持续严格按照国家公共体育场馆低免开放的相关要求实行开放，各体育场馆全年免费开放天数达340余天，每周累计开放时间平均为60.75小时，每日平均最低开放时间为8.68小时，全年开展各类体育赛事、体育活动56场，累计接待健身群众60余万人，有效发挥了公共体育场馆在推动全民健身事业发展中的重要作用。该项目的实施，对巴音体育馆的照明设施进行了补充，做好了体育场馆开放期间公共物资、水管电器等低值易耗品的物资保障，为体育场馆免费开放期间的健身环境、便利服务给予了有力支持，吸引了更多健身爱好者前来。</w:t>
            </w:r>
          </w:p>
        </w:tc>
      </w:tr>
      <w:tr w14:paraId="78E45D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3B06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1A3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4785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AE5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5E6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587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CF70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AC67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2BBD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87B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431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9A0D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3982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21593">
            <w:pPr>
              <w:jc w:val="center"/>
            </w:pPr>
            <w:r>
              <w:rPr>
                <w:rFonts w:ascii="宋体" w:hAnsi="宋体" w:eastAsia="宋体"/>
                <w:sz w:val="16"/>
              </w:rPr>
              <w:t>偏差原因分析及改进措施</w:t>
            </w:r>
          </w:p>
        </w:tc>
      </w:tr>
      <w:tr w14:paraId="533A4B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7329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CADC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C825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2C54">
            <w:pPr>
              <w:jc w:val="center"/>
            </w:pPr>
            <w:r>
              <w:rPr>
                <w:rFonts w:ascii="宋体" w:hAnsi="宋体" w:eastAsia="宋体"/>
                <w:sz w:val="16"/>
              </w:rPr>
              <w:t>全年对外开放天数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98A59">
            <w:pPr>
              <w:jc w:val="center"/>
            </w:pPr>
            <w:r>
              <w:rPr>
                <w:rFonts w:ascii="宋体" w:hAnsi="宋体" w:eastAsia="宋体"/>
                <w:sz w:val="16"/>
              </w:rPr>
              <w:t>&gt;=330天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EB1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64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0A9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099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DA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BF847">
            <w:pPr>
              <w:jc w:val="center"/>
            </w:pPr>
            <w:r>
              <w:rPr>
                <w:rFonts w:ascii="宋体" w:hAnsi="宋体" w:eastAsia="宋体"/>
                <w:sz w:val="16"/>
              </w:rPr>
              <w:t>=366天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83CFE">
            <w:pPr>
              <w:jc w:val="center"/>
            </w:pPr>
            <w:r>
              <w:rPr>
                <w:rFonts w:ascii="宋体" w:hAnsi="宋体" w:eastAsia="宋体"/>
                <w:sz w:val="16"/>
              </w:rPr>
              <w:t>110.91%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9B2D">
            <w:pPr>
              <w:jc w:val="center"/>
            </w:pPr>
            <w:r>
              <w:rPr>
                <w:rFonts w:ascii="宋体" w:hAnsi="宋体" w:eastAsia="宋体"/>
                <w:sz w:val="16"/>
              </w:rPr>
              <w:t>4.45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934B">
            <w:pPr>
              <w:jc w:val="center"/>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没有发生需要通过暂停开放而开展的活动，因此，全年均按要求对外予以开放。</w:t>
            </w:r>
          </w:p>
        </w:tc>
      </w:tr>
      <w:tr w14:paraId="0AB8D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F80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FF2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A14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3B08A">
            <w:pPr>
              <w:jc w:val="center"/>
            </w:pPr>
            <w:r>
              <w:rPr>
                <w:rFonts w:ascii="宋体" w:hAnsi="宋体" w:eastAsia="宋体"/>
                <w:sz w:val="16"/>
              </w:rPr>
              <w:t>每周开放时间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D465">
            <w:pPr>
              <w:jc w:val="center"/>
            </w:pPr>
            <w:r>
              <w:rPr>
                <w:rFonts w:ascii="宋体" w:hAnsi="宋体" w:eastAsia="宋体"/>
                <w:sz w:val="16"/>
              </w:rPr>
              <w:t>&gt;=35小时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55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CE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BAA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ED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11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05B1">
            <w:pPr>
              <w:jc w:val="center"/>
            </w:pPr>
            <w:r>
              <w:rPr>
                <w:rFonts w:ascii="宋体" w:hAnsi="宋体" w:eastAsia="宋体"/>
                <w:sz w:val="16"/>
              </w:rPr>
              <w:t>=60.75小时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85E7">
            <w:pPr>
              <w:jc w:val="center"/>
            </w:pPr>
            <w:r>
              <w:rPr>
                <w:rFonts w:ascii="宋体" w:hAnsi="宋体" w:eastAsia="宋体"/>
                <w:sz w:val="16"/>
              </w:rPr>
              <w:t>173.57%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20244">
            <w:pPr>
              <w:jc w:val="center"/>
            </w:pPr>
            <w:r>
              <w:rPr>
                <w:rFonts w:ascii="宋体" w:hAnsi="宋体" w:eastAsia="宋体"/>
                <w:sz w:val="16"/>
              </w:rPr>
              <w:t>1.32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1D54">
            <w:pPr>
              <w:jc w:val="center"/>
            </w:pPr>
            <w:r>
              <w:rPr>
                <w:rFonts w:ascii="宋体" w:hAnsi="宋体" w:eastAsia="宋体"/>
                <w:sz w:val="16"/>
              </w:rPr>
              <w:t>因</w:t>
            </w:r>
            <w:r>
              <w:rPr>
                <w:rFonts w:hint="eastAsia" w:ascii="宋体" w:hAnsi="宋体"/>
                <w:sz w:val="16"/>
                <w:lang w:eastAsia="zh-CN"/>
              </w:rPr>
              <w:t>本单位</w:t>
            </w:r>
            <w:r>
              <w:rPr>
                <w:rFonts w:ascii="宋体" w:hAnsi="宋体" w:eastAsia="宋体"/>
                <w:sz w:val="16"/>
              </w:rPr>
              <w:t>实行延长开放时间举措，使得每周开放时长大幅增加。</w:t>
            </w:r>
          </w:p>
        </w:tc>
      </w:tr>
      <w:tr w14:paraId="5A0C7F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896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BE3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B0E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C3A86">
            <w:pPr>
              <w:jc w:val="center"/>
            </w:pPr>
            <w:r>
              <w:rPr>
                <w:rFonts w:ascii="宋体" w:hAnsi="宋体" w:eastAsia="宋体"/>
                <w:sz w:val="16"/>
              </w:rPr>
              <w:t>国家法定节假日、全民健身日和学校寒暑假期间每天开放时间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E0FE">
            <w:pPr>
              <w:jc w:val="center"/>
            </w:pPr>
            <w:r>
              <w:rPr>
                <w:rFonts w:ascii="宋体" w:hAnsi="宋体" w:eastAsia="宋体"/>
                <w:sz w:val="16"/>
              </w:rPr>
              <w:t>&gt;=8小时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89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F8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F9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B4C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CC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00157">
            <w:pPr>
              <w:jc w:val="center"/>
            </w:pPr>
            <w:r>
              <w:rPr>
                <w:rFonts w:ascii="宋体" w:hAnsi="宋体" w:eastAsia="宋体"/>
                <w:sz w:val="16"/>
              </w:rPr>
              <w:t>=8.68小时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EA98">
            <w:pPr>
              <w:jc w:val="center"/>
            </w:pPr>
            <w:r>
              <w:rPr>
                <w:rFonts w:ascii="宋体" w:hAnsi="宋体" w:eastAsia="宋体"/>
                <w:sz w:val="16"/>
              </w:rPr>
              <w:t>108.5%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731A">
            <w:pPr>
              <w:jc w:val="center"/>
            </w:pPr>
            <w:r>
              <w:rPr>
                <w:rFonts w:ascii="宋体" w:hAnsi="宋体" w:eastAsia="宋体"/>
                <w:sz w:val="16"/>
              </w:rPr>
              <w:t>4.58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1610">
            <w:pPr>
              <w:jc w:val="center"/>
            </w:pPr>
            <w:r>
              <w:rPr>
                <w:rFonts w:ascii="宋体" w:hAnsi="宋体" w:eastAsia="宋体"/>
                <w:sz w:val="16"/>
              </w:rPr>
              <w:t>因</w:t>
            </w:r>
            <w:r>
              <w:rPr>
                <w:rFonts w:hint="eastAsia" w:ascii="宋体" w:hAnsi="宋体"/>
                <w:sz w:val="16"/>
                <w:lang w:eastAsia="zh-CN"/>
              </w:rPr>
              <w:t>本单位</w:t>
            </w:r>
            <w:r>
              <w:rPr>
                <w:rFonts w:ascii="宋体" w:hAnsi="宋体" w:eastAsia="宋体"/>
                <w:sz w:val="16"/>
              </w:rPr>
              <w:t>实行延长开放时间举措，使得每天开放时长增加。</w:t>
            </w:r>
          </w:p>
        </w:tc>
      </w:tr>
      <w:tr w14:paraId="6CA19B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C2F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A44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C50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CF15">
            <w:pPr>
              <w:jc w:val="center"/>
            </w:pPr>
            <w:r>
              <w:rPr>
                <w:rFonts w:ascii="宋体" w:hAnsi="宋体" w:eastAsia="宋体"/>
                <w:sz w:val="16"/>
              </w:rPr>
              <w:t>支持免费开放的体育场馆数量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DC166">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09F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3C6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1C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40D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2D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5E6E8">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7F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78A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C1B1">
            <w:pPr>
              <w:jc w:val="center"/>
            </w:pPr>
          </w:p>
        </w:tc>
      </w:tr>
      <w:tr w14:paraId="460E0C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A0D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C69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3E1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282F">
            <w:pPr>
              <w:jc w:val="center"/>
            </w:pPr>
            <w:r>
              <w:rPr>
                <w:rFonts w:ascii="宋体" w:hAnsi="宋体" w:eastAsia="宋体"/>
                <w:sz w:val="16"/>
              </w:rPr>
              <w:t>服务质量达到《公共体育场馆基本公共服务规范》标准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F4A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1C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927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70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D6D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CD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78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1A9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F84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5368">
            <w:pPr>
              <w:jc w:val="center"/>
            </w:pPr>
          </w:p>
        </w:tc>
      </w:tr>
      <w:tr w14:paraId="60D4E3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A34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F60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609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DA9F">
            <w:pPr>
              <w:jc w:val="center"/>
            </w:pPr>
            <w:r>
              <w:rPr>
                <w:rFonts w:ascii="宋体" w:hAnsi="宋体" w:eastAsia="宋体"/>
                <w:sz w:val="16"/>
              </w:rPr>
              <w:t>国家全民健身信息服务平台数据填报及时率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5FD2">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DCC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77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E9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3E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77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10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C62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6E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B10B">
            <w:pPr>
              <w:jc w:val="center"/>
            </w:pPr>
          </w:p>
        </w:tc>
      </w:tr>
      <w:tr w14:paraId="396BA9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57C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C93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958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43460">
            <w:pPr>
              <w:jc w:val="center"/>
            </w:pPr>
            <w:r>
              <w:rPr>
                <w:rFonts w:ascii="宋体" w:hAnsi="宋体" w:eastAsia="宋体"/>
                <w:sz w:val="16"/>
              </w:rPr>
              <w:t>体育场馆免费开放运行保障经费支付及时率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F40D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37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91B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1E0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373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36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FFD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13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74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4AAB2">
            <w:pPr>
              <w:jc w:val="center"/>
            </w:pPr>
          </w:p>
        </w:tc>
      </w:tr>
      <w:tr w14:paraId="3433C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4B6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8E0E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2F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F2071">
            <w:pPr>
              <w:jc w:val="center"/>
            </w:pPr>
            <w:r>
              <w:rPr>
                <w:rFonts w:ascii="宋体" w:hAnsi="宋体" w:eastAsia="宋体"/>
                <w:sz w:val="16"/>
              </w:rPr>
              <w:t>各体育场馆平均免费开放运行保障经费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825E">
            <w:pPr>
              <w:jc w:val="center"/>
            </w:pPr>
            <w:r>
              <w:rPr>
                <w:rFonts w:ascii="宋体" w:hAnsi="宋体" w:eastAsia="宋体"/>
                <w:sz w:val="16"/>
              </w:rPr>
              <w:t>&lt;=8万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986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953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2B2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56E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2E3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140B8">
            <w:pPr>
              <w:jc w:val="center"/>
            </w:pPr>
            <w:r>
              <w:rPr>
                <w:rFonts w:ascii="宋体" w:hAnsi="宋体" w:eastAsia="宋体"/>
                <w:sz w:val="16"/>
              </w:rPr>
              <w:t>=8万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55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9B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FA2D">
            <w:pPr>
              <w:jc w:val="center"/>
            </w:pPr>
          </w:p>
        </w:tc>
      </w:tr>
      <w:tr w14:paraId="594500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FD7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D943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1D91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4B3C">
            <w:pPr>
              <w:jc w:val="center"/>
            </w:pPr>
            <w:r>
              <w:rPr>
                <w:rFonts w:ascii="宋体" w:hAnsi="宋体" w:eastAsia="宋体"/>
                <w:sz w:val="16"/>
              </w:rPr>
              <w:t>场馆所属户外公共区域及户外健身器材全年免费开放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2E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CB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C27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DEB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91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3E5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82A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0C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74C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921DC">
            <w:pPr>
              <w:jc w:val="center"/>
            </w:pPr>
          </w:p>
        </w:tc>
      </w:tr>
      <w:tr w14:paraId="34494B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309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027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A94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EA7A0">
            <w:pPr>
              <w:jc w:val="center"/>
            </w:pPr>
            <w:r>
              <w:rPr>
                <w:rFonts w:ascii="宋体" w:hAnsi="宋体" w:eastAsia="宋体"/>
                <w:sz w:val="16"/>
              </w:rPr>
              <w:t>全民健身日全面免费开放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47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72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94D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89C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BE2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5A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A4B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CE0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72C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4DA8">
            <w:pPr>
              <w:jc w:val="center"/>
            </w:pPr>
          </w:p>
        </w:tc>
      </w:tr>
      <w:tr w14:paraId="6D4AA0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0EF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39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CAF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75EA">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D04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23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56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57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36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347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526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D0F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6E6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4D18">
            <w:pPr>
              <w:jc w:val="center"/>
            </w:pPr>
          </w:p>
        </w:tc>
      </w:tr>
      <w:tr w14:paraId="74E59AC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CA5BA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CF7D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0F74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FC56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F9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1E36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8D34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F93D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EAB9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C88F0">
            <w:pPr>
              <w:jc w:val="center"/>
            </w:pPr>
            <w:r>
              <w:rPr>
                <w:rFonts w:ascii="宋体" w:hAnsi="宋体" w:eastAsia="宋体"/>
                <w:sz w:val="16"/>
              </w:rPr>
              <w:t>95.35分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8E342D"/>
        </w:tc>
      </w:tr>
    </w:tbl>
    <w:p w14:paraId="0460061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776"/>
        <w:gridCol w:w="632"/>
        <w:gridCol w:w="632"/>
      </w:tblGrid>
      <w:tr w14:paraId="43D16514">
        <w:tblPrEx>
          <w:tblCellMar>
            <w:top w:w="0" w:type="dxa"/>
            <w:left w:w="108" w:type="dxa"/>
            <w:bottom w:w="0" w:type="dxa"/>
            <w:right w:w="108" w:type="dxa"/>
          </w:tblCellMar>
        </w:tblPrEx>
        <w:tc>
          <w:tcPr>
            <w:tcW w:w="8848" w:type="dxa"/>
            <w:gridSpan w:val="14"/>
            <w:vAlign w:val="center"/>
          </w:tcPr>
          <w:p w14:paraId="74693AF9">
            <w:pPr>
              <w:jc w:val="center"/>
            </w:pPr>
            <w:r>
              <w:rPr>
                <w:rFonts w:ascii="宋体" w:hAnsi="宋体" w:eastAsia="宋体"/>
                <w:sz w:val="24"/>
              </w:rPr>
              <w:t>项目支出绩效自评表</w:t>
            </w:r>
          </w:p>
        </w:tc>
      </w:tr>
      <w:tr w14:paraId="62E04468">
        <w:tblPrEx>
          <w:tblCellMar>
            <w:top w:w="0" w:type="dxa"/>
            <w:left w:w="108" w:type="dxa"/>
            <w:bottom w:w="0" w:type="dxa"/>
            <w:right w:w="108" w:type="dxa"/>
          </w:tblCellMar>
        </w:tblPrEx>
        <w:tc>
          <w:tcPr>
            <w:tcW w:w="8848" w:type="dxa"/>
            <w:gridSpan w:val="14"/>
            <w:vAlign w:val="center"/>
          </w:tcPr>
          <w:p w14:paraId="33E7E6DB">
            <w:pPr>
              <w:jc w:val="center"/>
            </w:pPr>
            <w:r>
              <w:rPr>
                <w:rFonts w:ascii="宋体" w:hAnsi="宋体" w:eastAsia="宋体"/>
                <w:sz w:val="24"/>
              </w:rPr>
              <w:t>(2024年度)</w:t>
            </w:r>
          </w:p>
        </w:tc>
      </w:tr>
      <w:tr w14:paraId="6A326E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CE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68024D">
            <w:pPr>
              <w:jc w:val="center"/>
            </w:pPr>
            <w:r>
              <w:rPr>
                <w:rFonts w:ascii="宋体" w:hAnsi="宋体" w:eastAsia="宋体"/>
                <w:sz w:val="16"/>
              </w:rPr>
              <w:t>巴财预追</w:t>
            </w:r>
            <w:r>
              <w:rPr>
                <w:rFonts w:hint="eastAsia" w:ascii="宋体" w:hAnsi="宋体"/>
                <w:sz w:val="16"/>
                <w:lang w:eastAsia="zh-CN"/>
              </w:rPr>
              <w:t>〔2024〕29号</w:t>
            </w:r>
            <w:r>
              <w:rPr>
                <w:rFonts w:ascii="宋体" w:hAnsi="宋体" w:eastAsia="宋体"/>
                <w:sz w:val="16"/>
              </w:rPr>
              <w:t>--2024年自治州体育彩票公益金支持体育事业项目</w:t>
            </w:r>
          </w:p>
        </w:tc>
      </w:tr>
      <w:tr w14:paraId="363F6E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99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C7904A">
            <w:pPr>
              <w:jc w:val="center"/>
            </w:pPr>
            <w:r>
              <w:rPr>
                <w:rFonts w:ascii="宋体" w:hAnsi="宋体" w:eastAsia="宋体"/>
                <w:sz w:val="16"/>
              </w:rPr>
              <w:t>新疆巴音郭楞蒙古自治州体育场地管理中心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7A0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BD0E2F">
            <w:pPr>
              <w:jc w:val="center"/>
            </w:pPr>
            <w:r>
              <w:rPr>
                <w:rFonts w:ascii="宋体" w:hAnsi="宋体" w:eastAsia="宋体"/>
                <w:sz w:val="16"/>
              </w:rPr>
              <w:t>新疆巴音郭楞蒙古自治州体育场地管理中心</w:t>
            </w:r>
          </w:p>
        </w:tc>
      </w:tr>
      <w:tr w14:paraId="096654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172F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ECC2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55D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0054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BA2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0211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CB3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A85CE">
            <w:pPr>
              <w:jc w:val="center"/>
            </w:pPr>
            <w:r>
              <w:rPr>
                <w:rFonts w:ascii="宋体" w:hAnsi="宋体" w:eastAsia="宋体"/>
                <w:sz w:val="16"/>
              </w:rPr>
              <w:t>得分</w:t>
            </w:r>
          </w:p>
        </w:tc>
      </w:tr>
      <w:tr w14:paraId="2FA49E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C1987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235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DCA58">
            <w:pPr>
              <w:jc w:val="center"/>
            </w:pPr>
            <w:r>
              <w:rPr>
                <w:rFonts w:ascii="宋体" w:hAnsi="宋体" w:eastAsia="宋体"/>
                <w:sz w:val="16"/>
              </w:rPr>
              <w:t>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41147">
            <w:pPr>
              <w:jc w:val="center"/>
            </w:pPr>
            <w:r>
              <w:rPr>
                <w:rFonts w:ascii="宋体" w:hAnsi="宋体" w:eastAsia="宋体"/>
                <w:sz w:val="16"/>
              </w:rPr>
              <w:t>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F1B8B">
            <w:pPr>
              <w:jc w:val="center"/>
            </w:pPr>
            <w:r>
              <w:rPr>
                <w:rFonts w:ascii="宋体" w:hAnsi="宋体" w:eastAsia="宋体"/>
                <w:sz w:val="16"/>
              </w:rPr>
              <w:t>65.94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FEC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15D72">
            <w:pPr>
              <w:jc w:val="center"/>
            </w:pPr>
            <w:r>
              <w:rPr>
                <w:rFonts w:ascii="宋体" w:hAnsi="宋体" w:eastAsia="宋体"/>
                <w:sz w:val="16"/>
              </w:rPr>
              <w:t>99.91%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C922">
            <w:pPr>
              <w:jc w:val="center"/>
            </w:pPr>
            <w:r>
              <w:rPr>
                <w:rFonts w:ascii="宋体" w:hAnsi="宋体" w:eastAsia="宋体"/>
                <w:sz w:val="16"/>
              </w:rPr>
              <w:t>10.00</w:t>
            </w:r>
          </w:p>
        </w:tc>
      </w:tr>
      <w:tr w14:paraId="19071B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4FF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74F2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CE130">
            <w:pPr>
              <w:jc w:val="center"/>
            </w:pPr>
            <w:r>
              <w:rPr>
                <w:rFonts w:ascii="宋体" w:hAnsi="宋体" w:eastAsia="宋体"/>
                <w:sz w:val="16"/>
              </w:rPr>
              <w:t>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C007D">
            <w:pPr>
              <w:jc w:val="center"/>
            </w:pPr>
            <w:r>
              <w:rPr>
                <w:rFonts w:ascii="宋体" w:hAnsi="宋体" w:eastAsia="宋体"/>
                <w:sz w:val="16"/>
              </w:rPr>
              <w:t>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B2B22">
            <w:pPr>
              <w:jc w:val="center"/>
            </w:pPr>
            <w:r>
              <w:rPr>
                <w:rFonts w:ascii="宋体" w:hAnsi="宋体" w:eastAsia="宋体"/>
                <w:sz w:val="16"/>
              </w:rPr>
              <w:t>65.94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2E3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82C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D16C">
            <w:pPr>
              <w:jc w:val="center"/>
            </w:pPr>
            <w:r>
              <w:rPr>
                <w:rFonts w:ascii="宋体" w:hAnsi="宋体" w:eastAsia="宋体"/>
                <w:sz w:val="16"/>
              </w:rPr>
              <w:t>-</w:t>
            </w:r>
          </w:p>
        </w:tc>
      </w:tr>
      <w:tr w14:paraId="1945FF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E61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4697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D31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2C3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369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6A1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60F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F802F">
            <w:pPr>
              <w:jc w:val="center"/>
            </w:pPr>
            <w:r>
              <w:rPr>
                <w:rFonts w:ascii="宋体" w:hAnsi="宋体" w:eastAsia="宋体"/>
                <w:sz w:val="16"/>
              </w:rPr>
              <w:t>-</w:t>
            </w:r>
          </w:p>
        </w:tc>
      </w:tr>
      <w:tr w14:paraId="1BFAF2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F33D5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16789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84E644">
            <w:pPr>
              <w:jc w:val="center"/>
            </w:pPr>
            <w:r>
              <w:rPr>
                <w:rFonts w:ascii="宋体" w:hAnsi="宋体" w:eastAsia="宋体"/>
                <w:sz w:val="16"/>
              </w:rPr>
              <w:t>总体目标完成情况</w:t>
            </w:r>
          </w:p>
        </w:tc>
      </w:tr>
      <w:tr w14:paraId="4D951A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A3E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C39401">
            <w:pPr>
              <w:jc w:val="both"/>
            </w:pPr>
            <w:r>
              <w:rPr>
                <w:rFonts w:hint="eastAsia" w:ascii="宋体" w:hAnsi="宋体"/>
                <w:sz w:val="16"/>
                <w:lang w:eastAsia="zh-CN"/>
              </w:rPr>
              <w:t>1.</w:t>
            </w:r>
            <w:r>
              <w:rPr>
                <w:rFonts w:ascii="宋体" w:hAnsi="宋体" w:eastAsia="宋体"/>
                <w:sz w:val="16"/>
              </w:rPr>
              <w:t>通过举办自治州青少年锦标赛系列赛事2场，全面、准确掌握我州青少年各项竞技体育的实际发展情况，进一步推动自治州深化体教融合工作，积极培养广大青少年热爱体育、参与体育的积极性和主动性，促进各族青少年体质和身心健康发展，努力推动青少年体育事业向好向强发展。</w:t>
            </w:r>
            <w:r>
              <w:rPr>
                <w:rFonts w:ascii="宋体" w:hAnsi="宋体" w:eastAsia="宋体"/>
                <w:sz w:val="16"/>
              </w:rPr>
              <w:br w:type="textWrapping"/>
            </w:r>
            <w:r>
              <w:rPr>
                <w:rFonts w:ascii="宋体" w:hAnsi="宋体" w:eastAsia="宋体"/>
                <w:sz w:val="16"/>
              </w:rPr>
              <w:t xml:space="preserve">  2、积极做好巴音体育馆、巴音体育场、巴音游泳馆2024年度开放、卫生治理、赛事活动、健身设施维护等有关工作，进一步完善体育场馆信息化管理建设，提升场馆体育赛事、体育活动接待和举办能力，满足广大群众日常健身需求和体育强国建设的发展要求。项目执行期间，确保免费开放天数在330天以上，每周开放时间在35小时以上，国家法定节假日、全民健身日和学校寒暑假期间每天开放时间满足8小时以上；体育场馆内的基础设施、基本管理和基本服务符合《大型体育场馆基本公共服务规范》的标准要求</w:t>
            </w:r>
            <w:r>
              <w:rPr>
                <w:rFonts w:hint="eastAsia" w:ascii="宋体" w:hAnsi="宋体"/>
                <w:sz w:val="16"/>
                <w:lang w:eastAsia="zh-CN"/>
              </w:rPr>
              <w:t>；</w:t>
            </w:r>
            <w:r>
              <w:rPr>
                <w:rFonts w:ascii="宋体" w:hAnsi="宋体" w:eastAsia="宋体"/>
                <w:sz w:val="16"/>
              </w:rPr>
              <w:t>场馆所属户外公共区域和户外健身器材全年免费开放。通过项目实施，在丰富体育器材种类、完善场馆配套设施、提升综合服务水平的同时，促进我州体育运动、全民健身向好向快发展。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CF9400">
            <w:pPr>
              <w:jc w:val="both"/>
            </w:pPr>
            <w:r>
              <w:rPr>
                <w:rFonts w:ascii="宋体" w:hAnsi="宋体" w:eastAsia="宋体"/>
                <w:sz w:val="16"/>
              </w:rPr>
              <w:t>2024年我中心凭借两所体育场馆的资源优势成功举办了2场自治州青少年锦标赛事，从赛前的场地布置、人员部署、赛事宣传，到赛时的秩序维持、服务保障，再到赛后的场地恢复、成绩打印和证书发放等各项工作均有序进行，这离不开项目的支持和保障。同时，还完成了巴音游泳馆客流量监控系统的安装调试、巴音体育场草坪种植及养护、体育馆球场照明灯的加装等3项较大工程，以及3所体育场馆日常五金耗材、公共用品、体育器材和设备维修保养的费用开支，项目的顺利实施为各体育场馆按时高质量的开放提供了极大助力。</w:t>
            </w:r>
          </w:p>
        </w:tc>
      </w:tr>
      <w:tr w14:paraId="619544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3C98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B0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74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25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76BE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BB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54F1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910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655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4B6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9BD8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E32C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DF4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B40F">
            <w:pPr>
              <w:jc w:val="center"/>
            </w:pPr>
            <w:r>
              <w:rPr>
                <w:rFonts w:ascii="宋体" w:hAnsi="宋体" w:eastAsia="宋体"/>
                <w:sz w:val="16"/>
              </w:rPr>
              <w:t>偏差原因分析及改进措施</w:t>
            </w:r>
          </w:p>
        </w:tc>
      </w:tr>
      <w:tr w14:paraId="469131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42EC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A19F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B07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0726E">
            <w:pPr>
              <w:jc w:val="center"/>
            </w:pPr>
            <w:r>
              <w:rPr>
                <w:rFonts w:ascii="宋体" w:hAnsi="宋体" w:eastAsia="宋体"/>
                <w:sz w:val="16"/>
              </w:rPr>
              <w:t>支持开放的体育场馆数量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17B8E">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66E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6E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65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19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352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24EF">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57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785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D7C24">
            <w:pPr>
              <w:jc w:val="center"/>
            </w:pPr>
          </w:p>
        </w:tc>
      </w:tr>
      <w:tr w14:paraId="032F46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014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35A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070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F3D57">
            <w:pPr>
              <w:jc w:val="center"/>
            </w:pPr>
            <w:r>
              <w:rPr>
                <w:rFonts w:ascii="宋体" w:hAnsi="宋体" w:eastAsia="宋体"/>
                <w:sz w:val="16"/>
              </w:rPr>
              <w:t>举办赛事场次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98CA3">
            <w:pPr>
              <w:jc w:val="center"/>
            </w:pPr>
            <w:r>
              <w:rPr>
                <w:rFonts w:ascii="宋体" w:hAnsi="宋体" w:eastAsia="宋体"/>
                <w:sz w:val="16"/>
              </w:rPr>
              <w: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6B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ECB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66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0C2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98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B1EB4">
            <w:pPr>
              <w:jc w:val="center"/>
            </w:pPr>
            <w:r>
              <w:rPr>
                <w:rFonts w:ascii="宋体" w:hAnsi="宋体" w:eastAsia="宋体"/>
                <w:sz w:val="16"/>
              </w:rPr>
              <w:t>=2场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01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277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C3FF">
            <w:pPr>
              <w:jc w:val="center"/>
            </w:pPr>
          </w:p>
        </w:tc>
      </w:tr>
      <w:tr w14:paraId="23A351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DEF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F1C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9CB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3C0E5">
            <w:pPr>
              <w:jc w:val="center"/>
            </w:pPr>
            <w:r>
              <w:rPr>
                <w:rFonts w:ascii="宋体" w:hAnsi="宋体" w:eastAsia="宋体"/>
                <w:sz w:val="16"/>
              </w:rPr>
              <w:t>全年对外开放天数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9ADE5">
            <w:pPr>
              <w:jc w:val="center"/>
            </w:pPr>
            <w:r>
              <w:rPr>
                <w:rFonts w:ascii="宋体" w:hAnsi="宋体" w:eastAsia="宋体"/>
                <w:sz w:val="16"/>
              </w:rPr>
              <w:t>&gt;=330天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95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FC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9B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7E4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7C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522A0">
            <w:pPr>
              <w:jc w:val="center"/>
            </w:pPr>
            <w:r>
              <w:rPr>
                <w:rFonts w:ascii="宋体" w:hAnsi="宋体" w:eastAsia="宋体"/>
                <w:sz w:val="16"/>
              </w:rPr>
              <w:t>=366天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62C5">
            <w:pPr>
              <w:jc w:val="center"/>
            </w:pPr>
            <w:r>
              <w:rPr>
                <w:rFonts w:ascii="宋体" w:hAnsi="宋体" w:eastAsia="宋体"/>
                <w:sz w:val="16"/>
              </w:rPr>
              <w:t>110.91%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7CB5">
            <w:pPr>
              <w:jc w:val="center"/>
            </w:pPr>
            <w:r>
              <w:rPr>
                <w:rFonts w:ascii="宋体" w:hAnsi="宋体" w:eastAsia="宋体"/>
                <w:sz w:val="16"/>
              </w:rPr>
              <w:t>4.45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D05F1">
            <w:pPr>
              <w:jc w:val="center"/>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没有发生需要通过暂停开放而开展的活动，因此，全年均按要求对外予以开放。</w:t>
            </w:r>
          </w:p>
        </w:tc>
      </w:tr>
      <w:tr w14:paraId="015B6B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9DC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62A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B5EA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F15D3">
            <w:pPr>
              <w:jc w:val="center"/>
            </w:pPr>
            <w:r>
              <w:rPr>
                <w:rFonts w:ascii="宋体" w:hAnsi="宋体" w:eastAsia="宋体"/>
                <w:sz w:val="16"/>
              </w:rPr>
              <w:t>运动员赛事参与率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3D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F0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15E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72A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85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82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437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203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0D89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BB6D">
            <w:pPr>
              <w:jc w:val="center"/>
            </w:pPr>
          </w:p>
        </w:tc>
      </w:tr>
      <w:tr w14:paraId="30AF5B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20B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EF9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111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272D">
            <w:pPr>
              <w:jc w:val="center"/>
            </w:pPr>
            <w:r>
              <w:rPr>
                <w:rFonts w:ascii="宋体" w:hAnsi="宋体" w:eastAsia="宋体"/>
                <w:sz w:val="16"/>
              </w:rPr>
              <w:t>全民健身日免费开放服务保障率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657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53C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8B3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6093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20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3C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FE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3A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014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C3283">
            <w:pPr>
              <w:jc w:val="center"/>
            </w:pPr>
          </w:p>
        </w:tc>
      </w:tr>
      <w:tr w14:paraId="6509F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793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04C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C6DD7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57C3">
            <w:pPr>
              <w:jc w:val="center"/>
            </w:pPr>
            <w:r>
              <w:rPr>
                <w:rFonts w:ascii="宋体" w:hAnsi="宋体" w:eastAsia="宋体"/>
                <w:sz w:val="16"/>
              </w:rPr>
              <w:t>体育场馆开放运行保障经费支付及时率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AFA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7D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B28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79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44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53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40E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6E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A46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569CD">
            <w:pPr>
              <w:jc w:val="center"/>
            </w:pPr>
          </w:p>
        </w:tc>
      </w:tr>
      <w:tr w14:paraId="4B7FC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20D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4E2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FFF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6DC8D">
            <w:pPr>
              <w:jc w:val="center"/>
            </w:pPr>
            <w:r>
              <w:rPr>
                <w:rFonts w:ascii="宋体" w:hAnsi="宋体" w:eastAsia="宋体"/>
                <w:sz w:val="16"/>
              </w:rPr>
              <w:t>赛事举办完成时间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E4B12">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1D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0D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A9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C286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4B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CFCB">
            <w:pPr>
              <w:jc w:val="center"/>
            </w:pPr>
            <w:r>
              <w:rPr>
                <w:rFonts w:ascii="宋体" w:hAnsi="宋体" w:eastAsia="宋体"/>
                <w:sz w:val="16"/>
              </w:rPr>
              <w:t>2024年10月27日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02B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056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750BF">
            <w:pPr>
              <w:jc w:val="center"/>
            </w:pPr>
          </w:p>
        </w:tc>
      </w:tr>
      <w:tr w14:paraId="075519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1FA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98F0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D988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284F5">
            <w:pPr>
              <w:jc w:val="center"/>
            </w:pPr>
            <w:r>
              <w:rPr>
                <w:rFonts w:ascii="宋体" w:hAnsi="宋体" w:eastAsia="宋体"/>
                <w:sz w:val="16"/>
              </w:rPr>
              <w:t>体育场馆开放运行保障经费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BEE1">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9C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777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44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986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998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4FBE7">
            <w:pPr>
              <w:jc w:val="center"/>
            </w:pPr>
            <w:r>
              <w:rPr>
                <w:rFonts w:ascii="宋体" w:hAnsi="宋体" w:eastAsia="宋体"/>
                <w:sz w:val="16"/>
              </w:rPr>
              <w:t>=59.94万元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865F7">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9C1A1">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71B6">
            <w:pPr>
              <w:jc w:val="center"/>
            </w:pPr>
            <w:r>
              <w:rPr>
                <w:rFonts w:ascii="宋体" w:hAnsi="宋体" w:eastAsia="宋体"/>
                <w:sz w:val="16"/>
              </w:rPr>
              <w:t>由于部分采购业务的支付手续不完善，导致项目资金没有全部支付完成。今后，</w:t>
            </w:r>
            <w:r>
              <w:rPr>
                <w:rFonts w:hint="eastAsia" w:ascii="宋体" w:hAnsi="宋体"/>
                <w:sz w:val="16"/>
                <w:lang w:eastAsia="zh-CN"/>
              </w:rPr>
              <w:t>本单位</w:t>
            </w:r>
            <w:r>
              <w:rPr>
                <w:rFonts w:ascii="宋体" w:hAnsi="宋体" w:eastAsia="宋体"/>
                <w:sz w:val="16"/>
              </w:rPr>
              <w:t>将进一步加大业务监督力度，及时督促工作落实，确保资金支付的及时性。</w:t>
            </w:r>
          </w:p>
        </w:tc>
      </w:tr>
      <w:tr w14:paraId="1567D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7F8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BEE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4AE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7F1E">
            <w:pPr>
              <w:jc w:val="center"/>
            </w:pPr>
            <w:r>
              <w:rPr>
                <w:rFonts w:ascii="宋体" w:hAnsi="宋体" w:eastAsia="宋体"/>
                <w:sz w:val="16"/>
              </w:rPr>
              <w:t>赛事举办保障经费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0CEE">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176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BD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595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44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5F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8DE4">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EB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549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9FD0E">
            <w:pPr>
              <w:jc w:val="center"/>
            </w:pPr>
          </w:p>
        </w:tc>
      </w:tr>
      <w:tr w14:paraId="3AD79C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E23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88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F6A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E970">
            <w:pPr>
              <w:jc w:val="center"/>
            </w:pPr>
            <w:r>
              <w:rPr>
                <w:rFonts w:ascii="宋体" w:hAnsi="宋体" w:eastAsia="宋体"/>
                <w:sz w:val="16"/>
              </w:rPr>
              <w:t>促进青少年竞技体育发展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738A">
            <w:pPr>
              <w:jc w:val="center"/>
            </w:pPr>
            <w:r>
              <w:rPr>
                <w:rFonts w:ascii="宋体" w:hAnsi="宋体" w:eastAsia="宋体"/>
                <w:sz w:val="16"/>
              </w:rPr>
              <w:t>有所促进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D69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5A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0BE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0DCB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CFB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F20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5AB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1F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B946">
            <w:pPr>
              <w:jc w:val="center"/>
            </w:pPr>
          </w:p>
        </w:tc>
      </w:tr>
      <w:tr w14:paraId="66F15A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555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D1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D2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7BF8">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27C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3D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38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717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B7A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AF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B54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6E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DE5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955BB">
            <w:pPr>
              <w:jc w:val="center"/>
            </w:pPr>
          </w:p>
        </w:tc>
      </w:tr>
      <w:tr w14:paraId="2B0CAEE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C159D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9B5E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5E38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31B6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E6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FBC5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2344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9CA4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D739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D041B">
            <w:pPr>
              <w:jc w:val="center"/>
            </w:pPr>
            <w:r>
              <w:rPr>
                <w:rFonts w:ascii="宋体" w:hAnsi="宋体" w:eastAsia="宋体"/>
                <w:sz w:val="16"/>
              </w:rPr>
              <w:t>99.43分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127057"/>
        </w:tc>
      </w:tr>
    </w:tbl>
    <w:p w14:paraId="1089ED7B">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6E575A40">
        <w:tblPrEx>
          <w:tblCellMar>
            <w:top w:w="0" w:type="dxa"/>
            <w:left w:w="108" w:type="dxa"/>
            <w:bottom w:w="0" w:type="dxa"/>
            <w:right w:w="108" w:type="dxa"/>
          </w:tblCellMar>
        </w:tblPrEx>
        <w:tc>
          <w:tcPr>
            <w:tcW w:w="8848" w:type="dxa"/>
            <w:gridSpan w:val="14"/>
            <w:vAlign w:val="center"/>
          </w:tcPr>
          <w:p w14:paraId="6BF70346">
            <w:pPr>
              <w:jc w:val="center"/>
            </w:pPr>
            <w:r>
              <w:rPr>
                <w:rFonts w:ascii="宋体" w:hAnsi="宋体" w:eastAsia="宋体"/>
                <w:sz w:val="24"/>
              </w:rPr>
              <w:t>项目支出绩效自评表</w:t>
            </w:r>
          </w:p>
        </w:tc>
      </w:tr>
      <w:tr w14:paraId="42E7E319">
        <w:tblPrEx>
          <w:tblCellMar>
            <w:top w:w="0" w:type="dxa"/>
            <w:left w:w="108" w:type="dxa"/>
            <w:bottom w:w="0" w:type="dxa"/>
            <w:right w:w="108" w:type="dxa"/>
          </w:tblCellMar>
        </w:tblPrEx>
        <w:tc>
          <w:tcPr>
            <w:tcW w:w="8848" w:type="dxa"/>
            <w:gridSpan w:val="14"/>
            <w:vAlign w:val="center"/>
          </w:tcPr>
          <w:p w14:paraId="35A8AAE8">
            <w:pPr>
              <w:jc w:val="center"/>
            </w:pPr>
            <w:r>
              <w:rPr>
                <w:rFonts w:ascii="宋体" w:hAnsi="宋体" w:eastAsia="宋体"/>
                <w:sz w:val="24"/>
              </w:rPr>
              <w:t>(2024年度)</w:t>
            </w:r>
          </w:p>
        </w:tc>
      </w:tr>
      <w:tr w14:paraId="2107C4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76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6591D7">
            <w:pPr>
              <w:jc w:val="center"/>
            </w:pPr>
            <w:r>
              <w:rPr>
                <w:rFonts w:ascii="宋体" w:hAnsi="宋体" w:eastAsia="宋体"/>
                <w:sz w:val="16"/>
              </w:rPr>
              <w:t>巴财预追</w:t>
            </w:r>
            <w:bookmarkStart w:id="0" w:name="_GoBack"/>
            <w:r>
              <w:rPr>
                <w:rFonts w:hint="eastAsia" w:ascii="宋体" w:hAnsi="宋体"/>
                <w:sz w:val="16"/>
                <w:lang w:eastAsia="zh-CN"/>
              </w:rPr>
              <w:t>〔2024〕73号</w:t>
            </w:r>
            <w:bookmarkEnd w:id="0"/>
            <w:r>
              <w:rPr>
                <w:rFonts w:ascii="宋体" w:hAnsi="宋体" w:eastAsia="宋体"/>
                <w:sz w:val="16"/>
              </w:rPr>
              <w:t>体育彩票公益金结余资金安排</w:t>
            </w:r>
          </w:p>
        </w:tc>
      </w:tr>
      <w:tr w14:paraId="444DE0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EC6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DA4F98">
            <w:pPr>
              <w:jc w:val="center"/>
            </w:pPr>
            <w:r>
              <w:rPr>
                <w:rFonts w:ascii="宋体" w:hAnsi="宋体" w:eastAsia="宋体"/>
                <w:sz w:val="16"/>
              </w:rPr>
              <w:t>新疆巴音郭楞蒙古自治州体育场地管理中心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F33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9F4B6F">
            <w:pPr>
              <w:jc w:val="center"/>
            </w:pPr>
            <w:r>
              <w:rPr>
                <w:rFonts w:ascii="宋体" w:hAnsi="宋体" w:eastAsia="宋体"/>
                <w:sz w:val="16"/>
              </w:rPr>
              <w:t>新疆巴音郭楞蒙古自治州体育场地管理中心</w:t>
            </w:r>
          </w:p>
        </w:tc>
      </w:tr>
      <w:tr w14:paraId="53010E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429E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4208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4B03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3C51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6107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695B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8830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69CC">
            <w:pPr>
              <w:jc w:val="center"/>
            </w:pPr>
            <w:r>
              <w:rPr>
                <w:rFonts w:ascii="宋体" w:hAnsi="宋体" w:eastAsia="宋体"/>
                <w:sz w:val="16"/>
              </w:rPr>
              <w:t>得分</w:t>
            </w:r>
          </w:p>
        </w:tc>
      </w:tr>
      <w:tr w14:paraId="3D85BD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F480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8DA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E5F73">
            <w:pPr>
              <w:jc w:val="center"/>
            </w:pPr>
            <w:r>
              <w:rPr>
                <w:rFonts w:ascii="宋体" w:hAnsi="宋体" w:eastAsia="宋体"/>
                <w:sz w:val="16"/>
              </w:rPr>
              <w:t>271.73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67183">
            <w:pPr>
              <w:jc w:val="center"/>
            </w:pPr>
            <w:r>
              <w:rPr>
                <w:rFonts w:ascii="宋体" w:hAnsi="宋体" w:eastAsia="宋体"/>
                <w:sz w:val="16"/>
              </w:rPr>
              <w:t>271.73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6D762">
            <w:pPr>
              <w:jc w:val="center"/>
            </w:pPr>
            <w:r>
              <w:rPr>
                <w:rFonts w:ascii="宋体" w:hAnsi="宋体" w:eastAsia="宋体"/>
                <w:sz w:val="16"/>
              </w:rPr>
              <w:t>271.73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637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608E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2FCC">
            <w:pPr>
              <w:jc w:val="center"/>
            </w:pPr>
            <w:r>
              <w:rPr>
                <w:rFonts w:ascii="宋体" w:hAnsi="宋体" w:eastAsia="宋体"/>
                <w:sz w:val="16"/>
              </w:rPr>
              <w:t>10.00</w:t>
            </w:r>
          </w:p>
        </w:tc>
      </w:tr>
      <w:tr w14:paraId="32FE5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9F2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8010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67617">
            <w:pPr>
              <w:jc w:val="center"/>
            </w:pPr>
            <w:r>
              <w:rPr>
                <w:rFonts w:ascii="宋体" w:hAnsi="宋体" w:eastAsia="宋体"/>
                <w:sz w:val="16"/>
              </w:rPr>
              <w:t>271.73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1D108">
            <w:pPr>
              <w:jc w:val="center"/>
            </w:pPr>
            <w:r>
              <w:rPr>
                <w:rFonts w:ascii="宋体" w:hAnsi="宋体" w:eastAsia="宋体"/>
                <w:sz w:val="16"/>
              </w:rPr>
              <w:t>271.73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8712E">
            <w:pPr>
              <w:jc w:val="center"/>
            </w:pPr>
            <w:r>
              <w:rPr>
                <w:rFonts w:ascii="宋体" w:hAnsi="宋体" w:eastAsia="宋体"/>
                <w:sz w:val="16"/>
              </w:rPr>
              <w:t>271.73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D5A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A12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3A9CC">
            <w:pPr>
              <w:jc w:val="center"/>
            </w:pPr>
            <w:r>
              <w:rPr>
                <w:rFonts w:ascii="宋体" w:hAnsi="宋体" w:eastAsia="宋体"/>
                <w:sz w:val="16"/>
              </w:rPr>
              <w:t>-</w:t>
            </w:r>
          </w:p>
        </w:tc>
      </w:tr>
      <w:tr w14:paraId="21D526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308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AD3A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AFE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D72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5AF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12D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3A8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70CB4">
            <w:pPr>
              <w:jc w:val="center"/>
            </w:pPr>
            <w:r>
              <w:rPr>
                <w:rFonts w:ascii="宋体" w:hAnsi="宋体" w:eastAsia="宋体"/>
                <w:sz w:val="16"/>
              </w:rPr>
              <w:t>-</w:t>
            </w:r>
          </w:p>
        </w:tc>
      </w:tr>
      <w:tr w14:paraId="5B58F4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F94A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5475E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6C0525">
            <w:pPr>
              <w:jc w:val="center"/>
            </w:pPr>
            <w:r>
              <w:rPr>
                <w:rFonts w:ascii="宋体" w:hAnsi="宋体" w:eastAsia="宋体"/>
                <w:sz w:val="16"/>
              </w:rPr>
              <w:t>总体目标完成情况</w:t>
            </w:r>
          </w:p>
        </w:tc>
      </w:tr>
      <w:tr w14:paraId="411327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DA7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00BD4A">
            <w:pPr>
              <w:jc w:val="both"/>
            </w:pPr>
            <w:r>
              <w:rPr>
                <w:rFonts w:ascii="宋体" w:hAnsi="宋体" w:eastAsia="宋体"/>
                <w:sz w:val="16"/>
              </w:rPr>
              <w:t>通过该项目的实施，保障巴音体育馆和巴音游泳馆2个场馆暖气提升改造工程项目设计费和前期工程费的及时支付，确保改造工程的顺利实施，对体育场馆冬季室内温度低、无法满足群众健身和举办体育赛事需求的状况进行明显改善，切实提升体育场馆使用率，更好发挥体育场馆全民健身主阵地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DE08ED">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完成了巴音体育馆和巴音游泳馆2</w:t>
            </w:r>
            <w:r>
              <w:rPr>
                <w:rFonts w:hint="eastAsia" w:ascii="宋体" w:hAnsi="宋体"/>
                <w:sz w:val="16"/>
                <w:lang w:eastAsia="zh-CN"/>
              </w:rPr>
              <w:t>座</w:t>
            </w:r>
            <w:r>
              <w:rPr>
                <w:rFonts w:ascii="宋体" w:hAnsi="宋体" w:eastAsia="宋体"/>
                <w:sz w:val="16"/>
              </w:rPr>
              <w:t>体育场馆暖气提升改造项目的工程设计，并按照设计进行了相应施工。截至2024年年底，项目基本工程已完工并进入测试阶段。通过该项目的执行，巴音体育馆和巴音游泳馆运营环境得到明显改善，冬季体育场馆使用效率显著提升。</w:t>
            </w:r>
          </w:p>
        </w:tc>
      </w:tr>
      <w:tr w14:paraId="690BC9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5860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77A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DD0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3827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988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604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1E8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51E4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585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32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21C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429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5FF1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108D">
            <w:pPr>
              <w:jc w:val="center"/>
            </w:pPr>
            <w:r>
              <w:rPr>
                <w:rFonts w:ascii="宋体" w:hAnsi="宋体" w:eastAsia="宋体"/>
                <w:sz w:val="16"/>
              </w:rPr>
              <w:t>偏差原因分析及改进措施</w:t>
            </w:r>
          </w:p>
        </w:tc>
      </w:tr>
      <w:tr w14:paraId="3C71CD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AC9EB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96429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1FB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6435">
            <w:pPr>
              <w:jc w:val="center"/>
            </w:pPr>
            <w:r>
              <w:rPr>
                <w:rFonts w:ascii="宋体" w:hAnsi="宋体" w:eastAsia="宋体"/>
                <w:sz w:val="16"/>
              </w:rPr>
              <w:t>提升改造体育场馆数量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1D1A">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9AE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91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93B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04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3EA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1C24C">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A0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C01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C164C">
            <w:pPr>
              <w:jc w:val="center"/>
            </w:pPr>
          </w:p>
        </w:tc>
      </w:tr>
      <w:tr w14:paraId="79556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9BC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C16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678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820E">
            <w:pPr>
              <w:jc w:val="center"/>
            </w:pPr>
            <w:r>
              <w:rPr>
                <w:rFonts w:ascii="宋体" w:hAnsi="宋体" w:eastAsia="宋体"/>
                <w:sz w:val="16"/>
              </w:rPr>
              <w:t>体育场馆暖气提升改造项目设计方案数量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9CACE">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D7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948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434C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AD3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008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5996">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936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3A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B4BE4">
            <w:pPr>
              <w:jc w:val="center"/>
            </w:pPr>
          </w:p>
        </w:tc>
      </w:tr>
      <w:tr w14:paraId="40CE3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A67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4EA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E48C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63B6">
            <w:pPr>
              <w:jc w:val="center"/>
            </w:pPr>
            <w:r>
              <w:rPr>
                <w:rFonts w:ascii="宋体" w:hAnsi="宋体" w:eastAsia="宋体"/>
                <w:sz w:val="16"/>
              </w:rPr>
              <w:t>体育场馆暖气提升改造项目设计方案合格率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62A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5A9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F6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3B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C22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34E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409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1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1E6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46DD">
            <w:pPr>
              <w:jc w:val="center"/>
            </w:pPr>
          </w:p>
        </w:tc>
      </w:tr>
      <w:tr w14:paraId="5B07EA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B90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DD4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E338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644C">
            <w:pPr>
              <w:jc w:val="center"/>
            </w:pPr>
            <w:r>
              <w:rPr>
                <w:rFonts w:ascii="宋体" w:hAnsi="宋体" w:eastAsia="宋体"/>
                <w:sz w:val="16"/>
              </w:rPr>
              <w:t>体育场馆暖气提升改造项目资金支付及时率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5DF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95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2A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049E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85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C41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C2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F4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1DD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03772">
            <w:pPr>
              <w:jc w:val="center"/>
            </w:pPr>
          </w:p>
        </w:tc>
      </w:tr>
      <w:tr w14:paraId="6F247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F35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927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F97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D34F">
            <w:pPr>
              <w:jc w:val="center"/>
            </w:pPr>
            <w:r>
              <w:rPr>
                <w:rFonts w:ascii="宋体" w:hAnsi="宋体" w:eastAsia="宋体"/>
                <w:sz w:val="16"/>
              </w:rPr>
              <w:t>体育场馆暖气提升改造项目设计方案完成时间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7C7E">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7C2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B1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15A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473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FD6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6CD3">
            <w:pPr>
              <w:jc w:val="center"/>
            </w:pPr>
            <w:r>
              <w:rPr>
                <w:rFonts w:ascii="宋体" w:hAnsi="宋体" w:eastAsia="宋体"/>
                <w:sz w:val="16"/>
              </w:rPr>
              <w:t>2024年3月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CF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A4C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A42F">
            <w:pPr>
              <w:jc w:val="center"/>
            </w:pPr>
          </w:p>
        </w:tc>
      </w:tr>
      <w:tr w14:paraId="411C2B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1EC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8FFD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D4E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D0CD4">
            <w:pPr>
              <w:jc w:val="center"/>
            </w:pPr>
            <w:r>
              <w:rPr>
                <w:rFonts w:ascii="宋体" w:hAnsi="宋体" w:eastAsia="宋体"/>
                <w:sz w:val="16"/>
              </w:rPr>
              <w:t>体育场馆暖气提升改造项目前期工程费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A3D9D">
            <w:pPr>
              <w:jc w:val="center"/>
            </w:pPr>
            <w:r>
              <w:rPr>
                <w:rFonts w:ascii="宋体" w:hAnsi="宋体" w:eastAsia="宋体"/>
                <w:sz w:val="16"/>
              </w:rPr>
              <w:t>&lt;=266.78万元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F5D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02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206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01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B61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20EB">
            <w:pPr>
              <w:jc w:val="center"/>
            </w:pPr>
            <w:r>
              <w:rPr>
                <w:rFonts w:ascii="宋体" w:hAnsi="宋体" w:eastAsia="宋体"/>
                <w:sz w:val="16"/>
              </w:rPr>
              <w:t>=266.78万元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CF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2AB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EC40B">
            <w:pPr>
              <w:jc w:val="center"/>
            </w:pPr>
          </w:p>
        </w:tc>
      </w:tr>
      <w:tr w14:paraId="478CAA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839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AE6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41C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3F42">
            <w:pPr>
              <w:jc w:val="center"/>
            </w:pPr>
            <w:r>
              <w:rPr>
                <w:rFonts w:ascii="宋体" w:hAnsi="宋体" w:eastAsia="宋体"/>
                <w:sz w:val="16"/>
              </w:rPr>
              <w:t>体育场馆暖气提升改造项目设计费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11045">
            <w:pPr>
              <w:jc w:val="center"/>
            </w:pPr>
            <w:r>
              <w:rPr>
                <w:rFonts w:ascii="宋体" w:hAnsi="宋体" w:eastAsia="宋体"/>
                <w:sz w:val="16"/>
              </w:rPr>
              <w:t>&lt;=4.95万元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4D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7F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EFC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6DF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10D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776A">
            <w:pPr>
              <w:jc w:val="center"/>
            </w:pPr>
            <w:r>
              <w:rPr>
                <w:rFonts w:ascii="宋体" w:hAnsi="宋体" w:eastAsia="宋体"/>
                <w:sz w:val="16"/>
              </w:rPr>
              <w:t>=4.95万元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1B2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CB2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A7E3">
            <w:pPr>
              <w:jc w:val="center"/>
            </w:pPr>
          </w:p>
        </w:tc>
      </w:tr>
      <w:tr w14:paraId="40ED9C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2C3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036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CAAD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49090">
            <w:pPr>
              <w:jc w:val="center"/>
            </w:pPr>
            <w:r>
              <w:rPr>
                <w:rFonts w:ascii="宋体" w:hAnsi="宋体" w:eastAsia="宋体"/>
                <w:sz w:val="16"/>
              </w:rPr>
              <w:t>有效改善体育场馆供暖环境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45CE">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4A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F62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121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C4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4F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C3E3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6CB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67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131C4">
            <w:pPr>
              <w:jc w:val="center"/>
            </w:pPr>
          </w:p>
        </w:tc>
      </w:tr>
      <w:tr w14:paraId="196A6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5DF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54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EB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D7C77">
            <w:pPr>
              <w:jc w:val="center"/>
            </w:pPr>
            <w:r>
              <w:rPr>
                <w:rFonts w:ascii="宋体" w:hAnsi="宋体" w:eastAsia="宋体"/>
                <w:sz w:val="16"/>
              </w:rPr>
              <w:t>健身群众满意度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747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73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EF6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C4B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7C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D5A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FC8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70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A77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B9FA">
            <w:pPr>
              <w:jc w:val="center"/>
            </w:pPr>
          </w:p>
        </w:tc>
      </w:tr>
      <w:tr w14:paraId="1A1BCFB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98515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34A8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1D2E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8B70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727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32FB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9830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482E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7339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1DF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3853F1"/>
        </w:tc>
      </w:tr>
    </w:tbl>
    <w:p w14:paraId="0C049701">
      <w:r>
        <w:br w:type="page"/>
      </w:r>
    </w:p>
    <w:p w14:paraId="6F5A2591">
      <w:pPr>
        <w:spacing w:line="640" w:lineRule="exact"/>
        <w:ind w:firstLine="640"/>
        <w:jc w:val="both"/>
        <w:outlineLvl w:val="2"/>
      </w:pPr>
      <w:r>
        <w:rPr>
          <w:rFonts w:ascii="黑体" w:hAnsi="黑体" w:eastAsia="黑体"/>
          <w:sz w:val="32"/>
        </w:rPr>
        <w:t>十二、其他需说明的事项</w:t>
      </w:r>
    </w:p>
    <w:p w14:paraId="08F6C662">
      <w:pPr>
        <w:spacing w:line="580" w:lineRule="exact"/>
        <w:ind w:firstLine="640"/>
        <w:jc w:val="both"/>
      </w:pPr>
      <w:r>
        <w:rPr>
          <w:rFonts w:ascii="仿宋_GB2312" w:hAnsi="仿宋_GB2312" w:eastAsia="仿宋_GB2312"/>
          <w:b w:val="0"/>
          <w:sz w:val="32"/>
        </w:rPr>
        <w:t>本年度本单位整体绩效自评表由主管部门编报并公开。</w:t>
      </w:r>
    </w:p>
    <w:p w14:paraId="58F0F6E0">
      <w:r>
        <w:br w:type="page"/>
      </w:r>
    </w:p>
    <w:p w14:paraId="4FEBCA35">
      <w:pPr>
        <w:spacing w:line="240" w:lineRule="auto"/>
        <w:jc w:val="center"/>
        <w:outlineLvl w:val="1"/>
      </w:pPr>
      <w:r>
        <w:rPr>
          <w:rFonts w:ascii="黑体" w:hAnsi="黑体" w:eastAsia="黑体"/>
          <w:sz w:val="32"/>
        </w:rPr>
        <w:t>第三部分 专业名词解释</w:t>
      </w:r>
    </w:p>
    <w:p w14:paraId="7570A8D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7AE8B8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83BA42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635151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20399C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FB2CE8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67194D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67B028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34A0C8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2446A4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49FB31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E08307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DD908A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4CAC9A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01B003A">
      <w:r>
        <w:br w:type="page"/>
      </w:r>
    </w:p>
    <w:p w14:paraId="0457123E">
      <w:pPr>
        <w:spacing w:line="240" w:lineRule="auto"/>
        <w:jc w:val="center"/>
        <w:outlineLvl w:val="1"/>
      </w:pPr>
      <w:r>
        <w:rPr>
          <w:rFonts w:ascii="黑体" w:hAnsi="黑体" w:eastAsia="黑体"/>
          <w:sz w:val="32"/>
        </w:rPr>
        <w:t>第四部分 部门决算报表（见附表）</w:t>
      </w:r>
    </w:p>
    <w:p w14:paraId="4FB5FE60">
      <w:pPr>
        <w:spacing w:line="240" w:lineRule="auto"/>
        <w:ind w:firstLine="640"/>
        <w:jc w:val="both"/>
      </w:pPr>
      <w:r>
        <w:rPr>
          <w:rFonts w:ascii="仿宋_GB2312" w:hAnsi="仿宋_GB2312" w:eastAsia="仿宋_GB2312"/>
          <w:b w:val="0"/>
          <w:sz w:val="32"/>
        </w:rPr>
        <w:t>一、《收入支出决算总表》</w:t>
      </w:r>
    </w:p>
    <w:p w14:paraId="4C6B58A2">
      <w:pPr>
        <w:spacing w:line="240" w:lineRule="auto"/>
        <w:ind w:firstLine="640"/>
        <w:jc w:val="both"/>
      </w:pPr>
      <w:r>
        <w:rPr>
          <w:rFonts w:ascii="仿宋_GB2312" w:hAnsi="仿宋_GB2312" w:eastAsia="仿宋_GB2312"/>
          <w:b w:val="0"/>
          <w:sz w:val="32"/>
        </w:rPr>
        <w:t>二、《收入决算表》</w:t>
      </w:r>
    </w:p>
    <w:p w14:paraId="0882A662">
      <w:pPr>
        <w:spacing w:line="240" w:lineRule="auto"/>
        <w:ind w:firstLine="640"/>
        <w:jc w:val="both"/>
      </w:pPr>
      <w:r>
        <w:rPr>
          <w:rFonts w:ascii="仿宋_GB2312" w:hAnsi="仿宋_GB2312" w:eastAsia="仿宋_GB2312"/>
          <w:b w:val="0"/>
          <w:sz w:val="32"/>
        </w:rPr>
        <w:t>三、《支出决算表》</w:t>
      </w:r>
    </w:p>
    <w:p w14:paraId="4C2E6F7E">
      <w:pPr>
        <w:spacing w:line="240" w:lineRule="auto"/>
        <w:ind w:firstLine="640"/>
        <w:jc w:val="both"/>
      </w:pPr>
      <w:r>
        <w:rPr>
          <w:rFonts w:ascii="仿宋_GB2312" w:hAnsi="仿宋_GB2312" w:eastAsia="仿宋_GB2312"/>
          <w:b w:val="0"/>
          <w:sz w:val="32"/>
        </w:rPr>
        <w:t>四、《财政拨款收入支出决算总表》</w:t>
      </w:r>
    </w:p>
    <w:p w14:paraId="4D73FA6F">
      <w:pPr>
        <w:spacing w:line="240" w:lineRule="auto"/>
        <w:ind w:firstLine="640"/>
        <w:jc w:val="both"/>
      </w:pPr>
      <w:r>
        <w:rPr>
          <w:rFonts w:ascii="仿宋_GB2312" w:hAnsi="仿宋_GB2312" w:eastAsia="仿宋_GB2312"/>
          <w:b w:val="0"/>
          <w:sz w:val="32"/>
        </w:rPr>
        <w:t>五、《一般公共预算财政拨款支出决算表》</w:t>
      </w:r>
    </w:p>
    <w:p w14:paraId="25FF35C3">
      <w:pPr>
        <w:spacing w:line="240" w:lineRule="auto"/>
        <w:ind w:firstLine="640"/>
        <w:jc w:val="both"/>
      </w:pPr>
      <w:r>
        <w:rPr>
          <w:rFonts w:ascii="仿宋_GB2312" w:hAnsi="仿宋_GB2312" w:eastAsia="仿宋_GB2312"/>
          <w:b w:val="0"/>
          <w:sz w:val="32"/>
        </w:rPr>
        <w:t>六、《一般公共预算财政拨款基本支出决算表》</w:t>
      </w:r>
    </w:p>
    <w:p w14:paraId="39D303A7">
      <w:pPr>
        <w:spacing w:line="240" w:lineRule="auto"/>
        <w:ind w:firstLine="640"/>
        <w:jc w:val="both"/>
      </w:pPr>
      <w:r>
        <w:rPr>
          <w:rFonts w:ascii="仿宋_GB2312" w:hAnsi="仿宋_GB2312" w:eastAsia="仿宋_GB2312"/>
          <w:b w:val="0"/>
          <w:sz w:val="32"/>
        </w:rPr>
        <w:t>七、《政府性基金预算财政拨款收入支出决算表》</w:t>
      </w:r>
    </w:p>
    <w:p w14:paraId="148BE1B4">
      <w:pPr>
        <w:spacing w:line="240" w:lineRule="auto"/>
        <w:ind w:firstLine="640"/>
        <w:jc w:val="both"/>
      </w:pPr>
      <w:r>
        <w:rPr>
          <w:rFonts w:ascii="仿宋_GB2312" w:hAnsi="仿宋_GB2312" w:eastAsia="仿宋_GB2312"/>
          <w:b w:val="0"/>
          <w:sz w:val="32"/>
        </w:rPr>
        <w:t>八、《国有资本经营预算财政拨款收入支出决算表》</w:t>
      </w:r>
    </w:p>
    <w:p w14:paraId="2F5BE832">
      <w:pPr>
        <w:spacing w:line="240" w:lineRule="auto"/>
        <w:ind w:firstLine="640"/>
        <w:jc w:val="both"/>
      </w:pPr>
      <w:r>
        <w:rPr>
          <w:rFonts w:ascii="仿宋_GB2312" w:hAnsi="仿宋_GB2312" w:eastAsia="仿宋_GB2312"/>
          <w:b w:val="0"/>
          <w:sz w:val="32"/>
        </w:rPr>
        <w:t>九、《财政拨款“三公”经费支出决算表》</w:t>
      </w:r>
    </w:p>
    <w:p w14:paraId="7E592B6A">
      <w:pPr>
        <w:spacing w:line="240" w:lineRule="auto"/>
        <w:ind w:firstLine="640"/>
        <w:jc w:val="both"/>
      </w:pPr>
    </w:p>
    <w:p w14:paraId="7CC15E5B">
      <w:pPr>
        <w:spacing w:line="240" w:lineRule="auto"/>
        <w:ind w:firstLine="640"/>
        <w:jc w:val="both"/>
      </w:pPr>
    </w:p>
    <w:p w14:paraId="2149322F">
      <w:pPr>
        <w:spacing w:line="240" w:lineRule="auto"/>
        <w:ind w:firstLine="640"/>
        <w:jc w:val="both"/>
      </w:pPr>
    </w:p>
    <w:p w14:paraId="6AFD0442">
      <w:pPr>
        <w:spacing w:line="240" w:lineRule="auto"/>
        <w:ind w:firstLine="640"/>
        <w:jc w:val="both"/>
      </w:pPr>
    </w:p>
    <w:p w14:paraId="6B9D9E2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5E261E2-92B0-4DF6-9D65-B069963B59F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0B58FF9-2009-415F-B63D-28185AD31C9F}"/>
  </w:font>
  <w:font w:name="仿宋_GB2312">
    <w:panose1 w:val="02010609030101010101"/>
    <w:charset w:val="86"/>
    <w:family w:val="modern"/>
    <w:pitch w:val="default"/>
    <w:sig w:usb0="00000001" w:usb1="080E0000" w:usb2="00000000" w:usb3="00000000" w:csb0="00040000" w:csb1="00000000"/>
    <w:embedRegular r:id="rId3" w:fontKey="{CC9EB7F6-E6FF-47AB-8409-F549859535AE}"/>
  </w:font>
  <w:font w:name="楷体_GB2312">
    <w:panose1 w:val="02010609030101010101"/>
    <w:charset w:val="86"/>
    <w:family w:val="auto"/>
    <w:pitch w:val="default"/>
    <w:sig w:usb0="00000001" w:usb1="080E0000" w:usb2="00000000" w:usb3="00000000" w:csb0="00040000" w:csb1="00000000"/>
    <w:embedRegular r:id="rId4" w:fontKey="{5802EDBE-7BA4-44DB-9306-5AB9A4E7538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4223F5"/>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B16694"/>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4462</Words>
  <Characters>5075</Characters>
  <Lines>0</Lines>
  <Paragraphs>0</Paragraphs>
  <TotalTime>2</TotalTime>
  <ScaleCrop>false</ScaleCrop>
  <LinksUpToDate>false</LinksUpToDate>
  <CharactersWithSpaces>5083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2025-09-11T11:46:38Z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