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巴州开放大学2024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4F9FF3">
      <w:r>
        <w:br w:type="page"/>
      </w:r>
    </w:p>
    <w:p w14:paraId="589CDD60">
      <w:pPr>
        <w:spacing w:line="640" w:lineRule="exact"/>
        <w:jc w:val="center"/>
        <w:outlineLvl w:val="1"/>
      </w:pPr>
      <w:r>
        <w:rPr>
          <w:rFonts w:ascii="黑体" w:hAnsi="黑体" w:eastAsia="黑体"/>
          <w:sz w:val="32"/>
        </w:rPr>
        <w:t>第一部分 单位概况</w:t>
      </w:r>
    </w:p>
    <w:p w14:paraId="4AA2D9C9">
      <w:pPr>
        <w:spacing w:line="640" w:lineRule="exact"/>
        <w:ind w:firstLine="640"/>
        <w:jc w:val="both"/>
        <w:outlineLvl w:val="2"/>
      </w:pPr>
      <w:r>
        <w:rPr>
          <w:rFonts w:ascii="黑体" w:hAnsi="黑体" w:eastAsia="黑体"/>
          <w:sz w:val="32"/>
        </w:rPr>
        <w:t>一、主要职能</w:t>
      </w:r>
    </w:p>
    <w:p w14:paraId="0E0C6C12">
      <w:pPr>
        <w:spacing w:line="580" w:lineRule="exact"/>
        <w:ind w:firstLine="640"/>
        <w:jc w:val="both"/>
      </w:pPr>
      <w:r>
        <w:rPr>
          <w:rFonts w:ascii="仿宋_GB2312" w:hAnsi="仿宋_GB2312" w:eastAsia="仿宋_GB2312"/>
          <w:sz w:val="32"/>
        </w:rPr>
        <w:t>巴州开放大学是</w:t>
      </w:r>
      <w:r>
        <w:rPr>
          <w:rFonts w:hint="eastAsia" w:ascii="仿宋_GB2312" w:hAnsi="仿宋_GB2312" w:eastAsia="仿宋_GB2312"/>
          <w:sz w:val="32"/>
          <w:lang w:eastAsia="zh-CN"/>
        </w:rPr>
        <w:t>巴音郭楞蒙古自治州</w:t>
      </w:r>
      <w:r>
        <w:rPr>
          <w:rFonts w:ascii="仿宋_GB2312" w:hAnsi="仿宋_GB2312" w:eastAsia="仿宋_GB2312"/>
          <w:sz w:val="32"/>
        </w:rPr>
        <w:t>人民政府的职能部门之一。其主要工作职责是履行国家赋予的教育管理职能，正确贯彻执行国家的有关教育事业管理法律法规和方针、政策，履行法定管理职能。</w:t>
      </w:r>
    </w:p>
    <w:p w14:paraId="18389D6A">
      <w:pPr>
        <w:spacing w:line="580" w:lineRule="exact"/>
        <w:ind w:firstLine="640"/>
        <w:jc w:val="both"/>
      </w:pPr>
      <w:r>
        <w:rPr>
          <w:rFonts w:ascii="仿宋_GB2312" w:hAnsi="仿宋_GB2312" w:eastAsia="仿宋_GB2312"/>
          <w:sz w:val="32"/>
        </w:rPr>
        <w:t>巴州开放大学于1988年独立建制,隶属</w:t>
      </w:r>
      <w:r>
        <w:rPr>
          <w:rFonts w:hint="eastAsia" w:ascii="仿宋_GB2312" w:hAnsi="仿宋_GB2312" w:eastAsia="仿宋_GB2312"/>
          <w:sz w:val="32"/>
          <w:lang w:eastAsia="zh-CN"/>
        </w:rPr>
        <w:t>巴音郭楞蒙古自治州</w:t>
      </w:r>
      <w:r>
        <w:rPr>
          <w:rFonts w:ascii="仿宋_GB2312" w:hAnsi="仿宋_GB2312" w:eastAsia="仿宋_GB2312"/>
          <w:sz w:val="32"/>
        </w:rPr>
        <w:t>教育局管理，主要通过网络教学与面授相结合的形式为社会成员提供函授等高等学历教育服务及相关专业培训和学术交流。</w:t>
      </w:r>
    </w:p>
    <w:p w14:paraId="744BF088">
      <w:pPr>
        <w:spacing w:line="640" w:lineRule="exact"/>
        <w:ind w:firstLine="640"/>
        <w:jc w:val="both"/>
        <w:outlineLvl w:val="2"/>
      </w:pPr>
      <w:r>
        <w:rPr>
          <w:rFonts w:ascii="黑体" w:hAnsi="黑体" w:eastAsia="黑体"/>
          <w:sz w:val="32"/>
        </w:rPr>
        <w:t>二、机构设置及人员情况</w:t>
      </w:r>
    </w:p>
    <w:p w14:paraId="141C546E">
      <w:pPr>
        <w:spacing w:line="580" w:lineRule="exact"/>
        <w:ind w:firstLine="640"/>
        <w:jc w:val="both"/>
      </w:pPr>
      <w:r>
        <w:rPr>
          <w:rFonts w:ascii="仿宋_GB2312" w:hAnsi="仿宋_GB2312" w:eastAsia="仿宋_GB2312"/>
          <w:sz w:val="32"/>
        </w:rPr>
        <w:t>巴州开放大学2024年度，实有人数61人，其中：在职人员39人，减少1人；离休人员0人，增加0人；退休人员22人,增加2人。</w:t>
      </w:r>
    </w:p>
    <w:p w14:paraId="6C664699">
      <w:pPr>
        <w:spacing w:line="580" w:lineRule="exact"/>
        <w:ind w:firstLine="640"/>
        <w:jc w:val="both"/>
      </w:pPr>
      <w:r>
        <w:rPr>
          <w:rFonts w:ascii="仿宋_GB2312" w:hAnsi="仿宋_GB2312" w:eastAsia="仿宋_GB2312"/>
          <w:sz w:val="32"/>
        </w:rPr>
        <w:t>巴州开放大学无下属预算单位，下设8个科室，分别是：党政办公室、纪检监察室、教务处、学生处、社区教育处、信息</w:t>
      </w:r>
      <w:r>
        <w:rPr>
          <w:rFonts w:hint="eastAsia" w:ascii="仿宋_GB2312" w:hAnsi="仿宋_GB2312" w:eastAsia="仿宋_GB2312"/>
          <w:sz w:val="32"/>
          <w:lang w:eastAsia="zh-CN"/>
        </w:rPr>
        <w:t>中心</w:t>
      </w:r>
      <w:r>
        <w:rPr>
          <w:rFonts w:ascii="仿宋_GB2312" w:hAnsi="仿宋_GB2312" w:eastAsia="仿宋_GB2312"/>
          <w:sz w:val="32"/>
        </w:rPr>
        <w:t>处、思政工作处、科研督导室。</w:t>
      </w:r>
    </w:p>
    <w:p w14:paraId="49C84FBE">
      <w:r>
        <w:br w:type="page"/>
      </w:r>
    </w:p>
    <w:p w14:paraId="799437DF">
      <w:pPr>
        <w:spacing w:line="240" w:lineRule="auto"/>
        <w:jc w:val="center"/>
        <w:outlineLvl w:val="1"/>
      </w:pPr>
      <w:r>
        <w:rPr>
          <w:rFonts w:ascii="黑体" w:hAnsi="黑体" w:eastAsia="黑体"/>
          <w:sz w:val="32"/>
        </w:rPr>
        <w:t>第二部分 部门决算情况说明</w:t>
      </w:r>
    </w:p>
    <w:p w14:paraId="0F27D410">
      <w:pPr>
        <w:spacing w:line="640" w:lineRule="exact"/>
        <w:ind w:firstLine="640"/>
        <w:jc w:val="both"/>
        <w:outlineLvl w:val="2"/>
      </w:pPr>
      <w:r>
        <w:rPr>
          <w:rFonts w:ascii="黑体" w:hAnsi="黑体" w:eastAsia="黑体"/>
          <w:sz w:val="32"/>
        </w:rPr>
        <w:t>一、收入支出决算总体情况说明</w:t>
      </w:r>
    </w:p>
    <w:p w14:paraId="3DEE96CB">
      <w:pPr>
        <w:spacing w:line="580" w:lineRule="exact"/>
        <w:ind w:firstLine="640"/>
        <w:jc w:val="both"/>
      </w:pPr>
      <w:r>
        <w:rPr>
          <w:rFonts w:ascii="仿宋_GB2312" w:hAnsi="仿宋_GB2312" w:eastAsia="仿宋_GB2312"/>
          <w:b/>
          <w:sz w:val="32"/>
        </w:rPr>
        <w:t>2024年度收入总计1,039.74万元，</w:t>
      </w:r>
      <w:r>
        <w:rPr>
          <w:rFonts w:ascii="仿宋_GB2312" w:hAnsi="仿宋_GB2312" w:eastAsia="仿宋_GB2312"/>
          <w:b w:val="0"/>
          <w:sz w:val="32"/>
        </w:rPr>
        <w:t>其中：本年收入合计1,039.01万元，使用非财政拨款结余（含专用结余）0.00万元，年初结转和结余0.74万元。</w:t>
      </w:r>
    </w:p>
    <w:p w14:paraId="1668970F">
      <w:pPr>
        <w:spacing w:line="580" w:lineRule="exact"/>
        <w:ind w:firstLine="640"/>
        <w:jc w:val="both"/>
      </w:pPr>
      <w:r>
        <w:rPr>
          <w:rFonts w:ascii="仿宋_GB2312" w:hAnsi="仿宋_GB2312" w:eastAsia="仿宋_GB2312"/>
          <w:b/>
          <w:sz w:val="32"/>
        </w:rPr>
        <w:t>2024年度支出总计1,039.74万元，</w:t>
      </w:r>
      <w:r>
        <w:rPr>
          <w:rFonts w:ascii="仿宋_GB2312" w:hAnsi="仿宋_GB2312" w:eastAsia="仿宋_GB2312"/>
          <w:b w:val="0"/>
          <w:sz w:val="32"/>
        </w:rPr>
        <w:t>其中：本年支出合计1,037.92万元，结余分配0.00万元，年末结转和结余1.83万元。</w:t>
      </w:r>
    </w:p>
    <w:p w14:paraId="0318E648">
      <w:pPr>
        <w:spacing w:line="580" w:lineRule="exact"/>
        <w:ind w:firstLine="640"/>
        <w:jc w:val="both"/>
      </w:pPr>
      <w:r>
        <w:rPr>
          <w:rFonts w:ascii="仿宋_GB2312" w:hAnsi="仿宋_GB2312" w:eastAsia="仿宋_GB2312"/>
          <w:b w:val="0"/>
          <w:sz w:val="32"/>
        </w:rPr>
        <w:t>收入支出总体与上年相比，增加26.64万元，增长2.63%，主要原因是：本年在职人员工资调增，社保、公积金基数调增，人员经费增加；本年增加为民办实事工作经费。</w:t>
      </w:r>
    </w:p>
    <w:p w14:paraId="57AEC56E">
      <w:pPr>
        <w:spacing w:line="640" w:lineRule="exact"/>
        <w:ind w:firstLine="640"/>
        <w:jc w:val="both"/>
        <w:outlineLvl w:val="2"/>
      </w:pPr>
      <w:r>
        <w:rPr>
          <w:rFonts w:ascii="黑体" w:hAnsi="黑体" w:eastAsia="黑体"/>
          <w:sz w:val="32"/>
        </w:rPr>
        <w:t>二、收入决算情况说明</w:t>
      </w:r>
    </w:p>
    <w:p w14:paraId="55BCF7BC">
      <w:pPr>
        <w:spacing w:line="580" w:lineRule="exact"/>
        <w:ind w:firstLine="640"/>
        <w:jc w:val="both"/>
      </w:pPr>
      <w:r>
        <w:rPr>
          <w:rFonts w:ascii="仿宋_GB2312" w:hAnsi="仿宋_GB2312" w:eastAsia="仿宋_GB2312"/>
          <w:b/>
          <w:sz w:val="32"/>
        </w:rPr>
        <w:t>本年收入1,039.01万元，</w:t>
      </w:r>
      <w:r>
        <w:rPr>
          <w:rFonts w:ascii="仿宋_GB2312" w:hAnsi="仿宋_GB2312" w:eastAsia="仿宋_GB2312"/>
          <w:b w:val="0"/>
          <w:sz w:val="32"/>
        </w:rPr>
        <w:t>其中：财政拨款收入1,037.92万元，占99.90%；上级补助收入0.00万元，占0.00%；事业收入0.00万元，占0.00%；经营收入0.00万元，占0.00%；附属单位上缴收入0.00万元，占0.00%；其他收入1.09万元，占0.10%。</w:t>
      </w:r>
    </w:p>
    <w:p w14:paraId="2F9547BD">
      <w:pPr>
        <w:spacing w:line="640" w:lineRule="exact"/>
        <w:ind w:firstLine="640"/>
        <w:jc w:val="both"/>
        <w:outlineLvl w:val="2"/>
      </w:pPr>
      <w:r>
        <w:rPr>
          <w:rFonts w:ascii="黑体" w:hAnsi="黑体" w:eastAsia="黑体"/>
          <w:sz w:val="32"/>
        </w:rPr>
        <w:t>三、支出决算情况说明</w:t>
      </w:r>
    </w:p>
    <w:p w14:paraId="72EFF5E4">
      <w:pPr>
        <w:spacing w:line="580" w:lineRule="exact"/>
        <w:ind w:firstLine="640"/>
        <w:jc w:val="both"/>
      </w:pPr>
      <w:r>
        <w:rPr>
          <w:rFonts w:ascii="仿宋_GB2312" w:hAnsi="仿宋_GB2312" w:eastAsia="仿宋_GB2312"/>
          <w:b/>
          <w:sz w:val="32"/>
        </w:rPr>
        <w:t>本年支出1,037.92万元，</w:t>
      </w:r>
      <w:r>
        <w:rPr>
          <w:rFonts w:ascii="仿宋_GB2312" w:hAnsi="仿宋_GB2312" w:eastAsia="仿宋_GB2312"/>
          <w:b w:val="0"/>
          <w:sz w:val="32"/>
        </w:rPr>
        <w:t>其中：基本支出1,020.92万元，占98.36%；项目支出17.00万元，占1.64%；上缴上级支出0.00万元，占0.00%；经营支出0.00万元，占0.00%；对附属单位补助支出0.00万元，占0.00%。</w:t>
      </w:r>
    </w:p>
    <w:p w14:paraId="5C5D764C">
      <w:pPr>
        <w:spacing w:line="640" w:lineRule="exact"/>
        <w:ind w:firstLine="640"/>
        <w:jc w:val="both"/>
        <w:outlineLvl w:val="2"/>
      </w:pPr>
      <w:r>
        <w:rPr>
          <w:rFonts w:ascii="黑体" w:hAnsi="黑体" w:eastAsia="黑体"/>
          <w:sz w:val="32"/>
        </w:rPr>
        <w:t>四、财政拨款收入支出决算总体情况说明</w:t>
      </w:r>
    </w:p>
    <w:p w14:paraId="3C3B7FDD">
      <w:pPr>
        <w:spacing w:line="580" w:lineRule="exact"/>
        <w:ind w:firstLine="640"/>
        <w:jc w:val="both"/>
      </w:pPr>
      <w:r>
        <w:rPr>
          <w:rFonts w:ascii="仿宋_GB2312" w:hAnsi="仿宋_GB2312" w:eastAsia="仿宋_GB2312"/>
          <w:b/>
          <w:sz w:val="32"/>
        </w:rPr>
        <w:t>2024年度财政拨款收入总计1,037.92万元，</w:t>
      </w:r>
      <w:r>
        <w:rPr>
          <w:rFonts w:ascii="仿宋_GB2312" w:hAnsi="仿宋_GB2312" w:eastAsia="仿宋_GB2312"/>
          <w:b w:val="0"/>
          <w:sz w:val="32"/>
        </w:rPr>
        <w:t>其中：年初财政拨款结转和结余0.00万元，本年财政拨款收入1,037.92万元。</w:t>
      </w:r>
      <w:r>
        <w:rPr>
          <w:rFonts w:ascii="仿宋_GB2312" w:hAnsi="仿宋_GB2312" w:eastAsia="仿宋_GB2312"/>
          <w:b/>
          <w:sz w:val="32"/>
        </w:rPr>
        <w:t>财政拨款支出总计1,037.92万元，</w:t>
      </w:r>
      <w:r>
        <w:rPr>
          <w:rFonts w:ascii="仿宋_GB2312" w:hAnsi="仿宋_GB2312" w:eastAsia="仿宋_GB2312"/>
          <w:b w:val="0"/>
          <w:sz w:val="32"/>
        </w:rPr>
        <w:t>其中：年末财政拨款结转和结余0.00万元，本年财政拨款支出1,037.92万元。</w:t>
      </w:r>
    </w:p>
    <w:p w14:paraId="5422C64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增加25.57万元，增长2.53%，主要原因是：本年在职人员工资调增，社保、公积金基数调增，人员经费增加；本年增加为民办实事工作经费。</w:t>
      </w:r>
      <w:r>
        <w:rPr>
          <w:rFonts w:ascii="仿宋_GB2312" w:hAnsi="仿宋_GB2312" w:eastAsia="仿宋_GB2312"/>
          <w:b/>
          <w:sz w:val="32"/>
        </w:rPr>
        <w:t>与年初预算相比，</w:t>
      </w:r>
      <w:r>
        <w:rPr>
          <w:rFonts w:ascii="仿宋_GB2312" w:hAnsi="仿宋_GB2312" w:eastAsia="仿宋_GB2312"/>
          <w:b w:val="0"/>
          <w:sz w:val="32"/>
        </w:rPr>
        <w:t>年初预算数1,095.16万元，决算数1,037.92万元，预决算差异率-5.23%，主要原因是：本年度在校生人数</w:t>
      </w:r>
      <w:r>
        <w:rPr>
          <w:rFonts w:hint="eastAsia" w:ascii="仿宋_GB2312" w:hAnsi="仿宋_GB2312" w:eastAsia="仿宋_GB2312"/>
          <w:b w:val="0"/>
          <w:sz w:val="32"/>
          <w:lang w:val="en-US" w:eastAsia="zh-CN"/>
        </w:rPr>
        <w:t>及在职人员</w:t>
      </w:r>
      <w:r>
        <w:rPr>
          <w:rFonts w:ascii="仿宋_GB2312" w:hAnsi="仿宋_GB2312" w:eastAsia="仿宋_GB2312"/>
          <w:b w:val="0"/>
          <w:sz w:val="32"/>
        </w:rPr>
        <w:t>减少，年中调减学生</w:t>
      </w:r>
      <w:r>
        <w:rPr>
          <w:rFonts w:hint="eastAsia" w:ascii="仿宋_GB2312" w:hAnsi="仿宋_GB2312" w:eastAsia="仿宋_GB2312"/>
          <w:b w:val="0"/>
          <w:sz w:val="32"/>
          <w:lang w:val="en-US" w:eastAsia="zh-CN"/>
        </w:rPr>
        <w:t>公用经费及人员经费</w:t>
      </w:r>
      <w:r>
        <w:rPr>
          <w:rFonts w:ascii="仿宋_GB2312" w:hAnsi="仿宋_GB2312" w:eastAsia="仿宋_GB2312"/>
          <w:b w:val="0"/>
          <w:sz w:val="32"/>
        </w:rPr>
        <w:t>，导致预决算存在差异。</w:t>
      </w:r>
    </w:p>
    <w:p w14:paraId="02DE761C">
      <w:pPr>
        <w:spacing w:line="640" w:lineRule="exact"/>
        <w:ind w:firstLine="640"/>
        <w:jc w:val="both"/>
        <w:outlineLvl w:val="2"/>
      </w:pPr>
      <w:r>
        <w:rPr>
          <w:rFonts w:ascii="黑体" w:hAnsi="黑体" w:eastAsia="黑体"/>
          <w:sz w:val="32"/>
        </w:rPr>
        <w:t>五、一般公共预算财政拨款支出决算情况说明</w:t>
      </w:r>
    </w:p>
    <w:p w14:paraId="1CCED98D">
      <w:pPr>
        <w:spacing w:line="640" w:lineRule="exact"/>
        <w:ind w:firstLine="640"/>
        <w:jc w:val="both"/>
        <w:outlineLvl w:val="3"/>
      </w:pPr>
      <w:r>
        <w:rPr>
          <w:rFonts w:ascii="楷体_GB2312" w:hAnsi="楷体_GB2312" w:eastAsia="楷体_GB2312"/>
          <w:b/>
          <w:sz w:val="32"/>
        </w:rPr>
        <w:t>（一）一般公共预算财政拨款支出决算总体情况</w:t>
      </w:r>
    </w:p>
    <w:p w14:paraId="4B117A60">
      <w:pPr>
        <w:spacing w:line="580" w:lineRule="exact"/>
        <w:ind w:firstLine="640"/>
        <w:jc w:val="both"/>
      </w:pPr>
      <w:r>
        <w:rPr>
          <w:rFonts w:ascii="仿宋_GB2312" w:hAnsi="仿宋_GB2312" w:eastAsia="仿宋_GB2312"/>
          <w:b/>
          <w:sz w:val="32"/>
        </w:rPr>
        <w:t>2024年度一般公共预算财政拨款支出1,037.92万元，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增加25.57万元，增长2.53%，主要原因是：本年在职人员工资调增，社保、公积金基数调增，人员经费增加；本年增加为民办实事工作经费。</w:t>
      </w:r>
      <w:r>
        <w:rPr>
          <w:rFonts w:ascii="仿宋_GB2312" w:hAnsi="仿宋_GB2312" w:eastAsia="仿宋_GB2312"/>
          <w:b/>
          <w:sz w:val="32"/>
        </w:rPr>
        <w:t>与年初预算相比,</w:t>
      </w:r>
      <w:r>
        <w:rPr>
          <w:rFonts w:ascii="仿宋_GB2312" w:hAnsi="仿宋_GB2312" w:eastAsia="仿宋_GB2312"/>
          <w:b w:val="0"/>
          <w:sz w:val="32"/>
        </w:rPr>
        <w:t>年初预算数1,095.16万元，决算数1,037.92万元，预决算差异率-5.23%，主要原因是：本年度在校生人数</w:t>
      </w:r>
      <w:r>
        <w:rPr>
          <w:rFonts w:hint="eastAsia" w:ascii="仿宋_GB2312" w:hAnsi="仿宋_GB2312" w:eastAsia="仿宋_GB2312"/>
          <w:b w:val="0"/>
          <w:sz w:val="32"/>
          <w:lang w:val="en-US" w:eastAsia="zh-CN"/>
        </w:rPr>
        <w:t>及在职人员</w:t>
      </w:r>
      <w:r>
        <w:rPr>
          <w:rFonts w:ascii="仿宋_GB2312" w:hAnsi="仿宋_GB2312" w:eastAsia="仿宋_GB2312"/>
          <w:b w:val="0"/>
          <w:sz w:val="32"/>
        </w:rPr>
        <w:t>减少，年中调减学生</w:t>
      </w:r>
      <w:r>
        <w:rPr>
          <w:rFonts w:hint="eastAsia" w:ascii="仿宋_GB2312" w:hAnsi="仿宋_GB2312" w:eastAsia="仿宋_GB2312"/>
          <w:b w:val="0"/>
          <w:sz w:val="32"/>
          <w:lang w:val="en-US" w:eastAsia="zh-CN"/>
        </w:rPr>
        <w:t>公用经费及人员经费</w:t>
      </w:r>
      <w:r>
        <w:rPr>
          <w:rFonts w:ascii="仿宋_GB2312" w:hAnsi="仿宋_GB2312" w:eastAsia="仿宋_GB2312"/>
          <w:b w:val="0"/>
          <w:sz w:val="32"/>
        </w:rPr>
        <w:t>，导致预决算存在差异。</w:t>
      </w:r>
    </w:p>
    <w:p w14:paraId="4B17D554">
      <w:pPr>
        <w:spacing w:line="640" w:lineRule="exact"/>
        <w:ind w:firstLine="640"/>
        <w:jc w:val="both"/>
        <w:outlineLvl w:val="3"/>
      </w:pPr>
      <w:r>
        <w:rPr>
          <w:rFonts w:ascii="楷体_GB2312" w:hAnsi="楷体_GB2312" w:eastAsia="楷体_GB2312"/>
          <w:b/>
          <w:sz w:val="32"/>
        </w:rPr>
        <w:t>（二）一般公共预算财政拨款支出决算结构情况</w:t>
      </w:r>
    </w:p>
    <w:p w14:paraId="487D2E72">
      <w:pPr>
        <w:spacing w:line="580" w:lineRule="exact"/>
        <w:ind w:firstLine="640"/>
        <w:jc w:val="both"/>
      </w:pPr>
      <w:r>
        <w:rPr>
          <w:rFonts w:ascii="仿宋_GB2312" w:hAnsi="仿宋_GB2312" w:eastAsia="仿宋_GB2312"/>
          <w:b w:val="0"/>
          <w:sz w:val="32"/>
        </w:rPr>
        <w:t>1.教育支出(类)855.00万元,占82.38%。</w:t>
      </w:r>
    </w:p>
    <w:p w14:paraId="0413C567">
      <w:pPr>
        <w:spacing w:line="580" w:lineRule="exact"/>
        <w:ind w:firstLine="640"/>
        <w:jc w:val="both"/>
      </w:pPr>
      <w:r>
        <w:rPr>
          <w:rFonts w:ascii="仿宋_GB2312" w:hAnsi="仿宋_GB2312" w:eastAsia="仿宋_GB2312"/>
          <w:b w:val="0"/>
          <w:sz w:val="32"/>
        </w:rPr>
        <w:t>2.社会保障和就业支出(类)88.98万元,占8.57%。</w:t>
      </w:r>
    </w:p>
    <w:p w14:paraId="19E0A2A4">
      <w:pPr>
        <w:spacing w:line="580" w:lineRule="exact"/>
        <w:ind w:firstLine="640"/>
        <w:jc w:val="both"/>
      </w:pPr>
      <w:r>
        <w:rPr>
          <w:rFonts w:ascii="仿宋_GB2312" w:hAnsi="仿宋_GB2312" w:eastAsia="仿宋_GB2312"/>
          <w:b w:val="0"/>
          <w:sz w:val="32"/>
        </w:rPr>
        <w:t>3.卫生健康支出(类)34.62万元,占3.34%。</w:t>
      </w:r>
    </w:p>
    <w:p w14:paraId="5A921711">
      <w:pPr>
        <w:spacing w:line="580" w:lineRule="exact"/>
        <w:ind w:firstLine="640"/>
        <w:jc w:val="both"/>
      </w:pPr>
      <w:r>
        <w:rPr>
          <w:rFonts w:ascii="仿宋_GB2312" w:hAnsi="仿宋_GB2312" w:eastAsia="仿宋_GB2312"/>
          <w:b w:val="0"/>
          <w:sz w:val="32"/>
        </w:rPr>
        <w:t>4.住房保障支出(类)59.32万元,占5.72%。</w:t>
      </w:r>
    </w:p>
    <w:p w14:paraId="6FD680A4">
      <w:pPr>
        <w:spacing w:line="640" w:lineRule="exact"/>
        <w:ind w:firstLine="640"/>
        <w:jc w:val="both"/>
        <w:outlineLvl w:val="3"/>
      </w:pPr>
      <w:r>
        <w:rPr>
          <w:rFonts w:ascii="楷体_GB2312" w:hAnsi="楷体_GB2312" w:eastAsia="楷体_GB2312"/>
          <w:b/>
          <w:sz w:val="32"/>
        </w:rPr>
        <w:t>（三）一般公共预算财政拨款支出决算具体情况</w:t>
      </w:r>
    </w:p>
    <w:p w14:paraId="0F77813D">
      <w:pPr>
        <w:spacing w:line="580" w:lineRule="exact"/>
        <w:ind w:firstLine="640"/>
        <w:jc w:val="both"/>
      </w:pPr>
      <w:r>
        <w:rPr>
          <w:rFonts w:ascii="仿宋_GB2312" w:hAnsi="仿宋_GB2312" w:eastAsia="仿宋_GB2312"/>
          <w:b w:val="0"/>
          <w:sz w:val="32"/>
        </w:rPr>
        <w:t>1.教育支出(类)广播电视教育(款)广播电视学校(项):支出决算数为855.00万元，比上年决算增加25.01万元，增长3.01%,主要原因是：本年在职人员工资调增，导致相关人员经费较上年有所增加；本年功能科目调整，退休人员职业年金缴费上年</w:t>
      </w:r>
      <w:r>
        <w:rPr>
          <w:rFonts w:hint="eastAsia" w:ascii="仿宋_GB2312" w:hAnsi="仿宋_GB2312" w:eastAsia="仿宋_GB2312"/>
          <w:b w:val="0"/>
          <w:sz w:val="32"/>
          <w:lang w:val="en-US" w:eastAsia="zh-CN"/>
        </w:rPr>
        <w:t>单独</w:t>
      </w:r>
      <w:r>
        <w:rPr>
          <w:rFonts w:ascii="仿宋_GB2312" w:hAnsi="仿宋_GB2312" w:eastAsia="仿宋_GB2312"/>
          <w:b w:val="0"/>
          <w:sz w:val="32"/>
        </w:rPr>
        <w:t>列支，本年在广播电视学校科目列支，导致经费增加。</w:t>
      </w:r>
    </w:p>
    <w:p w14:paraId="444A08BE">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4.59万元，比上年决算增加4.59万元，增长100.00%,主要原因是：本年功能科目调整，事业单位离退休上年度在广播电视学校科目列支，本年单独列支，导致经费较上年增加。</w:t>
      </w:r>
    </w:p>
    <w:p w14:paraId="0B90409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76.28万元，比上年决算增加4.07万元，增长5.64%,主要原因是：本年在职人员工资基数调增，养老缴费基数上涨，相应支出增加。</w:t>
      </w:r>
    </w:p>
    <w:p w14:paraId="27400DF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4.社会保障和就业支出(类)行政事业单位养老支出(款)机关事业单位职业年金缴费支出(项):支出决算数为0.00万元，比上年决算减少15.47万元，下降100.00%,主要原因是：本年功能科目调整，退休人员职业年金缴费上年</w:t>
      </w:r>
      <w:r>
        <w:rPr>
          <w:rFonts w:hint="eastAsia" w:ascii="仿宋_GB2312" w:hAnsi="仿宋_GB2312" w:eastAsia="仿宋_GB2312"/>
          <w:b w:val="0"/>
          <w:sz w:val="32"/>
          <w:lang w:val="en-US" w:eastAsia="zh-CN"/>
        </w:rPr>
        <w:t>单独</w:t>
      </w:r>
      <w:r>
        <w:rPr>
          <w:rFonts w:ascii="仿宋_GB2312" w:hAnsi="仿宋_GB2312" w:eastAsia="仿宋_GB2312"/>
          <w:b w:val="0"/>
          <w:sz w:val="32"/>
        </w:rPr>
        <w:t>列支，本年在广播电视学校科目列支，导致经费减少。</w:t>
      </w:r>
    </w:p>
    <w:p w14:paraId="4DF31DD7">
      <w:pPr>
        <w:spacing w:line="580" w:lineRule="exact"/>
        <w:ind w:firstLine="640"/>
        <w:jc w:val="both"/>
      </w:pPr>
      <w:r>
        <w:rPr>
          <w:rFonts w:ascii="仿宋_GB2312" w:hAnsi="仿宋_GB2312" w:eastAsia="仿宋_GB2312"/>
          <w:b w:val="0"/>
          <w:sz w:val="32"/>
        </w:rPr>
        <w:t>5.社会保障和就业支出(类)其他社会保障和就业支出(款)其他社会保障和就业支出(项):支出决算数为8.11万元，比上年决算减少0.15万元，下降1.82%,主要原因是：本年在职人员减少，失</w:t>
      </w:r>
      <w:r>
        <w:rPr>
          <w:rFonts w:hint="eastAsia" w:ascii="仿宋_GB2312" w:hAnsi="仿宋_GB2312" w:eastAsia="仿宋_GB2312"/>
          <w:b w:val="0"/>
          <w:sz w:val="32"/>
          <w:lang w:eastAsia="zh-CN"/>
        </w:rPr>
        <w:t>业保</w:t>
      </w:r>
      <w:r>
        <w:rPr>
          <w:rFonts w:ascii="仿宋_GB2312" w:hAnsi="仿宋_GB2312" w:eastAsia="仿宋_GB2312"/>
          <w:b w:val="0"/>
          <w:sz w:val="32"/>
        </w:rPr>
        <w:t>险和工</w:t>
      </w:r>
      <w:r>
        <w:rPr>
          <w:rFonts w:hint="eastAsia" w:ascii="仿宋_GB2312" w:hAnsi="仿宋_GB2312" w:eastAsia="仿宋_GB2312"/>
          <w:b w:val="0"/>
          <w:sz w:val="32"/>
          <w:lang w:eastAsia="zh-CN"/>
        </w:rPr>
        <w:t>伤保</w:t>
      </w:r>
      <w:r>
        <w:rPr>
          <w:rFonts w:ascii="仿宋_GB2312" w:hAnsi="仿宋_GB2312" w:eastAsia="仿宋_GB2312"/>
          <w:b w:val="0"/>
          <w:sz w:val="32"/>
        </w:rPr>
        <w:t>险等缴费较上年减少。</w:t>
      </w:r>
    </w:p>
    <w:p w14:paraId="3064F69D">
      <w:pPr>
        <w:spacing w:line="580" w:lineRule="exact"/>
        <w:ind w:firstLine="640"/>
        <w:jc w:val="both"/>
      </w:pPr>
      <w:r>
        <w:rPr>
          <w:rFonts w:ascii="仿宋_GB2312" w:hAnsi="仿宋_GB2312" w:eastAsia="仿宋_GB2312"/>
          <w:b w:val="0"/>
          <w:sz w:val="32"/>
        </w:rPr>
        <w:t>6.卫生健康支出(类)行政事业单位医疗(款)事业单位医疗(项):支出决算数为34.62万元，比上年决算增加1.33万元，增长4.00%,主要原因是：本年在职人员工资基数调增，医疗缴费基数上涨，相应支出增加。</w:t>
      </w:r>
    </w:p>
    <w:p w14:paraId="4C8E1DEE">
      <w:pPr>
        <w:spacing w:line="580" w:lineRule="exact"/>
        <w:ind w:firstLine="640"/>
        <w:jc w:val="both"/>
      </w:pPr>
      <w:r>
        <w:rPr>
          <w:rFonts w:ascii="仿宋_GB2312" w:hAnsi="仿宋_GB2312" w:eastAsia="仿宋_GB2312"/>
          <w:b w:val="0"/>
          <w:sz w:val="32"/>
        </w:rPr>
        <w:t>7.住房保障支出(类)住房改革支出(款)住房公积金(项):支出决算数为59.32万元，比上年决算增加6.20万元，增长11.67%,主要原因是：本年在职人员工资基数调增，公积金缴费基数上涨，相应支出增加。</w:t>
      </w:r>
    </w:p>
    <w:p w14:paraId="1492D63E">
      <w:pPr>
        <w:spacing w:line="640" w:lineRule="exact"/>
        <w:ind w:firstLine="640"/>
        <w:jc w:val="both"/>
        <w:outlineLvl w:val="2"/>
      </w:pPr>
      <w:r>
        <w:rPr>
          <w:rFonts w:ascii="黑体" w:hAnsi="黑体" w:eastAsia="黑体"/>
          <w:sz w:val="32"/>
        </w:rPr>
        <w:t>六、一般公共预算财政拨款基本支出决算情况说明</w:t>
      </w:r>
    </w:p>
    <w:p w14:paraId="6A695800">
      <w:pPr>
        <w:spacing w:line="580" w:lineRule="exact"/>
        <w:ind w:firstLine="640"/>
        <w:jc w:val="both"/>
      </w:pPr>
      <w:r>
        <w:rPr>
          <w:rFonts w:ascii="仿宋_GB2312" w:hAnsi="仿宋_GB2312" w:eastAsia="仿宋_GB2312"/>
          <w:b w:val="0"/>
          <w:sz w:val="32"/>
        </w:rPr>
        <w:t>2024年度一般公共预算财政拨款基本支出1,020.92万元，其中：</w:t>
      </w:r>
      <w:r>
        <w:rPr>
          <w:rFonts w:ascii="仿宋_GB2312" w:hAnsi="仿宋_GB2312" w:eastAsia="仿宋_GB2312"/>
          <w:b/>
          <w:sz w:val="32"/>
        </w:rPr>
        <w:t>人员经费750.68万元，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包括：基本工资、津贴补贴、奖金、伙食补助费、机关事业单位基本养老保险缴费、职业年金缴费、职工基本医疗保险缴费、其他社会保障缴费、住房公积金、医疗费、退休费、生活补助、奖励金。</w:t>
      </w:r>
    </w:p>
    <w:p w14:paraId="67CA8EED">
      <w:pPr>
        <w:spacing w:line="580" w:lineRule="exact"/>
        <w:ind w:firstLine="640"/>
        <w:jc w:val="both"/>
      </w:pPr>
      <w:r>
        <w:rPr>
          <w:rFonts w:ascii="仿宋_GB2312" w:hAnsi="仿宋_GB2312" w:eastAsia="仿宋_GB2312"/>
          <w:b/>
          <w:sz w:val="32"/>
        </w:rPr>
        <w:t>公用经费270.23万元，</w:t>
      </w:r>
      <w:r>
        <w:rPr>
          <w:rFonts w:ascii="仿宋_GB2312" w:hAnsi="仿宋_GB2312" w:eastAsia="仿宋_GB2312"/>
          <w:b w:val="0"/>
          <w:sz w:val="32"/>
        </w:rPr>
        <w:t>包括：办公费、水费、电费、邮电费、取暖费、物业管理费、差旅费、维修（护）费、租赁费、培训费、公务接待费、劳务费、工会经费、福利费、公务用车运行维护费、其他商品和服务支出、办公设备购置、无形资产购置、其他资本性支出。</w:t>
      </w:r>
    </w:p>
    <w:p w14:paraId="290F3FCA">
      <w:pPr>
        <w:spacing w:line="640" w:lineRule="exact"/>
        <w:ind w:firstLine="640"/>
        <w:jc w:val="both"/>
        <w:outlineLvl w:val="2"/>
      </w:pPr>
      <w:r>
        <w:rPr>
          <w:rFonts w:ascii="黑体" w:hAnsi="黑体" w:eastAsia="黑体"/>
          <w:sz w:val="32"/>
        </w:rPr>
        <w:t>七、政府性基金预算财政拨款收入支出决算情况说明</w:t>
      </w:r>
    </w:p>
    <w:p w14:paraId="7297299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8756A6">
      <w:pPr>
        <w:spacing w:line="640" w:lineRule="exact"/>
        <w:ind w:firstLine="640"/>
        <w:jc w:val="both"/>
        <w:outlineLvl w:val="2"/>
      </w:pPr>
      <w:r>
        <w:rPr>
          <w:rFonts w:ascii="黑体" w:hAnsi="黑体" w:eastAsia="黑体"/>
          <w:sz w:val="32"/>
        </w:rPr>
        <w:t>八、国有资本经营预算财政拨款收入支出决算情况说明</w:t>
      </w:r>
    </w:p>
    <w:p w14:paraId="418D4D5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22175FF">
      <w:pPr>
        <w:spacing w:line="640" w:lineRule="exact"/>
        <w:ind w:firstLine="640"/>
        <w:jc w:val="both"/>
        <w:outlineLvl w:val="2"/>
      </w:pPr>
      <w:r>
        <w:rPr>
          <w:rFonts w:ascii="黑体" w:hAnsi="黑体" w:eastAsia="黑体"/>
          <w:sz w:val="32"/>
        </w:rPr>
        <w:t>九、财政拨款“三公”经费支出决算情况说明</w:t>
      </w:r>
    </w:p>
    <w:p w14:paraId="47BC2775">
      <w:pPr>
        <w:spacing w:line="580" w:lineRule="exact"/>
        <w:ind w:firstLine="640"/>
        <w:jc w:val="both"/>
      </w:pPr>
      <w:r>
        <w:rPr>
          <w:rFonts w:ascii="仿宋_GB2312" w:hAnsi="仿宋_GB2312" w:eastAsia="仿宋_GB2312"/>
          <w:b/>
          <w:sz w:val="32"/>
        </w:rPr>
        <w:t>2024年度财政拨款“三公”经费支出3.13万元，</w:t>
      </w:r>
      <w:r>
        <w:rPr>
          <w:rFonts w:ascii="仿宋_GB2312" w:hAnsi="仿宋_GB2312" w:eastAsia="仿宋_GB2312"/>
          <w:b w:val="0"/>
          <w:sz w:val="32"/>
        </w:rPr>
        <w:t>比上年增加0.54万元，增长20.93%，主要原因是：本单位车辆老化，监考外出次数增加，维修费及燃油费较上年增加，导致</w:t>
      </w:r>
      <w:bookmarkStart w:id="0" w:name="_GoBack"/>
      <w:r>
        <w:rPr>
          <w:rFonts w:hint="eastAsia" w:ascii="仿宋_GB2312" w:hAnsi="仿宋_GB2312" w:eastAsia="仿宋_GB2312"/>
          <w:b w:val="0"/>
          <w:sz w:val="32"/>
          <w:lang w:eastAsia="zh-CN"/>
        </w:rPr>
        <w:t>“三公”经费</w:t>
      </w:r>
      <w:bookmarkEnd w:id="0"/>
      <w:r>
        <w:rPr>
          <w:rFonts w:ascii="仿宋_GB2312" w:hAnsi="仿宋_GB2312" w:eastAsia="仿宋_GB2312"/>
          <w:b w:val="0"/>
          <w:sz w:val="32"/>
        </w:rPr>
        <w:t>较上年增加。其中：因公出国（境）费支出0.00万元，占0.00%，比上年增加0.00万元，增长0.00%，主要原因是：2023年与2024年均未安排因公出国（境）费支出。公务用车购置及运行维护费支出2.23万元，占71.25%，比上年增加0.37万元，增长19.89%，主要原因是：本单位车辆老化，监考外出次数增加，维修费及燃油费较上年增加，导致</w:t>
      </w:r>
      <w:r>
        <w:rPr>
          <w:rFonts w:hint="eastAsia" w:ascii="仿宋_GB2312" w:hAnsi="仿宋_GB2312" w:eastAsia="仿宋_GB2312"/>
          <w:b w:val="0"/>
          <w:sz w:val="32"/>
          <w:lang w:val="en-US" w:eastAsia="zh-CN"/>
        </w:rPr>
        <w:t>公务用车运行维护费增加</w:t>
      </w:r>
      <w:r>
        <w:rPr>
          <w:rFonts w:ascii="仿宋_GB2312" w:hAnsi="仿宋_GB2312" w:eastAsia="仿宋_GB2312"/>
          <w:b w:val="0"/>
          <w:sz w:val="32"/>
        </w:rPr>
        <w:t>。公务接待费支出0.89万元，占28.43%，比上年增加0.17万元，增长23.61%，主要原因是：本年由于增加普通话测试项目，上级检查范围及次数增加，公务接待费支出较上年增加。</w:t>
      </w:r>
    </w:p>
    <w:p w14:paraId="3B1B764C">
      <w:pPr>
        <w:spacing w:line="580" w:lineRule="exact"/>
        <w:ind w:firstLine="640"/>
        <w:jc w:val="both"/>
      </w:pPr>
      <w:r>
        <w:rPr>
          <w:rFonts w:ascii="仿宋_GB2312" w:hAnsi="仿宋_GB2312" w:eastAsia="仿宋_GB2312"/>
          <w:b/>
          <w:sz w:val="32"/>
        </w:rPr>
        <w:t>具体情况如下：</w:t>
      </w:r>
    </w:p>
    <w:p w14:paraId="5C32B85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DAFF09">
      <w:pPr>
        <w:spacing w:line="580" w:lineRule="exact"/>
        <w:ind w:firstLine="640"/>
        <w:jc w:val="both"/>
      </w:pPr>
      <w:r>
        <w:rPr>
          <w:rFonts w:ascii="仿宋_GB2312" w:hAnsi="仿宋_GB2312" w:eastAsia="仿宋_GB2312"/>
          <w:b w:val="0"/>
          <w:sz w:val="32"/>
        </w:rPr>
        <w:t>公务用车购置及运行维护费2.23万元，其中：公务用车购置费0.00万元，公务用车运行维护费2.23万元。公务用车运行维护费开支内容包括车辆加油费、保险费、过路费、维修费、年审费等。公务用车购置数0辆，公务用车保有量2辆。国有资产占用情况中固定资产车辆2辆，与公务用车保有量差异原因是：本单位固定资产车辆与公务用车保有量一致无差异。</w:t>
      </w:r>
    </w:p>
    <w:p w14:paraId="10F71C27">
      <w:pPr>
        <w:spacing w:line="580" w:lineRule="exact"/>
        <w:ind w:firstLine="640"/>
        <w:jc w:val="both"/>
      </w:pPr>
      <w:r>
        <w:rPr>
          <w:rFonts w:ascii="仿宋_GB2312" w:hAnsi="仿宋_GB2312" w:eastAsia="仿宋_GB2312"/>
          <w:b w:val="0"/>
          <w:sz w:val="32"/>
        </w:rPr>
        <w:t>公务接待费0.89万元，开支内容包括因工作需要，接待上级领导产生的就餐费。单位全年安排的国内公务接待33批次，265人次。</w:t>
      </w:r>
    </w:p>
    <w:p w14:paraId="75C4F1A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3.13万元，决算数3.13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2.23万元，决算数2.23万元，预决算差异率0.00%，主要原因是：严格按照预算执行，预决算无差异。公务接待费全年预算数0.89万元，决算数0.89万元，预决算差异率0.00%，主要原因是：严格按照预算执行，预决算无差异。</w:t>
      </w:r>
    </w:p>
    <w:p w14:paraId="445BD4FA">
      <w:pPr>
        <w:spacing w:line="640" w:lineRule="exact"/>
        <w:ind w:firstLine="640"/>
        <w:jc w:val="both"/>
        <w:outlineLvl w:val="2"/>
      </w:pPr>
      <w:r>
        <w:rPr>
          <w:rFonts w:ascii="黑体" w:hAnsi="黑体" w:eastAsia="黑体"/>
          <w:sz w:val="32"/>
        </w:rPr>
        <w:t>十、其他重要事项的情况说明</w:t>
      </w:r>
    </w:p>
    <w:p w14:paraId="00A3ED29">
      <w:pPr>
        <w:spacing w:line="640" w:lineRule="exact"/>
        <w:ind w:firstLine="640"/>
        <w:jc w:val="both"/>
        <w:outlineLvl w:val="3"/>
      </w:pPr>
      <w:r>
        <w:rPr>
          <w:rFonts w:ascii="楷体_GB2312" w:hAnsi="楷体_GB2312" w:eastAsia="楷体_GB2312"/>
          <w:b/>
          <w:sz w:val="32"/>
        </w:rPr>
        <w:t>（一）机关运行经费及公用经费支出情况</w:t>
      </w:r>
    </w:p>
    <w:p w14:paraId="2D2E21BD">
      <w:pPr>
        <w:spacing w:line="580" w:lineRule="exact"/>
        <w:ind w:firstLine="640"/>
        <w:jc w:val="both"/>
      </w:pPr>
      <w:r>
        <w:rPr>
          <w:rFonts w:ascii="仿宋_GB2312" w:hAnsi="仿宋_GB2312" w:eastAsia="仿宋_GB2312"/>
          <w:b w:val="0"/>
          <w:sz w:val="32"/>
        </w:rPr>
        <w:t>2024年度巴州开放大学（事业单位）公用经费支出270.23万元，比上年增加28.97万元，增长12.01%，主要原因是：本年办公费、劳务费、维修费、工会经费及福利费较上年增加，故相应公用经费支出较上年增加。</w:t>
      </w:r>
    </w:p>
    <w:p w14:paraId="10BB13ED">
      <w:pPr>
        <w:spacing w:line="640" w:lineRule="exact"/>
        <w:ind w:firstLine="640"/>
        <w:jc w:val="both"/>
        <w:outlineLvl w:val="3"/>
      </w:pPr>
      <w:r>
        <w:rPr>
          <w:rFonts w:ascii="楷体_GB2312" w:hAnsi="楷体_GB2312" w:eastAsia="楷体_GB2312"/>
          <w:b/>
          <w:sz w:val="32"/>
        </w:rPr>
        <w:t>（二）政府采购情况</w:t>
      </w:r>
    </w:p>
    <w:p w14:paraId="7D9E2E7E">
      <w:pPr>
        <w:spacing w:line="580" w:lineRule="exact"/>
        <w:ind w:firstLine="640"/>
        <w:jc w:val="both"/>
      </w:pPr>
      <w:r>
        <w:rPr>
          <w:rFonts w:ascii="仿宋_GB2312" w:hAnsi="仿宋_GB2312" w:eastAsia="仿宋_GB2312"/>
          <w:b w:val="0"/>
          <w:sz w:val="32"/>
        </w:rPr>
        <w:t>2024年度政府采购支出总额27.43万元，其中：政府采购货物支出21.44万元、政府采购工程支出3.88万元、政府采购服务支出2.11万元。</w:t>
      </w:r>
    </w:p>
    <w:p w14:paraId="09BB9458">
      <w:pPr>
        <w:spacing w:line="580" w:lineRule="exact"/>
        <w:ind w:firstLine="640"/>
        <w:jc w:val="both"/>
      </w:pPr>
      <w:r>
        <w:rPr>
          <w:rFonts w:ascii="仿宋_GB2312" w:hAnsi="仿宋_GB2312" w:eastAsia="仿宋_GB2312"/>
          <w:b w:val="0"/>
          <w:sz w:val="32"/>
        </w:rPr>
        <w:t>授予中小企业合同金额21.41万元，占政府采购支出总额的78.05%，其中：授予小微企业合同金额20.73万元，占政府采购支出总额的75.57%。</w:t>
      </w:r>
    </w:p>
    <w:p w14:paraId="5800BDFF">
      <w:pPr>
        <w:spacing w:line="640" w:lineRule="exact"/>
        <w:ind w:firstLine="640"/>
        <w:jc w:val="both"/>
        <w:outlineLvl w:val="3"/>
      </w:pPr>
      <w:r>
        <w:rPr>
          <w:rFonts w:ascii="楷体_GB2312" w:hAnsi="楷体_GB2312" w:eastAsia="楷体_GB2312"/>
          <w:b/>
          <w:sz w:val="32"/>
        </w:rPr>
        <w:t>（三）国有资产占用情况说明</w:t>
      </w:r>
    </w:p>
    <w:p w14:paraId="54DA1EC0">
      <w:pPr>
        <w:spacing w:line="580" w:lineRule="exact"/>
        <w:ind w:firstLine="640"/>
        <w:jc w:val="both"/>
      </w:pPr>
      <w:r>
        <w:rPr>
          <w:rFonts w:ascii="仿宋_GB2312" w:hAnsi="仿宋_GB2312" w:eastAsia="仿宋_GB2312"/>
          <w:b w:val="0"/>
          <w:sz w:val="32"/>
        </w:rPr>
        <w:t>截至2024年12月31日，房屋6,718.00平方米，价值347.15万元。车辆2辆，价值26.27万元，其中：副部（省）级及以上领导用车0辆、主要负责人用车1辆、机要通信用车0辆、应急保障用车0辆、执法执勤用车0辆、特种专业技术用车0辆、离退休干部服务用车0辆、其他用车1辆，其他用车主要是：一般公务用车。单价100万元（含）以上设备（不含车辆）0台（套）。</w:t>
      </w:r>
    </w:p>
    <w:p w14:paraId="77AD8127">
      <w:pPr>
        <w:spacing w:line="640" w:lineRule="exact"/>
        <w:ind w:firstLine="640"/>
        <w:jc w:val="both"/>
        <w:outlineLvl w:val="2"/>
      </w:pPr>
      <w:r>
        <w:rPr>
          <w:rFonts w:ascii="黑体" w:hAnsi="黑体" w:eastAsia="黑体"/>
          <w:sz w:val="32"/>
        </w:rPr>
        <w:t>十一、预算绩效的情况说明</w:t>
      </w:r>
    </w:p>
    <w:p w14:paraId="508606B0">
      <w:pPr>
        <w:spacing w:line="580" w:lineRule="exact"/>
        <w:ind w:firstLine="640"/>
        <w:jc w:val="both"/>
      </w:pPr>
      <w:r>
        <w:rPr>
          <w:rFonts w:ascii="仿宋_GB2312" w:hAnsi="仿宋_GB2312" w:eastAsia="仿宋_GB2312"/>
          <w:b w:val="0"/>
          <w:sz w:val="32"/>
        </w:rPr>
        <w:t>根据预算绩效管理要求，本单位预算绩效评价项目1个，全年预算数17.00万元，全年执行数17.00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有了更明确、更清晰地理解和认识。通过实施预算绩效管理，树立了绩效优先的管理理念，也很好地避免了在经费使用上出现违规行为的概率，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意识不强，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001546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8AAE2C6">
        <w:tblPrEx>
          <w:tblCellMar>
            <w:top w:w="0" w:type="dxa"/>
            <w:left w:w="108" w:type="dxa"/>
            <w:bottom w:w="0" w:type="dxa"/>
            <w:right w:w="108" w:type="dxa"/>
          </w:tblCellMar>
        </w:tblPrEx>
        <w:tc>
          <w:tcPr>
            <w:tcW w:w="8848" w:type="dxa"/>
            <w:gridSpan w:val="14"/>
            <w:vAlign w:val="center"/>
          </w:tcPr>
          <w:p w14:paraId="6D1B450C">
            <w:pPr>
              <w:jc w:val="center"/>
            </w:pPr>
            <w:r>
              <w:rPr>
                <w:rFonts w:ascii="宋体" w:hAnsi="宋体" w:eastAsia="宋体"/>
                <w:sz w:val="24"/>
              </w:rPr>
              <w:t>项目支出绩效自评表</w:t>
            </w:r>
          </w:p>
        </w:tc>
      </w:tr>
      <w:tr w14:paraId="49C38F2B">
        <w:tblPrEx>
          <w:tblCellMar>
            <w:top w:w="0" w:type="dxa"/>
            <w:left w:w="108" w:type="dxa"/>
            <w:bottom w:w="0" w:type="dxa"/>
            <w:right w:w="108" w:type="dxa"/>
          </w:tblCellMar>
        </w:tblPrEx>
        <w:tc>
          <w:tcPr>
            <w:tcW w:w="8848" w:type="dxa"/>
            <w:gridSpan w:val="14"/>
            <w:vAlign w:val="center"/>
          </w:tcPr>
          <w:p w14:paraId="66604127">
            <w:pPr>
              <w:jc w:val="center"/>
            </w:pPr>
            <w:r>
              <w:rPr>
                <w:rFonts w:ascii="宋体" w:hAnsi="宋体" w:eastAsia="宋体"/>
                <w:sz w:val="24"/>
              </w:rPr>
              <w:t>(2024年度)</w:t>
            </w:r>
          </w:p>
        </w:tc>
      </w:tr>
      <w:tr w14:paraId="16566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06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3533C9">
            <w:pPr>
              <w:jc w:val="center"/>
            </w:pPr>
            <w:r>
              <w:rPr>
                <w:rFonts w:ascii="宋体" w:hAnsi="宋体" w:eastAsia="宋体"/>
                <w:sz w:val="16"/>
              </w:rPr>
              <w:t>2024年工作队为民办实事经费</w:t>
            </w:r>
          </w:p>
        </w:tc>
      </w:tr>
      <w:tr w14:paraId="70DE0C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96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FA510">
            <w:pPr>
              <w:jc w:val="center"/>
            </w:pPr>
            <w:r>
              <w:rPr>
                <w:rFonts w:ascii="宋体" w:hAnsi="宋体" w:eastAsia="宋体"/>
                <w:sz w:val="16"/>
              </w:rPr>
              <w:t>巴州开放大学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E1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8AD23">
            <w:pPr>
              <w:jc w:val="center"/>
            </w:pPr>
            <w:r>
              <w:rPr>
                <w:rFonts w:ascii="宋体" w:hAnsi="宋体" w:eastAsia="宋体"/>
                <w:sz w:val="16"/>
              </w:rPr>
              <w:t>巴州开放大学</w:t>
            </w:r>
          </w:p>
        </w:tc>
      </w:tr>
      <w:tr w14:paraId="58E463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4934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4B3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3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741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D2D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675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C0D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A055">
            <w:pPr>
              <w:jc w:val="center"/>
            </w:pPr>
            <w:r>
              <w:rPr>
                <w:rFonts w:ascii="宋体" w:hAnsi="宋体" w:eastAsia="宋体"/>
                <w:sz w:val="16"/>
              </w:rPr>
              <w:t>得分</w:t>
            </w:r>
          </w:p>
        </w:tc>
      </w:tr>
      <w:tr w14:paraId="6DF56D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835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2E2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7722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A76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507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44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90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891E">
            <w:pPr>
              <w:jc w:val="center"/>
            </w:pPr>
            <w:r>
              <w:rPr>
                <w:rFonts w:ascii="宋体" w:hAnsi="宋体" w:eastAsia="宋体"/>
                <w:sz w:val="16"/>
              </w:rPr>
              <w:t>10.00</w:t>
            </w:r>
          </w:p>
        </w:tc>
      </w:tr>
      <w:tr w14:paraId="2F337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E07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D7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D95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3C4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699F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30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FA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64A9">
            <w:pPr>
              <w:jc w:val="center"/>
            </w:pPr>
            <w:r>
              <w:rPr>
                <w:rFonts w:ascii="宋体" w:hAnsi="宋体" w:eastAsia="宋体"/>
                <w:sz w:val="16"/>
              </w:rPr>
              <w:t>-</w:t>
            </w:r>
          </w:p>
        </w:tc>
      </w:tr>
      <w:tr w14:paraId="6CB06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8C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D638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5FD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29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5A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B8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CAF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1EE0">
            <w:pPr>
              <w:jc w:val="center"/>
            </w:pPr>
            <w:r>
              <w:rPr>
                <w:rFonts w:ascii="宋体" w:hAnsi="宋体" w:eastAsia="宋体"/>
                <w:sz w:val="16"/>
              </w:rPr>
              <w:t>-</w:t>
            </w:r>
          </w:p>
        </w:tc>
      </w:tr>
      <w:tr w14:paraId="08A678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6D8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393A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9016E">
            <w:pPr>
              <w:jc w:val="center"/>
            </w:pPr>
            <w:r>
              <w:rPr>
                <w:rFonts w:ascii="宋体" w:hAnsi="宋体" w:eastAsia="宋体"/>
                <w:sz w:val="16"/>
              </w:rPr>
              <w:t>总体目标完成情况</w:t>
            </w:r>
          </w:p>
        </w:tc>
      </w:tr>
      <w:tr w14:paraId="70F78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18C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4CCB1">
            <w:pPr>
              <w:jc w:val="both"/>
            </w:pPr>
            <w:r>
              <w:rPr>
                <w:rFonts w:ascii="宋体" w:hAnsi="宋体" w:eastAsia="宋体"/>
                <w:sz w:val="16"/>
              </w:rPr>
              <w:t>派驻康乐社区工作队1个，共计2人，其中第一书记1人，工作队员1人。预计支付为民办实事经费15万元，第一书记经费2万元。合理合规使用为民办实事经费，确保为民办实事经费使用的安全性、规范性和实效性，确保为民办实事工作经费落实到实处，使居民幸福感有所提升，获得基层群众的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781D9A">
            <w:pPr>
              <w:jc w:val="both"/>
            </w:pPr>
            <w:r>
              <w:rPr>
                <w:rFonts w:ascii="宋体" w:hAnsi="宋体" w:eastAsia="宋体"/>
                <w:sz w:val="16"/>
              </w:rPr>
              <w:t>已完成派驻康乐社区工作队1个，第一书记1人，工作队员1人。实际支付为民办实事经费15万元，第一书记经费2万元。合理合规使用了为民办实事经费，确保为民办实事经费使用的安全性、规范性和实效性，确保为民办实事工作经费落实到实处，使居民幸福感有所提升，获得基层群众的满意。</w:t>
            </w:r>
          </w:p>
        </w:tc>
      </w:tr>
      <w:tr w14:paraId="1DC5C5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76C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97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F5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F2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5A8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AD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F27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B36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FD1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68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011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A5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D4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2729">
            <w:pPr>
              <w:jc w:val="center"/>
            </w:pPr>
            <w:r>
              <w:rPr>
                <w:rFonts w:ascii="宋体" w:hAnsi="宋体" w:eastAsia="宋体"/>
                <w:sz w:val="16"/>
              </w:rPr>
              <w:t>偏差原因分析及改进措施</w:t>
            </w:r>
          </w:p>
        </w:tc>
      </w:tr>
      <w:tr w14:paraId="06E1F1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F5A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2FA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FA4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C726">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9F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B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A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B1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A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E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246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5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66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F856">
            <w:pPr>
              <w:jc w:val="center"/>
            </w:pPr>
          </w:p>
        </w:tc>
      </w:tr>
      <w:tr w14:paraId="1AC63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0A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CF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1C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CE22">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37B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D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5F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7B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2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D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E6B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9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56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72F1">
            <w:pPr>
              <w:jc w:val="center"/>
            </w:pPr>
          </w:p>
        </w:tc>
      </w:tr>
      <w:tr w14:paraId="38258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06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12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92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DE32">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2EB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2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3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19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6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3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466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3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05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0717">
            <w:pPr>
              <w:jc w:val="center"/>
            </w:pPr>
          </w:p>
        </w:tc>
      </w:tr>
      <w:tr w14:paraId="65F3A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F8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A4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67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8DE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3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5B5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3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0E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1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1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7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97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F9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6594">
            <w:pPr>
              <w:jc w:val="center"/>
            </w:pPr>
          </w:p>
        </w:tc>
      </w:tr>
      <w:tr w14:paraId="5B1B2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7D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C4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17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4DD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9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2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8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77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F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D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4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0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4D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880E">
            <w:pPr>
              <w:jc w:val="center"/>
            </w:pPr>
          </w:p>
        </w:tc>
      </w:tr>
      <w:tr w14:paraId="6388E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916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820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5FF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6E0F">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928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2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F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7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5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5D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B71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7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5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2076">
            <w:pPr>
              <w:jc w:val="center"/>
            </w:pPr>
          </w:p>
        </w:tc>
      </w:tr>
      <w:tr w14:paraId="119B5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68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CF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EB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B853">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236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E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D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20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9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19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B6E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0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54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0BD5">
            <w:pPr>
              <w:jc w:val="center"/>
            </w:pPr>
          </w:p>
        </w:tc>
      </w:tr>
      <w:tr w14:paraId="50FC5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E6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07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7D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CAE9">
            <w:pPr>
              <w:jc w:val="center"/>
            </w:pPr>
            <w:r>
              <w:rPr>
                <w:rFonts w:ascii="宋体" w:hAnsi="宋体" w:eastAsia="宋体"/>
                <w:sz w:val="16"/>
              </w:rPr>
              <w:t>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3DA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0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0E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10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BB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A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A31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8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95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1CB4">
            <w:pPr>
              <w:jc w:val="center"/>
            </w:pPr>
          </w:p>
        </w:tc>
      </w:tr>
      <w:tr w14:paraId="480BD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B2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1D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BB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9D7C">
            <w:pPr>
              <w:jc w:val="center"/>
            </w:pPr>
            <w:r>
              <w:rPr>
                <w:rFonts w:ascii="宋体" w:hAnsi="宋体" w:eastAsia="宋体"/>
                <w:sz w:val="16"/>
              </w:rPr>
              <w:t>基层群众满意度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03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37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8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4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ED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0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C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8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9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4DAF">
            <w:pPr>
              <w:jc w:val="center"/>
            </w:pPr>
          </w:p>
        </w:tc>
      </w:tr>
      <w:tr w14:paraId="55F0EE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6EB2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AE5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170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57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7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C2C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CF7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B2F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7B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1BE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D1908"/>
        </w:tc>
      </w:tr>
    </w:tbl>
    <w:p w14:paraId="6336017E">
      <w:r>
        <w:br w:type="page"/>
      </w:r>
    </w:p>
    <w:p w14:paraId="0273296E">
      <w:pPr>
        <w:spacing w:line="640" w:lineRule="exact"/>
        <w:ind w:firstLine="640"/>
        <w:jc w:val="both"/>
        <w:outlineLvl w:val="2"/>
      </w:pPr>
      <w:r>
        <w:rPr>
          <w:rFonts w:ascii="黑体" w:hAnsi="黑体" w:eastAsia="黑体"/>
          <w:sz w:val="32"/>
        </w:rPr>
        <w:t>十二、其他需说明的事项</w:t>
      </w:r>
    </w:p>
    <w:p w14:paraId="31AB8539">
      <w:pPr>
        <w:spacing w:line="580" w:lineRule="exact"/>
        <w:ind w:firstLine="640"/>
        <w:jc w:val="both"/>
      </w:pPr>
      <w:r>
        <w:rPr>
          <w:rFonts w:ascii="仿宋_GB2312" w:hAnsi="仿宋_GB2312" w:eastAsia="仿宋_GB2312"/>
          <w:b w:val="0"/>
          <w:sz w:val="32"/>
        </w:rPr>
        <w:t>本年度本单位整体绩效自评表由主管部门编报并公开。</w:t>
      </w:r>
    </w:p>
    <w:p w14:paraId="75C7B428">
      <w:r>
        <w:br w:type="page"/>
      </w:r>
    </w:p>
    <w:p w14:paraId="2A6B612C">
      <w:pPr>
        <w:spacing w:line="240" w:lineRule="auto"/>
        <w:jc w:val="center"/>
        <w:outlineLvl w:val="1"/>
      </w:pPr>
      <w:r>
        <w:rPr>
          <w:rFonts w:ascii="黑体" w:hAnsi="黑体" w:eastAsia="黑体"/>
          <w:sz w:val="32"/>
        </w:rPr>
        <w:t>第三部分 专业名词解释</w:t>
      </w:r>
    </w:p>
    <w:p w14:paraId="77E2FB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F8D5C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90EA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96EC2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D3277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7E92F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9B721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A7149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F046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73CE0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1EFE09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00784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379DFF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698B0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DCF560D">
      <w:r>
        <w:br w:type="page"/>
      </w:r>
    </w:p>
    <w:p w14:paraId="332A6D9F">
      <w:pPr>
        <w:spacing w:line="240" w:lineRule="auto"/>
        <w:jc w:val="center"/>
        <w:outlineLvl w:val="1"/>
      </w:pPr>
      <w:r>
        <w:rPr>
          <w:rFonts w:ascii="黑体" w:hAnsi="黑体" w:eastAsia="黑体"/>
          <w:sz w:val="32"/>
        </w:rPr>
        <w:t>第四部分 部门决算报表（见附表）</w:t>
      </w:r>
    </w:p>
    <w:p w14:paraId="3BF7BDE4">
      <w:pPr>
        <w:spacing w:line="240" w:lineRule="auto"/>
        <w:ind w:firstLine="640"/>
        <w:jc w:val="both"/>
      </w:pPr>
      <w:r>
        <w:rPr>
          <w:rFonts w:ascii="仿宋_GB2312" w:hAnsi="仿宋_GB2312" w:eastAsia="仿宋_GB2312"/>
          <w:b w:val="0"/>
          <w:sz w:val="32"/>
        </w:rPr>
        <w:t>一、《收入支出决算总表》</w:t>
      </w:r>
    </w:p>
    <w:p w14:paraId="4EA3EBAF">
      <w:pPr>
        <w:spacing w:line="240" w:lineRule="auto"/>
        <w:ind w:firstLine="640"/>
        <w:jc w:val="both"/>
      </w:pPr>
      <w:r>
        <w:rPr>
          <w:rFonts w:ascii="仿宋_GB2312" w:hAnsi="仿宋_GB2312" w:eastAsia="仿宋_GB2312"/>
          <w:b w:val="0"/>
          <w:sz w:val="32"/>
        </w:rPr>
        <w:t>二、《收入决算表》</w:t>
      </w:r>
    </w:p>
    <w:p w14:paraId="6491C3AE">
      <w:pPr>
        <w:spacing w:line="240" w:lineRule="auto"/>
        <w:ind w:firstLine="640"/>
        <w:jc w:val="both"/>
      </w:pPr>
      <w:r>
        <w:rPr>
          <w:rFonts w:ascii="仿宋_GB2312" w:hAnsi="仿宋_GB2312" w:eastAsia="仿宋_GB2312"/>
          <w:b w:val="0"/>
          <w:sz w:val="32"/>
        </w:rPr>
        <w:t>三、《支出决算表》</w:t>
      </w:r>
    </w:p>
    <w:p w14:paraId="55CC3AAE">
      <w:pPr>
        <w:spacing w:line="240" w:lineRule="auto"/>
        <w:ind w:firstLine="640"/>
        <w:jc w:val="both"/>
      </w:pPr>
      <w:r>
        <w:rPr>
          <w:rFonts w:ascii="仿宋_GB2312" w:hAnsi="仿宋_GB2312" w:eastAsia="仿宋_GB2312"/>
          <w:b w:val="0"/>
          <w:sz w:val="32"/>
        </w:rPr>
        <w:t>四、《财政拨款收入支出决算总表》</w:t>
      </w:r>
    </w:p>
    <w:p w14:paraId="0D8DB6F8">
      <w:pPr>
        <w:spacing w:line="240" w:lineRule="auto"/>
        <w:ind w:firstLine="640"/>
        <w:jc w:val="both"/>
      </w:pPr>
      <w:r>
        <w:rPr>
          <w:rFonts w:ascii="仿宋_GB2312" w:hAnsi="仿宋_GB2312" w:eastAsia="仿宋_GB2312"/>
          <w:b w:val="0"/>
          <w:sz w:val="32"/>
        </w:rPr>
        <w:t>五、《一般公共预算财政拨款支出决算表》</w:t>
      </w:r>
    </w:p>
    <w:p w14:paraId="7C872BDD">
      <w:pPr>
        <w:spacing w:line="240" w:lineRule="auto"/>
        <w:ind w:firstLine="640"/>
        <w:jc w:val="both"/>
      </w:pPr>
      <w:r>
        <w:rPr>
          <w:rFonts w:ascii="仿宋_GB2312" w:hAnsi="仿宋_GB2312" w:eastAsia="仿宋_GB2312"/>
          <w:b w:val="0"/>
          <w:sz w:val="32"/>
        </w:rPr>
        <w:t>六、《一般公共预算财政拨款基本支出决算表》</w:t>
      </w:r>
    </w:p>
    <w:p w14:paraId="5C52E2C0">
      <w:pPr>
        <w:spacing w:line="240" w:lineRule="auto"/>
        <w:ind w:firstLine="640"/>
        <w:jc w:val="both"/>
      </w:pPr>
      <w:r>
        <w:rPr>
          <w:rFonts w:ascii="仿宋_GB2312" w:hAnsi="仿宋_GB2312" w:eastAsia="仿宋_GB2312"/>
          <w:b w:val="0"/>
          <w:sz w:val="32"/>
        </w:rPr>
        <w:t>七、《政府性基金预算财政拨款收入支出决算表》</w:t>
      </w:r>
    </w:p>
    <w:p w14:paraId="6AF60712">
      <w:pPr>
        <w:spacing w:line="240" w:lineRule="auto"/>
        <w:ind w:firstLine="640"/>
        <w:jc w:val="both"/>
      </w:pPr>
      <w:r>
        <w:rPr>
          <w:rFonts w:ascii="仿宋_GB2312" w:hAnsi="仿宋_GB2312" w:eastAsia="仿宋_GB2312"/>
          <w:b w:val="0"/>
          <w:sz w:val="32"/>
        </w:rPr>
        <w:t>八、《国有资本经营预算财政拨款收入支出决算表》</w:t>
      </w:r>
    </w:p>
    <w:p w14:paraId="2CF22192">
      <w:pPr>
        <w:spacing w:line="240" w:lineRule="auto"/>
        <w:ind w:firstLine="640"/>
        <w:jc w:val="both"/>
      </w:pPr>
      <w:r>
        <w:rPr>
          <w:rFonts w:ascii="仿宋_GB2312" w:hAnsi="仿宋_GB2312" w:eastAsia="仿宋_GB2312"/>
          <w:b w:val="0"/>
          <w:sz w:val="32"/>
        </w:rPr>
        <w:t>九、《财政拨款“三公”经费支出决算表》</w:t>
      </w:r>
    </w:p>
    <w:p w14:paraId="00F60F15">
      <w:pPr>
        <w:spacing w:line="240" w:lineRule="auto"/>
        <w:ind w:firstLine="640"/>
        <w:jc w:val="both"/>
      </w:pPr>
    </w:p>
    <w:p w14:paraId="7380BE88">
      <w:pPr>
        <w:spacing w:line="240" w:lineRule="auto"/>
        <w:ind w:firstLine="640"/>
        <w:jc w:val="both"/>
      </w:pPr>
    </w:p>
    <w:p w14:paraId="6373D64F">
      <w:pPr>
        <w:spacing w:line="240" w:lineRule="auto"/>
        <w:ind w:firstLine="640"/>
        <w:jc w:val="both"/>
      </w:pPr>
    </w:p>
    <w:p w14:paraId="58A99C2A">
      <w:pPr>
        <w:spacing w:line="240" w:lineRule="auto"/>
        <w:ind w:firstLine="640"/>
        <w:jc w:val="both"/>
      </w:pPr>
    </w:p>
    <w:p w14:paraId="23C798E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F1ED13-266E-4927-8484-D6B46B7632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E501BA5-A5F7-45BF-89AA-6472BAB1B27E}"/>
  </w:font>
  <w:font w:name="仿宋_GB2312">
    <w:panose1 w:val="02010609030101010101"/>
    <w:charset w:val="86"/>
    <w:family w:val="modern"/>
    <w:pitch w:val="default"/>
    <w:sig w:usb0="00000001" w:usb1="080E0000" w:usb2="00000000" w:usb3="00000000" w:csb0="00040000" w:csb1="00000000"/>
    <w:embedRegular r:id="rId3" w:fontKey="{FEC87C75-FDB9-43E6-B7D3-FD5C8CAB923D}"/>
  </w:font>
  <w:font w:name="楷体_GB2312">
    <w:panose1 w:val="02010609030101010101"/>
    <w:charset w:val="86"/>
    <w:family w:val="auto"/>
    <w:pitch w:val="default"/>
    <w:sig w:usb0="00000001" w:usb1="080E0000" w:usb2="00000000" w:usb3="00000000" w:csb0="00040000" w:csb1="00000000"/>
    <w:embedRegular r:id="rId4" w:fontKey="{DEF105CE-FE2C-47A7-A46C-8081D9CC1D8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605C78"/>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AC286B"/>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4909</Words>
  <Characters>5570</Characters>
  <Lines>0</Lines>
  <Paragraphs>0</Paragraphs>
  <TotalTime>3</TotalTime>
  <ScaleCrop>false</ScaleCrop>
  <LinksUpToDate>false</LinksUpToDate>
  <CharactersWithSpaces>5578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