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B74C7"/>
    <w:p w14:paraId="5F01D18E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107F6D8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1A2C5F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7B176D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E0D1B18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1540BB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B5D71E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FB78BB9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4DF3656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7800EB8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1BB8B5F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36F5DB2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37E719E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7C2E8851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A4AC5F8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43DCB2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06F62B2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5815D149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192CC701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2024年中央医疗服务于保障能力提升(公立医院综合改革)第二批补助项目</w:t>
      </w:r>
    </w:p>
    <w:p w14:paraId="47547EB0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  <w:lang w:eastAsia="zh-CN"/>
        </w:rPr>
        <w:t>巴音郭楞蒙古自治州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第二人民医院(巴音郭楞蒙古自治州燕赵蒙医院)</w:t>
      </w:r>
    </w:p>
    <w:p w14:paraId="3FFC349C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巴音郭楞蒙古自治州第二人民医院(巴音郭楞蒙古自治州燕赵蒙医院)</w:t>
      </w:r>
    </w:p>
    <w:p w14:paraId="15620F70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洪格尔</w:t>
      </w:r>
    </w:p>
    <w:p w14:paraId="1AA144AB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2025年03月25日</w:t>
      </w:r>
    </w:p>
    <w:p w14:paraId="0DF59822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3F9EBB91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39E876A7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323B1E5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51A806D3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1.项目背景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巴音郭楞蒙古自治州第二人民医院(巴音郭楞蒙古自治州燕赵蒙医院)是一所以蒙医为基础，蒙医治疗方法为特色将蒙医药浴、温针、康复、理疗、推拿等各种治疗方法完美结合的二级甲等中医民族医院，为进一步推进公立医院改革，取消以药补医机制，理顺医疗服务价格体系，节约医疗成本，减轻群众看病负担，切实缓解群众“看病难，看病贵”问题,提升服务水平和服务能力。根据自治区财政厅《关于提前下达2024年中央医疗服务与保障能力提升》（公立医院综合改革）补助资金预算的通知（新财社[2024]38号），通过购买2台医疗设备，推进公立医院综合改革，改善患者就医环境，更好地为患者服务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2.项目主要内容及实施情况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该项目主要持续深化我院公立医院综合改革，其中；1、公立医院零差率药品补助，2、加强基础设施条件建设；3、改善就医环境购买相关设备。开展此项目严格按照巴州蒙医院专项资金管理办法执行，由项目负责人徐帮柱牵头，下设工作小组，计划在2024年10月31日前，购买2台医用设备15万元，推进公立医院综合改革，提升公立医院服务能力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项目目前已经完成实际设立的目标，全面推进公立医院改革，补偿我院药品款，改善我院就医环境，购买相关设备等切实提高医疗服务质量和水平，项目在实施过程中严格按照目标设立的各阶段任务进行开展工作，在前期立项过程中严格把质量关，建立安全防护机制，保证项目实施各阶段安全顺利进行。购买了2台医疗设备，推进了公立医院的综合改革，改善了患者的就医环境，为更好地提供医疗服务打基础，同时保障医疗体系的建设，体现公立医院的公益性，满足人民群众日益增长的医疗保健需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该项目年初预算数37万元，全年预算数37万元，实际总投入37万元，该项目资金已全部落实到位，资金来源为财政专项资金拨款。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该项目年初预算数37万元，全年预算数37万元，全年执行数37万元，预算执行率为100%，主要用于：设备购置37万元；</w:t>
      </w:r>
    </w:p>
    <w:p w14:paraId="20884130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1ED93FDE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：根据自治区财政厅《关于提前下达2024年中央医疗服务与保障能力提升》（公立医院综合改革）补助资金预算的通知（新财社[2024]38号）文件精神，通过购买2台医疗设备，推进公立医院综合改革，改善患者就医环境，更好地为患者服务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2.阶段性目标：我院收到公立医院改革项目资金后，制定了详细的计划，计划在下半年使用37万元更新购置相关设备，提高诊疗、手术、康复、护理、中医等体现医务人员技术劳务价值。</w:t>
      </w:r>
    </w:p>
    <w:p w14:paraId="2D25F551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1D67633B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09E2EA63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编制过程中，严格遵循巴州蒙医院专项资金管理办法执行，资金支出按照内控体系中设定的流程申报审批进行；项目支出属于政府采购的，按照财政部门《政府采购与招标管理办法》组织人员制定采购计划，按照财政局采购部门批复，进行公开招标、邀请招标等方式进行；属于非政府采购的项目，按照“三重一大”制度规定，重大项目支出上党组会研究决定。确保评价内容的全面性与准确性。报告涵盖了项目从预算编制、执行到完成的全过程，对项目的各项绩效指标进行了细致的梳理与评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指标体系的构建上，充分考虑了项目的性质、目标以及预期成果，选取了具有代表性和可衡量性的关键指标，涵盖了经济效益等多个维度，力求全方位反映项目的绩效状况。同时，对于每个指标的评价标准和数据来源均进行了明确说明，确保评价结果的客观性和可追溯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数据收集与分析环节，采用了多种科学合理的方法，如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 xml:space="preserve"> 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（1）评估项目实施效果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对项目预算执行情况及各项绩效目标达成程度的系统性分析，全面、客观地评估项目在预定周期内的实施效果，包括经济效益指标，为项目后续的改进与优化提供科学依据，更好的提升我院的公立医院服务能力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（2）提升资源利用效率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深入剖析项目预算资金的投入与产出关系，识别资金使用过程中的冗余环节与低效领域，改善了患者的就医环境，</w:t>
      </w:r>
      <w:r>
        <w:rPr>
          <w:rStyle w:val="19"/>
          <w:rFonts w:hint="eastAsia" w:ascii="楷体" w:hAnsi="楷体" w:eastAsia="楷体"/>
          <w:spacing w:val="-4"/>
          <w:sz w:val="32"/>
          <w:szCs w:val="32"/>
          <w:lang w:eastAsia="zh-CN"/>
        </w:rPr>
        <w:t>更好地为</w:t>
      </w:r>
      <w:bookmarkStart w:id="0" w:name="_GoBack"/>
      <w:bookmarkEnd w:id="0"/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患者服务。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（3）强化项目管理责任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项目各参与主体在预算绩效管理中的职责与任务，开展此项目严格按照巴州蒙医院专项资金管理办法执行，由项目负责人徐帮柱牵头，下设工作小组，主动优化管理流程，完善内部控制机制，提高项目管理水平与执行力，保障项目按计划、高质量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（4）为决策提供支持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的2024年提前下达中央医疗服务与保障能力提升（公立医院综合改革）项目为项目主管部门、财政部门及相关决策层提供详实、准确的绩效评价信息，辅助其在项目审批、预算安排、政策调整等关键决策环节做出更加科学、合理的判断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（5）促进项目持续改进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基于绩效评价发现的问题与不足，我院及时提出了针对性的改进建议与措施，并且持续优化了项目的实施方案，不断在监控与质量加强把控，形成了项目绩效持续改进的良性循环。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是2024年提前下达中央医疗服务与保障能力提升（公立医院综合改革）第二批补助项目及其预算执行情况。该项目由巴音郭楞蒙古自治州第二人民医院(巴音郭楞蒙古自治州燕赵蒙医院)负责实施，旨在推进公立医院综合改革，提升公立医院服务能力，体现公立医院公益性。项目预算涵盖从2024年6月1日至2024年10月30日的全部资金投入与支出，涉及资金总额为37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（1）项目预算编制与执行：我院不断全面审视项目预算的编制依据、合理性、科学性以及实际执行情况。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（2）资金管理：我院通过深入分析项目资金的分配、使用和监管情况，确保了项目资金使用的合规性、高效性和透明度。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（3）项目实施进度与产出：我院不断评估项目是否按照既定计划顺利推进，各项任务是否按时完成，以及项目产出的数量、质量和时效性是否符合预期。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（4）社会影响：考察项目对社会方面的综合影响，通过购买2台医用设备37万元，推进公立医院综合改革，提升公立医院服务能力，体现公立医院公益性。</w:t>
      </w:r>
    </w:p>
    <w:p w14:paraId="0B265D1E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3B9E0E0E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成本效益分析法。是指将投入与产出、效益进行关联性分析的方法。选择此分析法的原因是，开展此项目严格按照巴州蒙医院专项资金管理办法执行，由项目负责人徐帮柱牵头，下设工作小组，计划在2024年10月31日前，购买2台医用设备37万元，推进了公立医院的综合改革，改善了患者的就医环境，为更好地提供医疗服务打基础，同时保障医疗体系的建设，体现公立医院的公益性，满足人民群众日益增长的医疗保健需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以预先制定的目标、计划、预算、定额等作为评价标准。采用此标准的原因是专项资金领导小组，由徐帮柱副院长牵头，积极召开院务会拟定项目实施计划，并严格按照项目标准执行，产出和效果指标采用项目申报文本中的指标值作为绩效评价标准。使此项目绩效支出目标更加明确，有法可依，有据可循。</w:t>
      </w:r>
    </w:p>
    <w:p w14:paraId="191DE834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28AFDEA3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绩效评价工作启动之初，成立了专门的评价工作小组，小组成员由项目管理专业人员及相关领域技术骨干组成，开展此项目严格按照巴州蒙医院专项资金管理办法执行，由项目负责人徐帮柱牵头，下设工作小组，计划在2024年10月31日前，购买2台医用设备37万元，推进公立医院综合改革，提升公立医院服务能力，体现公立医院公益性，确保从多角度、全方位对项目绩效进行评价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依据项目的性质、目标以及预期成果，根据自治区财政厅《关于提前下达2024年中央医疗服务与保障能力提升》（公立医院综合改革）补助资金预算的通知（新财社[2023]214号）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我院广泛收集与项目相关的各类数据，包括财务预算、决算报表、我院的收入、费用、资产等业务数据，在数据收集过程中，注重数据的质量与完整性，对缺失或异常的数据进行了合理的处理和补充。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5.报告撰写与反馈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业务科室进行反馈，充分听取财务科、业务科室等各方意见与建议，对报告内容进行进一步的完善与优化，确保评价报告的质量与实用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6.后续跟踪与改进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院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1D895AD6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514723EF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综合评价基于对项目各方面绩效的深入分析与评估。从项目目标的达成情况来看，2024年中央医疗服务于保障能力提升(公立医院综合改革)第二批补助项目在改善患者的就医环境、更好地提供医疗服务等方面表现出色，达到了预期的标准与要求。同时，项目也在推进公立医院综合改革取得了显著的成效，如保障医疗体系的建设，体现公立医院的公益性，满足人民群众日益增长的医疗保健需求等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在项目管理方面，巴音郭楞蒙古自治州第二人民医院(巴音郭楞蒙古自治州燕赵蒙医院)通过有效的规划、组织与协调，项目得以顺利实施，并在预算与时间上保持了良好的控制。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不仅实现了预期的社会效益、经济效益等方面产生了积极的影响。具体而言，改善患者的就医环境、更好地提供医疗服务等方面的提升，为项目的利益相关者带来了实实在在的利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综上所述，2024年中央医疗服务于保障能力提升(公立医院综合改革)第二批补助项目在绩效评价中表现出色，达到了项目的预期目标，并在多个方面取得了显著的成效。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100%。项目过程类指标权重为20分，得分为20分，得分率为100%。项目产出类指标权重为40分，得分为40分，得分率为100%。项目效益类指标权重为20分，得分为20分，得分率为100%。具体打分情况详见：附件1综合评分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表1综合评分表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一级指标 权重分 得分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 40 40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合计 100 100</w:t>
      </w:r>
    </w:p>
    <w:p w14:paraId="193EE1C3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63ECE86F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36438B91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立项根据自治区财政厅《关于提前下达2024年中央医疗服务与保障能力提升》（公立医院综合改革）补助资金预算的通知（新财社[2024]38号），围绕本年度工作重点和工作计划制定经费预算，属于公共财政支持范围。本项目与部门内部其他相关项目不重复。部门发展规划及职能文件等归档完整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申请、设立过程符合相关要求，严格按照审批流程准备符合自治区财政厅《关于提前下达2024年中央医疗服务与保障能力提升》（公立医院综合改革）补助资金预算的通知（新财社[2024]38号）的要求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年初结合实际工作内容设定绩效目标，绩效目标根据自治区财政厅《关于下达2024年中央医疗服务与保障能力提升》（公立医院综合改革）补助资金预算的通知（新财社[20234]38号）文件精神，对项目任务进行了详细分解，项目预期产出效益及效果符合正常的业绩水平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设置了明确的预期产出效益和效果，并严格按照我院年初设立的项目资金计划，将绩效目标细化分解为具体的绩效指标，绩效目标与项目目标任务数相对应，绩效目标设定的绩效指标清晰、细化、可衡量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本项目的预算编制过程严谨、科学，充分体现了精细化管理的要求。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还注重了成本控制与效益最大化的原则。严格按照巴州蒙医院专项资金管理办法执行，由项目负责人徐帮柱牵头，下设工作小组，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计划在2024年10月31日前，购买2台医用设备37万元，对不同阶段、不同任务的资金进行了科学的规划与安排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具体而言，资金分配紧密结合了项目的特点与实际情况，严格按照公立医院改革项目资金的使用计划，进行资金的均衡分配，避免了资源浪费与资金闲置。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严格按照自治区财政厅《关于提前下达2024年中央医疗服务与保障能力提升》（公立医院综合改革）补助资金预算的通知（新财社[2023]214号），资金分配的合理性为项目的成功实施提供了有力的保障，也为项目的绩效评价奠定了坚实的基础。此项权重分值为4分，得分为4分。</w:t>
      </w:r>
    </w:p>
    <w:p w14:paraId="16AEBA34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695DA216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本项目总投资37万元，财政资金及时足额到位，到位率100%，预算资金按计划进度执行。此项权重分值为4分，得分为4分。此项权重分值为4分，得分为4分。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预算编制较为详细，项目资金支出总体能够按照预算执行，预算资金支出37万元，预算执行率为100%。此项权重分值为4分，得分为4分。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了自治区财政厅《关于提前下达2024年中央医疗服务与保障能力提升》（公立医院综合改革）补助资金预算的通知（新财社[2024]38号），确保了资金的合规性与安全性。在资金使用过程中，我们建立了完善的财务管理体系，对资金的流动进行了全程监控与记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自治区财政厅《关于提前下达2024年中央医疗服务与保障能力提升》（公立医院综合改革）补助资金预算的通知（新财社[2023]214号）的要求，又满足了项目实施的实际需要。资金使用的合规性为项目的成功实施提供了有力的保障，也为项目的绩效评价奠定了坚实的基础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开展此项目严格按照巴州蒙医院专项资金管理办法执行，由项目负责人徐帮柱牵头，下设工作小组，财务科室与业务科室共同完成此项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是健全的、有效的，既符合自治区财政厅《关于提前下达2024年中央医疗服务与保障能力提升》（公立医院综合改革）补助资金预算的通知（新财社[2023]214号）。管理制度的健全性为项目的成功实施提供了有力的保障，也为项目的绩效评价奠定了坚实的基础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管理制度得到了全面、有效的落实，为确保项目的顺利实施与目标实现提供了坚实的保障。项目的实施严格按照自治区财政厅《关于下达2024年中央医疗服务与保障能力提升》（公立医院综合改革）补助资金预算的通知（新财社[20234]38号）文件精神进行实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在执行过程中表现出了高度的有效性，严格按照自治区财政厅《关于提前下达2024年中央医疗服务与保障能力提升》（公立医院综合改革）补助资金预算的通知（新财社[2023]214号），既确保了项目的顺利进行，又实现了项目目标的有效达成。此项权重分值为4分，得分为4分。</w:t>
      </w:r>
    </w:p>
    <w:p w14:paraId="2FE2F256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626EE913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项目产出类指标包括产出数量、产出质量、产出时效、产出成本四方面的内容，由8个三级指标构成，权重分为40分，实际得分40分，得分率为100%。具体产出指标完成情况如下：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指标1：购买设备数量，指标值：=2台，实际完成值： 2台，指标完成率：100%。此项权重分值为10分，得分为10分。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质量合格率，指标值：=100%，实际完成值：100%，指标完成率：100%，指标2：设备验收合格率，指标值：=100%，实际完成值：100%，指标完成率：100%，指标3：政府采购率，指标值：=100%，实际完成值：100%，指标完成率：100%。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指标1：购买设备完成时间，指标值：2024年10月31日，实际完成值：2024年8月27日，指标完成率：100%。此项权重分值为10分，得分为10分。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指标1：平均每台设备购买费用，指标值：&lt;=18.5万元，实际完成值：18.5万元，指标完成率：100%。此项权重分值为10分，得分为10分。</w:t>
      </w:r>
    </w:p>
    <w:p w14:paraId="60A14B4F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77D93E49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经济效益指标：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指标1：设备利用率，指标值：&gt;=80%，实际完成值：80%，指标完成率：100%。此项权重分值为10分，得分为10分。</w:t>
      </w:r>
    </w:p>
    <w:p w14:paraId="4C507AE9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满意度指标：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指标1：患者满意度，指标值：&gt;=90%，实际完成值：90%，指标完成率：100%。此项权重分值为10分，得分为10分。</w:t>
      </w:r>
    </w:p>
    <w:p w14:paraId="141C5C19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0FEAE5A3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1、领导高度重视，收到资金后，我院领导班子高度重视，第一时间召开专题会议动员部署我院中医药传承与发展工作，组织学习相关文件，吃透文件精神，确保工作不走样，出成效。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、严格坚持先做事、后验收、再拨付的原则，基本杜绝了资金被挤占和挪用现象的发生，跟踪检查到位。严格遵守“三重一大”制度，一万元以上的开支均在党委会上讨论通过，我院成立了采购领导小组监督领导小组，所有经费的管理使用实行公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 xml:space="preserve"> 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1、相关绩效管理方面专业知识的系统性学习有待加强。对各项指标的设置不够完善。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2、绩效管理理念尚未牢固树立，绩效管理专业人员匮乏。我院主要以财务人员牵头开展绩效管理，工作推动机制不全。</w:t>
      </w:r>
    </w:p>
    <w:p w14:paraId="27EAAF3D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3CB0539A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1.今后我院会加强对各项指标的设置，会进一步优化、完善项目绩效指标，在细化、量化上进行改进。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2.我院会继续增加对业务人员和业务科室对于绩效工作的认识度，更加完善的设立、完成绩效工作。</w:t>
      </w:r>
    </w:p>
    <w:p w14:paraId="41ABFE5E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1D197574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本项目无其他需说明的问题。</w:t>
      </w:r>
    </w:p>
    <w:p w14:paraId="1368BC3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F5C3011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B4EDF2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3CEF12C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DDD3C0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7DB9141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6FCD848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1AE3F8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4319287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927571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A653743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FD0FE0A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C443A05-C97C-4498-95BA-EB545F1BF15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12F4F5D-E413-4419-AFAC-6CA5199B036A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966287D-F579-4200-9577-C2ED0B057DE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8FBC568E-67C5-4DA4-947B-336D25C97689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84ACB265-D679-4145-BCC9-4808CD5B4F1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ED5F5463-FBCB-42BF-949F-B99D787A615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769A0B91-ABD5-4610-997F-280582ACD2E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39F93B38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5269CCCF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ED2342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4fb82d16-3604-4701-938a-a8922094b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9396</Words>
  <Characters>9788</Characters>
  <Lines>5</Lines>
  <Paragraphs>1</Paragraphs>
  <TotalTime>0</TotalTime>
  <ScaleCrop>false</ScaleCrop>
  <LinksUpToDate>false</LinksUpToDate>
  <CharactersWithSpaces>9820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2025-09-22T03:57:48Z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