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新疆巴音郭楞蒙古自治州疾病预防控制中心2024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2D7034">
      <w:r>
        <w:br w:type="page"/>
      </w:r>
    </w:p>
    <w:p w14:paraId="2ACAD6EB">
      <w:pPr>
        <w:spacing w:line="640" w:lineRule="exact"/>
        <w:jc w:val="center"/>
        <w:outlineLvl w:val="1"/>
      </w:pPr>
      <w:r>
        <w:rPr>
          <w:rFonts w:ascii="黑体" w:hAnsi="黑体" w:eastAsia="黑体"/>
          <w:sz w:val="32"/>
        </w:rPr>
        <w:t>第一部分 单位概况</w:t>
      </w:r>
    </w:p>
    <w:p w14:paraId="5BCAC7E0">
      <w:pPr>
        <w:spacing w:line="640" w:lineRule="exact"/>
        <w:ind w:firstLine="640"/>
        <w:jc w:val="both"/>
        <w:outlineLvl w:val="2"/>
      </w:pPr>
      <w:r>
        <w:rPr>
          <w:rFonts w:ascii="黑体" w:hAnsi="黑体" w:eastAsia="黑体"/>
          <w:sz w:val="32"/>
        </w:rPr>
        <w:t>一、主要职能</w:t>
      </w:r>
    </w:p>
    <w:p w14:paraId="49870C61">
      <w:pPr>
        <w:spacing w:line="580" w:lineRule="exact"/>
        <w:ind w:firstLine="640"/>
        <w:jc w:val="both"/>
      </w:pPr>
      <w:r>
        <w:rPr>
          <w:rFonts w:ascii="仿宋_GB2312" w:hAnsi="仿宋_GB2312" w:eastAsia="仿宋_GB2312"/>
          <w:sz w:val="32"/>
        </w:rPr>
        <w:t>（1）全州疾病预防与控制、突发公共卫生事件预警与处置。</w:t>
      </w:r>
    </w:p>
    <w:p w14:paraId="66817BDE">
      <w:pPr>
        <w:spacing w:line="580" w:lineRule="exact"/>
        <w:ind w:firstLine="640"/>
        <w:jc w:val="both"/>
      </w:pPr>
      <w:r>
        <w:rPr>
          <w:rFonts w:ascii="仿宋_GB2312" w:hAnsi="仿宋_GB2312" w:eastAsia="仿宋_GB2312"/>
          <w:sz w:val="32"/>
        </w:rPr>
        <w:t>（2）</w:t>
      </w:r>
      <w:r>
        <w:rPr>
          <w:rFonts w:hint="eastAsia" w:ascii="仿宋_GB2312" w:hAnsi="仿宋_GB2312" w:eastAsia="仿宋_GB2312"/>
          <w:sz w:val="32"/>
          <w:lang w:eastAsia="zh-CN"/>
        </w:rPr>
        <w:t>YQ</w:t>
      </w:r>
      <w:r>
        <w:rPr>
          <w:rFonts w:ascii="仿宋_GB2312" w:hAnsi="仿宋_GB2312" w:eastAsia="仿宋_GB2312"/>
          <w:sz w:val="32"/>
        </w:rPr>
        <w:t>监测与报告、检测检验与卫生学评价、预防医学科研、健康教育宣传培训等预防医学领域各项工作以及区域性重大</w:t>
      </w:r>
      <w:r>
        <w:rPr>
          <w:rFonts w:hint="eastAsia" w:ascii="仿宋_GB2312" w:hAnsi="仿宋_GB2312" w:eastAsia="仿宋_GB2312"/>
          <w:sz w:val="32"/>
          <w:lang w:eastAsia="zh-CN"/>
        </w:rPr>
        <w:t>YQ</w:t>
      </w:r>
      <w:r>
        <w:rPr>
          <w:rFonts w:ascii="仿宋_GB2312" w:hAnsi="仿宋_GB2312" w:eastAsia="仿宋_GB2312"/>
          <w:sz w:val="32"/>
        </w:rPr>
        <w:t>的公共卫生保障工作。</w:t>
      </w:r>
    </w:p>
    <w:p w14:paraId="3F7FC49B">
      <w:pPr>
        <w:spacing w:line="580" w:lineRule="exact"/>
        <w:ind w:firstLine="640"/>
        <w:jc w:val="both"/>
      </w:pPr>
      <w:r>
        <w:rPr>
          <w:rFonts w:ascii="仿宋_GB2312" w:hAnsi="仿宋_GB2312" w:eastAsia="仿宋_GB2312"/>
          <w:sz w:val="32"/>
        </w:rPr>
        <w:t>（3）负责面向社会切实抓好公共卫生监督、医疗卫生监督、职业卫生监督、</w:t>
      </w:r>
      <w:r>
        <w:rPr>
          <w:rFonts w:hint="eastAsia" w:ascii="仿宋_GB2312" w:hAnsi="仿宋_GB2312" w:eastAsia="仿宋_GB2312"/>
          <w:sz w:val="32"/>
          <w:lang w:eastAsia="zh-CN"/>
        </w:rPr>
        <w:t>JHSY</w:t>
      </w:r>
      <w:r>
        <w:rPr>
          <w:rFonts w:ascii="仿宋_GB2312" w:hAnsi="仿宋_GB2312" w:eastAsia="仿宋_GB2312"/>
          <w:sz w:val="32"/>
        </w:rPr>
        <w:t>监督、中医药卫生监督等日常卫生监督执法任务。</w:t>
      </w:r>
    </w:p>
    <w:p w14:paraId="5DFBA822">
      <w:pPr>
        <w:spacing w:line="580" w:lineRule="exact"/>
        <w:ind w:firstLine="640"/>
        <w:jc w:val="both"/>
      </w:pPr>
      <w:r>
        <w:rPr>
          <w:rFonts w:ascii="仿宋_GB2312" w:hAnsi="仿宋_GB2312" w:eastAsia="仿宋_GB2312"/>
          <w:sz w:val="32"/>
        </w:rPr>
        <w:t>（4）负责对违反卫生法律、法规、规章案件的受理、立案和调查处理工作。</w:t>
      </w:r>
    </w:p>
    <w:p w14:paraId="354DADD7">
      <w:pPr>
        <w:spacing w:line="580" w:lineRule="exact"/>
        <w:ind w:firstLine="640"/>
        <w:jc w:val="both"/>
      </w:pPr>
      <w:r>
        <w:rPr>
          <w:rFonts w:ascii="仿宋_GB2312" w:hAnsi="仿宋_GB2312" w:eastAsia="仿宋_GB2312"/>
          <w:sz w:val="32"/>
        </w:rPr>
        <w:t>（5）负责国家、自治区和自治州卫生行政部门下达产品抽检，快检监测工作和专项整治任务的实施。</w:t>
      </w:r>
    </w:p>
    <w:p w14:paraId="49C86012">
      <w:pPr>
        <w:spacing w:line="640" w:lineRule="exact"/>
        <w:ind w:firstLine="640"/>
        <w:jc w:val="both"/>
        <w:outlineLvl w:val="2"/>
      </w:pPr>
      <w:r>
        <w:rPr>
          <w:rFonts w:ascii="黑体" w:hAnsi="黑体" w:eastAsia="黑体"/>
          <w:sz w:val="32"/>
        </w:rPr>
        <w:t>二、机构设置及人员情况</w:t>
      </w:r>
    </w:p>
    <w:p w14:paraId="469F1913">
      <w:pPr>
        <w:spacing w:line="580" w:lineRule="exact"/>
        <w:ind w:firstLine="640"/>
        <w:jc w:val="both"/>
      </w:pPr>
      <w:r>
        <w:rPr>
          <w:rFonts w:ascii="仿宋_GB2312" w:hAnsi="仿宋_GB2312" w:eastAsia="仿宋_GB2312"/>
          <w:sz w:val="32"/>
        </w:rPr>
        <w:t>新疆巴音郭楞蒙古自治州疾病预防控制中心2024年度，实有人数219人，其中：在职人员91人，增加13人；离休人员0人，增加0人；退休人员128人,增加24人。</w:t>
      </w:r>
    </w:p>
    <w:p w14:paraId="172E4B8A">
      <w:pPr>
        <w:spacing w:line="580" w:lineRule="exact"/>
        <w:ind w:firstLine="640"/>
        <w:jc w:val="both"/>
      </w:pPr>
      <w:r>
        <w:rPr>
          <w:rFonts w:ascii="仿宋_GB2312" w:hAnsi="仿宋_GB2312" w:eastAsia="仿宋_GB2312"/>
          <w:sz w:val="32"/>
        </w:rPr>
        <w:t>新疆巴音郭楞蒙古自治州疾病预防控制中心无下属预算单位，下设22个科室，分别是：办公室、党建科、传染病预防控制科、免疫规划科、性病</w:t>
      </w:r>
      <w:r>
        <w:rPr>
          <w:rFonts w:hint="eastAsia" w:ascii="仿宋_GB2312" w:hAnsi="仿宋_GB2312" w:eastAsia="仿宋_GB2312"/>
          <w:sz w:val="32"/>
          <w:lang w:val="en-US" w:eastAsia="zh-CN"/>
        </w:rPr>
        <w:t>AZB</w:t>
      </w:r>
      <w:r>
        <w:rPr>
          <w:rFonts w:ascii="仿宋_GB2312" w:hAnsi="仿宋_GB2312" w:eastAsia="仿宋_GB2312"/>
          <w:sz w:val="32"/>
        </w:rPr>
        <w:t>预防控制科、结核病与麻风病预防控制科、地方病预防控制科、应急鼠防科、消毒与病媒生物环境科、公共卫生科、营养与食品安全科、职业健康与辐射防护科、慢性非传染性疾病预防控制科、健康教育与科研科、质量管理办公室、检验科、法制审核稽查科、公共卫生监督科、医疗卫生监督科、传染病防治监督科、中医药卫生监督科、职业（放射）卫生监督科。</w:t>
      </w:r>
    </w:p>
    <w:p w14:paraId="22A8D65D">
      <w:r>
        <w:br w:type="page"/>
      </w:r>
    </w:p>
    <w:p w14:paraId="38E8EACB">
      <w:pPr>
        <w:spacing w:line="240" w:lineRule="auto"/>
        <w:jc w:val="center"/>
        <w:outlineLvl w:val="1"/>
      </w:pPr>
      <w:r>
        <w:rPr>
          <w:rFonts w:ascii="黑体" w:hAnsi="黑体" w:eastAsia="黑体"/>
          <w:sz w:val="32"/>
        </w:rPr>
        <w:t>第二部分 部门决算情况说明</w:t>
      </w:r>
    </w:p>
    <w:p w14:paraId="37E78D58">
      <w:pPr>
        <w:spacing w:line="640" w:lineRule="exact"/>
        <w:ind w:firstLine="640"/>
        <w:jc w:val="both"/>
        <w:outlineLvl w:val="2"/>
      </w:pPr>
      <w:r>
        <w:rPr>
          <w:rFonts w:ascii="黑体" w:hAnsi="黑体" w:eastAsia="黑体"/>
          <w:sz w:val="32"/>
        </w:rPr>
        <w:t>一、收入支出决算总体情况说明</w:t>
      </w:r>
    </w:p>
    <w:p w14:paraId="6728D167">
      <w:pPr>
        <w:spacing w:line="580" w:lineRule="exact"/>
        <w:ind w:firstLine="640"/>
        <w:jc w:val="both"/>
      </w:pPr>
      <w:r>
        <w:rPr>
          <w:rFonts w:ascii="仿宋_GB2312" w:hAnsi="仿宋_GB2312" w:eastAsia="仿宋_GB2312"/>
          <w:b/>
          <w:sz w:val="32"/>
        </w:rPr>
        <w:t>2024年度收入总计2,903.89万元，</w:t>
      </w:r>
      <w:r>
        <w:rPr>
          <w:rFonts w:ascii="仿宋_GB2312" w:hAnsi="仿宋_GB2312" w:eastAsia="仿宋_GB2312"/>
          <w:b w:val="0"/>
          <w:sz w:val="32"/>
        </w:rPr>
        <w:t>其中：本年收入合计2,903.80万元，使用非财政拨款结余（含专用结余）0.00万元，年初结转和结余0.09万元。</w:t>
      </w:r>
    </w:p>
    <w:p w14:paraId="3D114488">
      <w:pPr>
        <w:spacing w:line="580" w:lineRule="exact"/>
        <w:ind w:firstLine="640"/>
        <w:jc w:val="both"/>
      </w:pPr>
      <w:r>
        <w:rPr>
          <w:rFonts w:ascii="仿宋_GB2312" w:hAnsi="仿宋_GB2312" w:eastAsia="仿宋_GB2312"/>
          <w:b/>
          <w:sz w:val="32"/>
        </w:rPr>
        <w:t>2024年度支出总计2,903.89万元，</w:t>
      </w:r>
      <w:r>
        <w:rPr>
          <w:rFonts w:ascii="仿宋_GB2312" w:hAnsi="仿宋_GB2312" w:eastAsia="仿宋_GB2312"/>
          <w:b w:val="0"/>
          <w:sz w:val="32"/>
        </w:rPr>
        <w:t>其中：本年支出合计2,864.60万元，结余分配0.00万元，年末结转和结余39.29万元。</w:t>
      </w:r>
    </w:p>
    <w:p w14:paraId="6B545F2B">
      <w:pPr>
        <w:spacing w:line="580" w:lineRule="exact"/>
        <w:ind w:firstLine="640"/>
        <w:jc w:val="both"/>
      </w:pPr>
      <w:r>
        <w:rPr>
          <w:rFonts w:ascii="仿宋_GB2312" w:hAnsi="仿宋_GB2312" w:eastAsia="仿宋_GB2312"/>
          <w:b w:val="0"/>
          <w:sz w:val="32"/>
        </w:rPr>
        <w:t>收入支出总体与上年相比，减少1,307.90万元，下降31.05%，主要原因是：本年减少巴州疾病预防控制中心疾控能力建设项目-实验室设备采购及模块化安装项目、卫生健康领域第一批中央基建投资预算资金（实验楼建设）项目，导致经费较上年减少。</w:t>
      </w:r>
    </w:p>
    <w:p w14:paraId="5A30D6F2">
      <w:pPr>
        <w:spacing w:line="640" w:lineRule="exact"/>
        <w:ind w:firstLine="640"/>
        <w:jc w:val="both"/>
        <w:outlineLvl w:val="2"/>
      </w:pPr>
      <w:r>
        <w:rPr>
          <w:rFonts w:ascii="黑体" w:hAnsi="黑体" w:eastAsia="黑体"/>
          <w:sz w:val="32"/>
        </w:rPr>
        <w:t>二、收入决算情况说明</w:t>
      </w:r>
    </w:p>
    <w:p w14:paraId="2087EADC">
      <w:pPr>
        <w:spacing w:line="580" w:lineRule="exact"/>
        <w:ind w:firstLine="640"/>
        <w:jc w:val="both"/>
      </w:pPr>
      <w:r>
        <w:rPr>
          <w:rFonts w:ascii="仿宋_GB2312" w:hAnsi="仿宋_GB2312" w:eastAsia="仿宋_GB2312"/>
          <w:b/>
          <w:sz w:val="32"/>
        </w:rPr>
        <w:t>本年收入2,903.80万元，</w:t>
      </w:r>
      <w:r>
        <w:rPr>
          <w:rFonts w:ascii="仿宋_GB2312" w:hAnsi="仿宋_GB2312" w:eastAsia="仿宋_GB2312"/>
          <w:b w:val="0"/>
          <w:sz w:val="32"/>
        </w:rPr>
        <w:t>其中：财政拨款收入2,835.39万元，占97.64%；上级补助收入0.00万元，占0.00%；事业收入0.00万元，占0.00%；经营收入0.00万元，占0.00%；附属单位上缴收入0.00万元，占0.00%；其他收入68.41万元，占2.36%。</w:t>
      </w:r>
    </w:p>
    <w:p w14:paraId="257DD4B4">
      <w:pPr>
        <w:spacing w:line="640" w:lineRule="exact"/>
        <w:ind w:firstLine="640"/>
        <w:jc w:val="both"/>
        <w:outlineLvl w:val="2"/>
      </w:pPr>
      <w:r>
        <w:rPr>
          <w:rFonts w:ascii="黑体" w:hAnsi="黑体" w:eastAsia="黑体"/>
          <w:sz w:val="32"/>
        </w:rPr>
        <w:t>三、支出决算情况说明</w:t>
      </w:r>
    </w:p>
    <w:p w14:paraId="5AEBEAF0">
      <w:pPr>
        <w:spacing w:line="580" w:lineRule="exact"/>
        <w:ind w:firstLine="640"/>
        <w:jc w:val="both"/>
      </w:pPr>
      <w:r>
        <w:rPr>
          <w:rFonts w:ascii="仿宋_GB2312" w:hAnsi="仿宋_GB2312" w:eastAsia="仿宋_GB2312"/>
          <w:b/>
          <w:sz w:val="32"/>
        </w:rPr>
        <w:t>本年支出2,864.60万元，</w:t>
      </w:r>
      <w:r>
        <w:rPr>
          <w:rFonts w:ascii="仿宋_GB2312" w:hAnsi="仿宋_GB2312" w:eastAsia="仿宋_GB2312"/>
          <w:b w:val="0"/>
          <w:sz w:val="32"/>
        </w:rPr>
        <w:t>其中：基本支出2,007.10万元，占70.07%；项目支出857.50万元，占29.93%；上缴上级支出0.00万元，占0.00%；经营支出0.00万元，占0.00%；对附属单位补助支出0.00万元，占0.00%。</w:t>
      </w:r>
    </w:p>
    <w:p w14:paraId="6A94E1B8">
      <w:pPr>
        <w:spacing w:line="640" w:lineRule="exact"/>
        <w:ind w:firstLine="640"/>
        <w:jc w:val="both"/>
        <w:outlineLvl w:val="2"/>
      </w:pPr>
      <w:r>
        <w:rPr>
          <w:rFonts w:ascii="黑体" w:hAnsi="黑体" w:eastAsia="黑体"/>
          <w:sz w:val="32"/>
        </w:rPr>
        <w:t>四、财政拨款收入支出决算总体情况说明</w:t>
      </w:r>
    </w:p>
    <w:p w14:paraId="034E11AE">
      <w:pPr>
        <w:spacing w:line="580" w:lineRule="exact"/>
        <w:ind w:firstLine="640"/>
        <w:jc w:val="both"/>
      </w:pPr>
      <w:r>
        <w:rPr>
          <w:rFonts w:ascii="仿宋_GB2312" w:hAnsi="仿宋_GB2312" w:eastAsia="仿宋_GB2312"/>
          <w:b/>
          <w:sz w:val="32"/>
        </w:rPr>
        <w:t>2024年度财政拨款收入总计2,835.39万元，</w:t>
      </w:r>
      <w:r>
        <w:rPr>
          <w:rFonts w:ascii="仿宋_GB2312" w:hAnsi="仿宋_GB2312" w:eastAsia="仿宋_GB2312"/>
          <w:b w:val="0"/>
          <w:sz w:val="32"/>
        </w:rPr>
        <w:t>其中：年初财政拨款结转和结余0.00万元，本年财政拨款收入2,835.39万元。</w:t>
      </w:r>
      <w:r>
        <w:rPr>
          <w:rFonts w:ascii="仿宋_GB2312" w:hAnsi="仿宋_GB2312" w:eastAsia="仿宋_GB2312"/>
          <w:b/>
          <w:sz w:val="32"/>
        </w:rPr>
        <w:t>财政拨款支出总计2,835.39万元，</w:t>
      </w:r>
      <w:r>
        <w:rPr>
          <w:rFonts w:ascii="仿宋_GB2312" w:hAnsi="仿宋_GB2312" w:eastAsia="仿宋_GB2312"/>
          <w:b w:val="0"/>
          <w:sz w:val="32"/>
        </w:rPr>
        <w:t>其中：年末财政拨款结转和结余0.00万元，本年财政拨款支出2,835.39万元。</w:t>
      </w:r>
    </w:p>
    <w:p w14:paraId="6B7829E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1,376.31万元，下降32.68%，主要原因是：本年减少巴州疾病预防控制中心疾控能力建设项目-实验室设备采购及模块化安装项目、卫生健康领域第一批中央基建投资预算资金（实验楼建设）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年初预算数2,906.62万元，决算数2,835.39万元，预决算差异率-2.45%，主要原因是：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基本公共卫生服务资金。</w:t>
      </w:r>
    </w:p>
    <w:p w14:paraId="43BBE16B">
      <w:pPr>
        <w:spacing w:line="640" w:lineRule="exact"/>
        <w:ind w:firstLine="640"/>
        <w:jc w:val="both"/>
        <w:outlineLvl w:val="2"/>
      </w:pPr>
      <w:r>
        <w:rPr>
          <w:rFonts w:ascii="黑体" w:hAnsi="黑体" w:eastAsia="黑体"/>
          <w:sz w:val="32"/>
        </w:rPr>
        <w:t>五、一般公共预算财政拨款支出决算情况说明</w:t>
      </w:r>
    </w:p>
    <w:p w14:paraId="7503CEBF">
      <w:pPr>
        <w:spacing w:line="640" w:lineRule="exact"/>
        <w:ind w:firstLine="640"/>
        <w:jc w:val="both"/>
        <w:outlineLvl w:val="3"/>
      </w:pPr>
      <w:r>
        <w:rPr>
          <w:rFonts w:ascii="楷体_GB2312" w:hAnsi="楷体_GB2312" w:eastAsia="楷体_GB2312"/>
          <w:b/>
          <w:sz w:val="32"/>
        </w:rPr>
        <w:t>（一）一般公共预算财政拨款支出决算总体情况</w:t>
      </w:r>
    </w:p>
    <w:p w14:paraId="06249975">
      <w:pPr>
        <w:spacing w:line="580" w:lineRule="exact"/>
        <w:ind w:firstLine="640"/>
        <w:jc w:val="both"/>
      </w:pPr>
      <w:r>
        <w:rPr>
          <w:rFonts w:ascii="仿宋_GB2312" w:hAnsi="仿宋_GB2312" w:eastAsia="仿宋_GB2312"/>
          <w:b/>
          <w:sz w:val="32"/>
        </w:rPr>
        <w:t>2024年度一般公共预算财政拨款支出2,835.39万元，</w:t>
      </w:r>
      <w:r>
        <w:rPr>
          <w:rFonts w:ascii="仿宋_GB2312" w:hAnsi="仿宋_GB2312" w:eastAsia="仿宋_GB2312"/>
          <w:b w:val="0"/>
          <w:sz w:val="32"/>
        </w:rPr>
        <w:t>占本年支出合计的98.98%。</w:t>
      </w:r>
      <w:r>
        <w:rPr>
          <w:rFonts w:ascii="仿宋_GB2312" w:hAnsi="仿宋_GB2312" w:eastAsia="仿宋_GB2312"/>
          <w:b/>
          <w:sz w:val="32"/>
        </w:rPr>
        <w:t>与上年相比，</w:t>
      </w:r>
      <w:r>
        <w:rPr>
          <w:rFonts w:ascii="仿宋_GB2312" w:hAnsi="仿宋_GB2312" w:eastAsia="仿宋_GB2312"/>
          <w:b w:val="0"/>
          <w:sz w:val="32"/>
        </w:rPr>
        <w:t>减少1,376.31万元，下降32.68%，主要原因是：本年减少巴州疾病预防控制中心疾控能力建设项目-实验室设备采购及模块化安装项目、卫生健康领域第一批中央基建投资预算资金（实验楼建设）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年初预算数2,906.62万元，决算数2,835.39万元，预决算差异率-2.45%，主要原因是：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基本公共卫生服务资金。</w:t>
      </w:r>
    </w:p>
    <w:p w14:paraId="26DE0A21">
      <w:pPr>
        <w:spacing w:line="640" w:lineRule="exact"/>
        <w:ind w:firstLine="640"/>
        <w:jc w:val="both"/>
        <w:outlineLvl w:val="3"/>
      </w:pPr>
      <w:r>
        <w:rPr>
          <w:rFonts w:ascii="楷体_GB2312" w:hAnsi="楷体_GB2312" w:eastAsia="楷体_GB2312"/>
          <w:b/>
          <w:sz w:val="32"/>
        </w:rPr>
        <w:t>（二）一般公共预算财政拨款支出决算结构情况</w:t>
      </w:r>
    </w:p>
    <w:p w14:paraId="70ED8C63">
      <w:pPr>
        <w:spacing w:line="580" w:lineRule="exact"/>
        <w:ind w:firstLine="640"/>
        <w:jc w:val="both"/>
      </w:pPr>
      <w:r>
        <w:rPr>
          <w:rFonts w:ascii="仿宋_GB2312" w:hAnsi="仿宋_GB2312" w:eastAsia="仿宋_GB2312"/>
          <w:b w:val="0"/>
          <w:sz w:val="32"/>
        </w:rPr>
        <w:t>1.教育支出(类)5.24万元,占0.18%。</w:t>
      </w:r>
    </w:p>
    <w:p w14:paraId="78D01F51">
      <w:pPr>
        <w:spacing w:line="580" w:lineRule="exact"/>
        <w:ind w:firstLine="640"/>
        <w:jc w:val="both"/>
      </w:pPr>
      <w:r>
        <w:rPr>
          <w:rFonts w:ascii="仿宋_GB2312" w:hAnsi="仿宋_GB2312" w:eastAsia="仿宋_GB2312"/>
          <w:b w:val="0"/>
          <w:sz w:val="32"/>
        </w:rPr>
        <w:t>2.社会保障和就业支出(类)391.44万元,占13.81%。</w:t>
      </w:r>
    </w:p>
    <w:p w14:paraId="315EFFFF">
      <w:pPr>
        <w:spacing w:line="580" w:lineRule="exact"/>
        <w:ind w:firstLine="640"/>
        <w:jc w:val="both"/>
      </w:pPr>
      <w:r>
        <w:rPr>
          <w:rFonts w:ascii="仿宋_GB2312" w:hAnsi="仿宋_GB2312" w:eastAsia="仿宋_GB2312"/>
          <w:b w:val="0"/>
          <w:sz w:val="32"/>
        </w:rPr>
        <w:t>3.卫生健康支出(类)2,309.14万元,占81.44%。</w:t>
      </w:r>
    </w:p>
    <w:p w14:paraId="7AA652E6">
      <w:pPr>
        <w:spacing w:line="580" w:lineRule="exact"/>
        <w:ind w:firstLine="640"/>
        <w:jc w:val="both"/>
      </w:pPr>
      <w:r>
        <w:rPr>
          <w:rFonts w:ascii="仿宋_GB2312" w:hAnsi="仿宋_GB2312" w:eastAsia="仿宋_GB2312"/>
          <w:b w:val="0"/>
          <w:sz w:val="32"/>
        </w:rPr>
        <w:t>4.住房保障支出(类)129.57万元,占4.57%。</w:t>
      </w:r>
    </w:p>
    <w:p w14:paraId="714B5A4D">
      <w:pPr>
        <w:spacing w:line="640" w:lineRule="exact"/>
        <w:ind w:firstLine="640"/>
        <w:jc w:val="both"/>
        <w:outlineLvl w:val="3"/>
      </w:pPr>
      <w:r>
        <w:rPr>
          <w:rFonts w:ascii="楷体_GB2312" w:hAnsi="楷体_GB2312" w:eastAsia="楷体_GB2312"/>
          <w:b/>
          <w:sz w:val="32"/>
        </w:rPr>
        <w:t>（三）一般公共预算财政拨款支出决算具体情况</w:t>
      </w:r>
    </w:p>
    <w:p w14:paraId="7D7D2E14">
      <w:pPr>
        <w:spacing w:line="580" w:lineRule="exact"/>
        <w:ind w:firstLine="640"/>
        <w:jc w:val="both"/>
      </w:pPr>
      <w:r>
        <w:rPr>
          <w:rFonts w:ascii="仿宋_GB2312" w:hAnsi="仿宋_GB2312" w:eastAsia="仿宋_GB2312"/>
          <w:b w:val="0"/>
          <w:sz w:val="32"/>
        </w:rPr>
        <w:t>1.教育支出(类)进修及培训(款)培训支出(项):支出决算数为5.24万元，比上年决算增加3.10万元，增长144.86%,主要原因是：本年开展培训</w:t>
      </w:r>
      <w:r>
        <w:rPr>
          <w:rFonts w:hint="eastAsia" w:ascii="仿宋_GB2312" w:hAnsi="仿宋_GB2312" w:eastAsia="仿宋_GB2312"/>
          <w:b w:val="0"/>
          <w:sz w:val="32"/>
          <w:lang w:val="en-US" w:eastAsia="zh-CN"/>
        </w:rPr>
        <w:t>次数</w:t>
      </w:r>
      <w:r>
        <w:rPr>
          <w:rFonts w:ascii="仿宋_GB2312" w:hAnsi="仿宋_GB2312" w:eastAsia="仿宋_GB2312"/>
          <w:b w:val="0"/>
          <w:sz w:val="32"/>
        </w:rPr>
        <w:t>增加，导致培训</w:t>
      </w:r>
      <w:r>
        <w:rPr>
          <w:rFonts w:hint="eastAsia" w:ascii="仿宋_GB2312" w:hAnsi="仿宋_GB2312" w:eastAsia="仿宋_GB2312"/>
          <w:b w:val="0"/>
          <w:sz w:val="32"/>
          <w:lang w:val="en-US" w:eastAsia="zh-CN"/>
        </w:rPr>
        <w:t>费</w:t>
      </w:r>
      <w:r>
        <w:rPr>
          <w:rFonts w:ascii="仿宋_GB2312" w:hAnsi="仿宋_GB2312" w:eastAsia="仿宋_GB2312"/>
          <w:b w:val="0"/>
          <w:sz w:val="32"/>
        </w:rPr>
        <w:t>增加。</w:t>
      </w:r>
    </w:p>
    <w:p w14:paraId="6B97C483">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15.08万元，比上年决算增加15.08万元，增长100.00%,主要原因是：本年机构改革卫生监督所并入本单位，退休人员增加，退休费支出增加。</w:t>
      </w:r>
    </w:p>
    <w:p w14:paraId="68CB3CA4">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3.社会保障和就业支出(类)行政事业单位养老支出(款)事业单位离退休(项):支出决算数为112.44万元，比上年决算增加27.71万元，增长32.70%,主要原因是：本年退休人员增加，退休费支出增加。</w:t>
      </w:r>
    </w:p>
    <w:p w14:paraId="405D94AA">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4.社会保障和就业支出(类)行政事业单位养老支出(款)机关事业单位基本养老保险缴费支出(项):支出决算数为162.68万元，比上年决算增加32.72万元，增长25.18%,主要原因是：本年机构改革卫生监督所并入本单位</w:t>
      </w:r>
      <w:r>
        <w:rPr>
          <w:rFonts w:hint="eastAsia" w:ascii="仿宋_GB2312" w:hAnsi="仿宋_GB2312" w:eastAsia="仿宋_GB2312"/>
          <w:b w:val="0"/>
          <w:sz w:val="32"/>
          <w:lang w:eastAsia="zh-CN"/>
        </w:rPr>
        <w:t>，</w:t>
      </w:r>
      <w:r>
        <w:rPr>
          <w:rFonts w:ascii="仿宋_GB2312" w:hAnsi="仿宋_GB2312" w:eastAsia="仿宋_GB2312"/>
          <w:b w:val="0"/>
          <w:sz w:val="32"/>
        </w:rPr>
        <w:t>在职人员增加，养老保险缴费较上年增加。</w:t>
      </w:r>
    </w:p>
    <w:p w14:paraId="2CCF7C70">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5.社会保障和就业支出(类)行政事业单位养老支出(款)机关事业单位职业年金缴费支出(项):支出决算数为90.77万元，比上年决算增加50.47万元，增长125.24%,主要原因是：本年新增退休人员，职业年金缴费支出增加。</w:t>
      </w:r>
    </w:p>
    <w:p w14:paraId="70110258">
      <w:pPr>
        <w:spacing w:line="580" w:lineRule="exact"/>
        <w:ind w:firstLine="640"/>
        <w:jc w:val="both"/>
      </w:pPr>
      <w:r>
        <w:rPr>
          <w:rFonts w:ascii="仿宋_GB2312" w:hAnsi="仿宋_GB2312" w:eastAsia="仿宋_GB2312"/>
          <w:b w:val="0"/>
          <w:sz w:val="32"/>
        </w:rPr>
        <w:t>6.社会保障和就业支出(类)抚恤(款)死亡抚恤(项):支出决算数为10.46万元，比上年决算减少8.72万元，下降45.46%,主要原因是：本年新增死亡人员较上年减少，死亡抚恤支出较上年减少。</w:t>
      </w:r>
    </w:p>
    <w:p w14:paraId="6015CFCB">
      <w:pPr>
        <w:spacing w:line="580" w:lineRule="exact"/>
        <w:ind w:firstLine="640"/>
        <w:jc w:val="both"/>
      </w:pPr>
      <w:r>
        <w:rPr>
          <w:rFonts w:ascii="仿宋_GB2312" w:hAnsi="仿宋_GB2312" w:eastAsia="仿宋_GB2312"/>
          <w:b w:val="0"/>
          <w:sz w:val="32"/>
        </w:rPr>
        <w:t>7.卫生健康支出(类)卫生健康管理事务(款)行政运行(项):支出决算数为266.48万元，比上年决算增加266.48万元，增长100.00%,主要原因是：本年机构改革自治州卫生监督所并入本单位，人员增加，相关人员经费增加。</w:t>
      </w:r>
    </w:p>
    <w:p w14:paraId="3851C7B6">
      <w:pPr>
        <w:spacing w:line="580" w:lineRule="exact"/>
        <w:ind w:firstLine="640"/>
        <w:jc w:val="both"/>
      </w:pPr>
      <w:r>
        <w:rPr>
          <w:rFonts w:ascii="仿宋_GB2312" w:hAnsi="仿宋_GB2312" w:eastAsia="仿宋_GB2312"/>
          <w:b w:val="0"/>
          <w:sz w:val="32"/>
        </w:rPr>
        <w:t>8.卫生健康支出(类)公共卫生(款)疾病预防控制机构(项):支出决算数为1,117.67万元，比上年决算减少223.49万元，下降16.66%,主要原因是：本年减少疾控能力建设项目土地补偿费项目、州疾控中心新冠基因测序试剂经费项目，相关支出减少。</w:t>
      </w:r>
    </w:p>
    <w:p w14:paraId="317783AA">
      <w:pPr>
        <w:spacing w:line="580" w:lineRule="exact"/>
        <w:ind w:firstLine="640"/>
        <w:jc w:val="both"/>
      </w:pPr>
      <w:r>
        <w:rPr>
          <w:rFonts w:ascii="仿宋_GB2312" w:hAnsi="仿宋_GB2312" w:eastAsia="仿宋_GB2312"/>
          <w:b w:val="0"/>
          <w:sz w:val="32"/>
        </w:rPr>
        <w:t>9.卫生健康支出(类)公共卫生(款)卫生监督机构(项):支出决算数为18.66万元，比上年决算增加18.66万元，增长100.00%,主要原因是：本年机构改革自治州卫生监督所并入本单位，新增卫生监督执法局项目经费划转、卫生计生监督执法工作项目，相关支出增加。</w:t>
      </w:r>
    </w:p>
    <w:p w14:paraId="78BB1F8C">
      <w:pPr>
        <w:spacing w:line="580" w:lineRule="exact"/>
        <w:ind w:firstLine="640"/>
        <w:jc w:val="both"/>
      </w:pPr>
      <w:r>
        <w:rPr>
          <w:rFonts w:ascii="仿宋_GB2312" w:hAnsi="仿宋_GB2312" w:eastAsia="仿宋_GB2312"/>
          <w:b w:val="0"/>
          <w:sz w:val="32"/>
        </w:rPr>
        <w:t>10.卫生健康支出(类)公共卫生(款)基本公共卫生服务(项):支出决算数为43.56万元，比上年决算减少8.19万元，下降15.83%,主要原因是：本年减少基本公共卫生服务资金，导致基本公共卫生服务经费减少。</w:t>
      </w:r>
    </w:p>
    <w:p w14:paraId="150F9A7D">
      <w:pPr>
        <w:spacing w:line="580" w:lineRule="exact"/>
        <w:ind w:firstLine="640"/>
        <w:jc w:val="both"/>
      </w:pPr>
      <w:r>
        <w:rPr>
          <w:rFonts w:ascii="仿宋_GB2312" w:hAnsi="仿宋_GB2312" w:eastAsia="仿宋_GB2312"/>
          <w:b w:val="0"/>
          <w:sz w:val="32"/>
        </w:rPr>
        <w:t>11.卫生健康支出(类)公共卫生(款)重大公共卫生服务(项):支出决算数为767.97万元，比上年决算减少394.76万元，下降33.95%,主要原因是：本年减少巴州疾病预防控制中心疾控能力建设项目-实验室设备采购及模块化安装项目，相关支出减少。</w:t>
      </w:r>
    </w:p>
    <w:p w14:paraId="7944177E">
      <w:pPr>
        <w:spacing w:line="580" w:lineRule="exact"/>
        <w:ind w:firstLine="640"/>
        <w:jc w:val="both"/>
      </w:pPr>
      <w:r>
        <w:rPr>
          <w:rFonts w:ascii="仿宋_GB2312" w:hAnsi="仿宋_GB2312" w:eastAsia="仿宋_GB2312"/>
          <w:b w:val="0"/>
          <w:sz w:val="32"/>
        </w:rPr>
        <w:t>12.卫生健康支出(类)公共卫生(款)其他公共卫生支出(项):支出决算数为14.70万元，比上年决算增加13.73万元，增长1,415.46%,主要原因是：本年增加中央医疗服务与保障能力提升（医疗卫生机构能力建设、卫生健康人才培养）项目，相关支出增加。</w:t>
      </w:r>
    </w:p>
    <w:p w14:paraId="071E9665">
      <w:pPr>
        <w:spacing w:line="580" w:lineRule="exact"/>
        <w:ind w:firstLine="640"/>
        <w:jc w:val="both"/>
      </w:pPr>
      <w:r>
        <w:rPr>
          <w:rFonts w:ascii="仿宋_GB2312" w:hAnsi="仿宋_GB2312" w:eastAsia="仿宋_GB2312"/>
          <w:b w:val="0"/>
          <w:sz w:val="32"/>
        </w:rPr>
        <w:t>13.卫生健康支出(类)行政事业单位医疗(款)行政单位医疗(项):支出决算数为14.58万元，比上年决算增加14.58万元，增长100.00%,主要原因是：本年机构改革自治州卫生监督所并入本单位，人员增加，行政单位医疗增加。</w:t>
      </w:r>
    </w:p>
    <w:p w14:paraId="4F4E5990">
      <w:pPr>
        <w:spacing w:line="580" w:lineRule="exact"/>
        <w:ind w:firstLine="640"/>
        <w:jc w:val="both"/>
      </w:pPr>
      <w:r>
        <w:rPr>
          <w:rFonts w:ascii="仿宋_GB2312" w:hAnsi="仿宋_GB2312" w:eastAsia="仿宋_GB2312"/>
          <w:b w:val="0"/>
          <w:sz w:val="32"/>
        </w:rPr>
        <w:t>14.卫生健康支出(类)行政事业单位医疗(款)事业单位医疗(项):支出决算数为56.60万元，比上年决算减少0.64万元，下降1.12%,主要原因是：因退休人员医疗保险制度改革，退休人员基本医疗不再由单位缴纳，导致经费较上年减少。</w:t>
      </w:r>
    </w:p>
    <w:p w14:paraId="09E9BBF6">
      <w:pPr>
        <w:spacing w:line="580" w:lineRule="exact"/>
        <w:ind w:firstLine="640"/>
        <w:jc w:val="both"/>
      </w:pPr>
      <w:r>
        <w:rPr>
          <w:rFonts w:ascii="仿宋_GB2312" w:hAnsi="仿宋_GB2312" w:eastAsia="仿宋_GB2312"/>
          <w:b w:val="0"/>
          <w:sz w:val="32"/>
        </w:rPr>
        <w:t>15.卫生健康支出(类)行政事业单位医疗(款)公务员医疗补助(项):支出决算数为6.25万元，比上年决算增加6.25万元，增长100.00%,主要原因是：本年机构改革自治州卫生监督所并入本单位，人员增加，公务员医疗补助。</w:t>
      </w:r>
    </w:p>
    <w:p w14:paraId="25E0B3B5">
      <w:pPr>
        <w:spacing w:line="580" w:lineRule="exact"/>
        <w:ind w:firstLine="640"/>
        <w:jc w:val="both"/>
      </w:pPr>
      <w:r>
        <w:rPr>
          <w:rFonts w:ascii="仿宋_GB2312" w:hAnsi="仿宋_GB2312" w:eastAsia="仿宋_GB2312"/>
          <w:b w:val="0"/>
          <w:sz w:val="32"/>
        </w:rPr>
        <w:t>16.卫生健康支出(类)行政事业单位医疗(款)其他行政事业单位医疗支出(项):支出决算数为2.68万元，比上年决算减少1.62万元，下降37.67%,主要原因是：因退休人员医疗保险制度改革，退休人员基本医疗不再由单位缴纳，导致经费较上年减少。</w:t>
      </w:r>
    </w:p>
    <w:p w14:paraId="782AD62F">
      <w:pPr>
        <w:spacing w:line="580" w:lineRule="exact"/>
        <w:ind w:firstLine="640"/>
        <w:jc w:val="both"/>
      </w:pPr>
      <w:r>
        <w:rPr>
          <w:rFonts w:ascii="仿宋_GB2312" w:hAnsi="仿宋_GB2312" w:eastAsia="仿宋_GB2312"/>
          <w:b w:val="0"/>
          <w:sz w:val="32"/>
        </w:rPr>
        <w:t>17.卫生健康支出(类)其他卫生健康支出(款)其他卫生健康支出(项):支出决算数为0.00万元，比上年决算减少1,223.27万元，下降100.00%,主要原因是：本年未安排卫生健康领域第一批中央基建投资预算资金项目，相关支出减少。</w:t>
      </w:r>
    </w:p>
    <w:p w14:paraId="3F141323">
      <w:pPr>
        <w:spacing w:line="580" w:lineRule="exact"/>
        <w:ind w:firstLine="640"/>
        <w:jc w:val="both"/>
      </w:pPr>
      <w:r>
        <w:rPr>
          <w:rFonts w:ascii="仿宋_GB2312" w:hAnsi="仿宋_GB2312" w:eastAsia="仿宋_GB2312"/>
          <w:b w:val="0"/>
          <w:sz w:val="32"/>
        </w:rPr>
        <w:t>18.住房保障支出(类)住房改革支出(款)住房公积金(项):支出决算数为129.57万元，比上年决算增加35.61万元，增长37.90%,主要原因是：本年机构改革卫生监督所并入本单位</w:t>
      </w:r>
      <w:r>
        <w:rPr>
          <w:rFonts w:hint="eastAsia" w:ascii="仿宋_GB2312" w:hAnsi="仿宋_GB2312" w:eastAsia="仿宋_GB2312"/>
          <w:b w:val="0"/>
          <w:sz w:val="32"/>
          <w:lang w:eastAsia="zh-CN"/>
        </w:rPr>
        <w:t>，</w:t>
      </w:r>
      <w:r>
        <w:rPr>
          <w:rFonts w:ascii="仿宋_GB2312" w:hAnsi="仿宋_GB2312" w:eastAsia="仿宋_GB2312"/>
          <w:b w:val="0"/>
          <w:sz w:val="32"/>
        </w:rPr>
        <w:t>在职人员增加，住房公积金支出较上年增加。</w:t>
      </w:r>
    </w:p>
    <w:p w14:paraId="79E9B955">
      <w:pPr>
        <w:spacing w:line="640" w:lineRule="exact"/>
        <w:ind w:firstLine="640"/>
        <w:jc w:val="both"/>
        <w:outlineLvl w:val="2"/>
      </w:pPr>
      <w:r>
        <w:rPr>
          <w:rFonts w:ascii="黑体" w:hAnsi="黑体" w:eastAsia="黑体"/>
          <w:sz w:val="32"/>
        </w:rPr>
        <w:t>六、一般公共预算财政拨款基本支出决算情况说明</w:t>
      </w:r>
    </w:p>
    <w:p w14:paraId="1E54F9F3">
      <w:pPr>
        <w:spacing w:line="580" w:lineRule="exact"/>
        <w:ind w:firstLine="640"/>
        <w:jc w:val="both"/>
      </w:pPr>
      <w:r>
        <w:rPr>
          <w:rFonts w:ascii="仿宋_GB2312" w:hAnsi="仿宋_GB2312" w:eastAsia="仿宋_GB2312"/>
          <w:b w:val="0"/>
          <w:sz w:val="32"/>
        </w:rPr>
        <w:t>2024年度一般公共预算财政拨款基本支出1,977.89万元，其中：</w:t>
      </w:r>
      <w:r>
        <w:rPr>
          <w:rFonts w:ascii="仿宋_GB2312" w:hAnsi="仿宋_GB2312" w:eastAsia="仿宋_GB2312"/>
          <w:b/>
          <w:sz w:val="32"/>
        </w:rPr>
        <w:t>人员经费1,837.27万元，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抚恤金、生活补助、奖励金。</w:t>
      </w:r>
    </w:p>
    <w:p w14:paraId="4714E35F">
      <w:pPr>
        <w:spacing w:line="580" w:lineRule="exact"/>
        <w:ind w:firstLine="640"/>
        <w:jc w:val="both"/>
      </w:pPr>
      <w:r>
        <w:rPr>
          <w:rFonts w:ascii="仿宋_GB2312" w:hAnsi="仿宋_GB2312" w:eastAsia="仿宋_GB2312"/>
          <w:b/>
          <w:sz w:val="32"/>
        </w:rPr>
        <w:t>公用经费140.62万元，</w:t>
      </w:r>
      <w:r>
        <w:rPr>
          <w:rFonts w:ascii="仿宋_GB2312" w:hAnsi="仿宋_GB2312" w:eastAsia="仿宋_GB2312"/>
          <w:b w:val="0"/>
          <w:sz w:val="32"/>
        </w:rPr>
        <w:t>包括：办公费、水费、电费、邮电费、取暖费、物业管理费、差旅费、维修（护）费、租赁费、培训费、劳务费、委托业务费、工会经费、福利费、公务用车运行维护费、其他商品和服务支出、办公设备购置。</w:t>
      </w:r>
    </w:p>
    <w:p w14:paraId="20BB09CB">
      <w:pPr>
        <w:spacing w:line="640" w:lineRule="exact"/>
        <w:ind w:firstLine="640"/>
        <w:jc w:val="both"/>
        <w:outlineLvl w:val="2"/>
      </w:pPr>
      <w:r>
        <w:rPr>
          <w:rFonts w:ascii="黑体" w:hAnsi="黑体" w:eastAsia="黑体"/>
          <w:sz w:val="32"/>
        </w:rPr>
        <w:t>七、政府性基金预算财政拨款收入支出决算情况说明</w:t>
      </w:r>
    </w:p>
    <w:p w14:paraId="692F0B9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4BECEB1">
      <w:pPr>
        <w:spacing w:line="640" w:lineRule="exact"/>
        <w:ind w:firstLine="640"/>
        <w:jc w:val="both"/>
        <w:outlineLvl w:val="2"/>
      </w:pPr>
      <w:r>
        <w:rPr>
          <w:rFonts w:ascii="黑体" w:hAnsi="黑体" w:eastAsia="黑体"/>
          <w:sz w:val="32"/>
        </w:rPr>
        <w:t>八、国有资本经营预算财政拨款收入支出决算情况说明</w:t>
      </w:r>
    </w:p>
    <w:p w14:paraId="1EF01B1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8C7293A">
      <w:pPr>
        <w:spacing w:line="640" w:lineRule="exact"/>
        <w:ind w:firstLine="640"/>
        <w:jc w:val="both"/>
        <w:outlineLvl w:val="2"/>
      </w:pPr>
      <w:r>
        <w:rPr>
          <w:rFonts w:ascii="黑体" w:hAnsi="黑体" w:eastAsia="黑体"/>
          <w:sz w:val="32"/>
        </w:rPr>
        <w:t>九、财政拨款“三公”经费支出决算情况说明</w:t>
      </w:r>
    </w:p>
    <w:p w14:paraId="5A264F5E">
      <w:pPr>
        <w:spacing w:line="580" w:lineRule="exact"/>
        <w:ind w:firstLine="640"/>
        <w:jc w:val="both"/>
      </w:pPr>
      <w:r>
        <w:rPr>
          <w:rFonts w:ascii="仿宋_GB2312" w:hAnsi="仿宋_GB2312" w:eastAsia="仿宋_GB2312"/>
          <w:b/>
          <w:sz w:val="32"/>
        </w:rPr>
        <w:t>2024年度财政拨款“三公”经费支出25.20万元，</w:t>
      </w:r>
      <w:r>
        <w:rPr>
          <w:rFonts w:ascii="仿宋_GB2312" w:hAnsi="仿宋_GB2312" w:eastAsia="仿宋_GB2312"/>
          <w:b w:val="0"/>
          <w:sz w:val="32"/>
        </w:rPr>
        <w:t>比上年增加5.84万元，增长30.17%，主要原因是：本年机构改革自治州卫生监督所并入本单位，增加公务用车运行维护费。其中：因公出国（境）费支出0.00万元，占0.00%，比上年增加0.00万元，增长0.00%，主要原因是：2023年与2024年均未安排因公出国（境）费支出。公务用车购置及运行维护费支出25.20万元，占100.00%，比上年增加5.84万元，增长30.17%，主要原因是：本年机构改革自治州卫生监督所并入本单位，增加公务用车运行维护费。公务接待费支出0.00万元，占0.00%，比上年增加0.00万元，增长0.00%，主要原因是：2023年与2024年均未安排公务接待费支出。</w:t>
      </w:r>
    </w:p>
    <w:p w14:paraId="74D2CE4D">
      <w:pPr>
        <w:spacing w:line="580" w:lineRule="exact"/>
        <w:ind w:firstLine="640"/>
        <w:jc w:val="both"/>
      </w:pPr>
      <w:r>
        <w:rPr>
          <w:rFonts w:ascii="仿宋_GB2312" w:hAnsi="仿宋_GB2312" w:eastAsia="仿宋_GB2312"/>
          <w:b/>
          <w:sz w:val="32"/>
        </w:rPr>
        <w:t>具体情况如下：</w:t>
      </w:r>
    </w:p>
    <w:p w14:paraId="5B2D236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D05AE7E">
      <w:pPr>
        <w:spacing w:line="580" w:lineRule="exact"/>
        <w:ind w:firstLine="640"/>
        <w:jc w:val="both"/>
      </w:pPr>
      <w:r>
        <w:rPr>
          <w:rFonts w:ascii="仿宋_GB2312" w:hAnsi="仿宋_GB2312" w:eastAsia="仿宋_GB2312"/>
          <w:b w:val="0"/>
          <w:sz w:val="32"/>
        </w:rPr>
        <w:t>公务用车购置及运行维护费25.20万元，其中：公务用车购置费0.00万元，公务用车运行维护费25.20万元。公务用车运行维护费开支内容包括车辆加油费、维修费、保险费、审车费、过路费。公务用车购置数0辆，公务用车保有量7辆。国有资产占用情况中固定资产车辆10辆，与公务用车保有量差异原因是：差异车辆为一般业务用车，预算未安排公务用车运行维护费。</w:t>
      </w:r>
    </w:p>
    <w:p w14:paraId="0189CB8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E3F2EF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25.20万元，决算数25.20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25.20万元，决算数25.20万元，预决算差异率0.00%，主要原因是：严格按照预算执行，预决算无差异。公务接待费全年预算数0.00万元，决算数0.00万元，预决算差异率0.00%，主要原因是：本单位无公务接待费。</w:t>
      </w:r>
    </w:p>
    <w:p w14:paraId="699DCE48">
      <w:pPr>
        <w:spacing w:line="640" w:lineRule="exact"/>
        <w:ind w:firstLine="640"/>
        <w:jc w:val="both"/>
        <w:outlineLvl w:val="2"/>
      </w:pPr>
      <w:r>
        <w:rPr>
          <w:rFonts w:ascii="黑体" w:hAnsi="黑体" w:eastAsia="黑体"/>
          <w:sz w:val="32"/>
        </w:rPr>
        <w:t>十、其他重要事项的情况说明</w:t>
      </w:r>
    </w:p>
    <w:p w14:paraId="6A1F6B98">
      <w:pPr>
        <w:spacing w:line="640" w:lineRule="exact"/>
        <w:ind w:firstLine="640"/>
        <w:jc w:val="both"/>
        <w:outlineLvl w:val="3"/>
      </w:pPr>
      <w:r>
        <w:rPr>
          <w:rFonts w:ascii="楷体_GB2312" w:hAnsi="楷体_GB2312" w:eastAsia="楷体_GB2312"/>
          <w:b/>
          <w:sz w:val="32"/>
        </w:rPr>
        <w:t>（一）机关运行经费及公用经费支出情况</w:t>
      </w:r>
    </w:p>
    <w:p w14:paraId="118ECEF2">
      <w:pPr>
        <w:spacing w:line="580" w:lineRule="exact"/>
        <w:ind w:firstLine="640"/>
        <w:jc w:val="both"/>
      </w:pPr>
      <w:r>
        <w:rPr>
          <w:rFonts w:ascii="仿宋_GB2312" w:hAnsi="仿宋_GB2312" w:eastAsia="仿宋_GB2312"/>
          <w:b w:val="0"/>
          <w:sz w:val="32"/>
        </w:rPr>
        <w:t>2024年度新疆巴音郭楞蒙古自治州疾病预防控制中心（事业单位）公用经费支出140.62万元，比上年增加29.19万元，增长26.20%，主要原因是：本年增加办公费、邮电费等经费，公用经费支出增加。</w:t>
      </w:r>
    </w:p>
    <w:p w14:paraId="10B59A75">
      <w:pPr>
        <w:spacing w:line="640" w:lineRule="exact"/>
        <w:ind w:firstLine="640"/>
        <w:jc w:val="both"/>
        <w:outlineLvl w:val="3"/>
      </w:pPr>
      <w:r>
        <w:rPr>
          <w:rFonts w:ascii="楷体_GB2312" w:hAnsi="楷体_GB2312" w:eastAsia="楷体_GB2312"/>
          <w:b/>
          <w:sz w:val="32"/>
        </w:rPr>
        <w:t>（二）政府采购情况</w:t>
      </w:r>
    </w:p>
    <w:p w14:paraId="1A6D47F8">
      <w:pPr>
        <w:spacing w:line="580" w:lineRule="exact"/>
        <w:ind w:firstLine="640"/>
        <w:jc w:val="both"/>
      </w:pPr>
      <w:r>
        <w:rPr>
          <w:rFonts w:ascii="仿宋_GB2312" w:hAnsi="仿宋_GB2312" w:eastAsia="仿宋_GB2312"/>
          <w:b w:val="0"/>
          <w:sz w:val="32"/>
        </w:rPr>
        <w:t>2024年度政府采购支出总额260.07万元，其中：政府采购货物支出141.10万元、政府采购工程支出0.00万元、政府采购服务支出118.97万元。</w:t>
      </w:r>
    </w:p>
    <w:p w14:paraId="62B65BC2">
      <w:pPr>
        <w:spacing w:line="580" w:lineRule="exact"/>
        <w:ind w:firstLine="640"/>
        <w:jc w:val="both"/>
      </w:pPr>
      <w:r>
        <w:rPr>
          <w:rFonts w:ascii="仿宋_GB2312" w:hAnsi="仿宋_GB2312" w:eastAsia="仿宋_GB2312"/>
          <w:b w:val="0"/>
          <w:sz w:val="32"/>
        </w:rPr>
        <w:t>授予中小企业合同金额152.69万元，占政府采购支出总额的58.71%，其中：授予小微企业合同金额149.97万元，占政府采购支出总额的57.67%。</w:t>
      </w:r>
    </w:p>
    <w:p w14:paraId="27ECAE77">
      <w:pPr>
        <w:spacing w:line="640" w:lineRule="exact"/>
        <w:ind w:firstLine="640"/>
        <w:jc w:val="both"/>
        <w:outlineLvl w:val="3"/>
      </w:pPr>
      <w:r>
        <w:rPr>
          <w:rFonts w:ascii="楷体_GB2312" w:hAnsi="楷体_GB2312" w:eastAsia="楷体_GB2312"/>
          <w:b/>
          <w:sz w:val="32"/>
        </w:rPr>
        <w:t>（三）国有资产占用情况说明</w:t>
      </w:r>
    </w:p>
    <w:p w14:paraId="22B503BF">
      <w:pPr>
        <w:spacing w:line="580" w:lineRule="exact"/>
        <w:ind w:firstLine="640"/>
        <w:jc w:val="both"/>
      </w:pPr>
      <w:r>
        <w:rPr>
          <w:rFonts w:ascii="仿宋_GB2312" w:hAnsi="仿宋_GB2312" w:eastAsia="仿宋_GB2312"/>
          <w:b w:val="0"/>
          <w:sz w:val="32"/>
        </w:rPr>
        <w:t>截至2024年12月31日，房屋13,315.37平方米，价值1,820.61万元。车辆10辆，价值244.73万元，其中：副部（省）级及以上领导用车0辆、主要负责人用车0辆、机要通信用车0辆、应急保障用车2辆、执法执勤用车0辆、特种专业技术用车6辆、离退休干部服务用车0辆、其他用车2辆，其他用车主要是：2辆执法监督用车。单价100万元（含）以上设备（不含车辆）5台（套）。</w:t>
      </w:r>
    </w:p>
    <w:p w14:paraId="578F4B17">
      <w:pPr>
        <w:spacing w:line="640" w:lineRule="exact"/>
        <w:ind w:firstLine="640"/>
        <w:jc w:val="both"/>
        <w:outlineLvl w:val="2"/>
      </w:pPr>
      <w:r>
        <w:rPr>
          <w:rFonts w:ascii="黑体" w:hAnsi="黑体" w:eastAsia="黑体"/>
          <w:sz w:val="32"/>
        </w:rPr>
        <w:t>十一、预算绩效的情况说明</w:t>
      </w:r>
    </w:p>
    <w:p w14:paraId="4C4C3C03">
      <w:pPr>
        <w:spacing w:line="580" w:lineRule="exact"/>
        <w:ind w:firstLine="640"/>
        <w:jc w:val="both"/>
      </w:pPr>
      <w:r>
        <w:rPr>
          <w:rFonts w:ascii="仿宋_GB2312" w:hAnsi="仿宋_GB2312" w:eastAsia="仿宋_GB2312"/>
          <w:b w:val="0"/>
          <w:sz w:val="32"/>
        </w:rPr>
        <w:t>根据预算绩效管理要求，本单位预算绩效评价项目7个，全年预算数889.33万元，全年执行数886.75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相关绩效管理方面专业知识的系统性学习有待加强。各项指标的设置要进一步优化、完善，主要在细化、量化上改进；二是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部分人员缺乏相关绩效管理专业知识，自评工作还存在自我审定的局限性，影响评价质量；三是因轮岗、调动等因素使</w:t>
      </w:r>
      <w:r>
        <w:rPr>
          <w:rFonts w:hint="eastAsia" w:ascii="仿宋_GB2312" w:hAnsi="仿宋_GB2312" w:eastAsia="仿宋_GB2312"/>
          <w:b w:val="0"/>
          <w:sz w:val="32"/>
          <w:lang w:eastAsia="zh-CN"/>
        </w:rPr>
        <w:t>本单位</w:t>
      </w:r>
      <w:r>
        <w:rPr>
          <w:rFonts w:ascii="仿宋_GB2312" w:hAnsi="仿宋_GB2312" w:eastAsia="仿宋_GB2312"/>
          <w:b w:val="0"/>
          <w:sz w:val="32"/>
        </w:rPr>
        <w:t>绩效工作人员流动频繁，造成工作衔接不到位的情况。下一步改进措施：一是多进行有关绩效管理工作方面的培训。积极参与第三方开展绩效管理工作培训，进一步夯实业务基础，提高</w:t>
      </w:r>
      <w:r>
        <w:rPr>
          <w:rFonts w:hint="eastAsia" w:ascii="仿宋_GB2312" w:hAnsi="仿宋_GB2312" w:eastAsia="仿宋_GB2312"/>
          <w:b w:val="0"/>
          <w:sz w:val="32"/>
          <w:lang w:eastAsia="zh-CN"/>
        </w:rPr>
        <w:t>本单位</w:t>
      </w:r>
      <w:r>
        <w:rPr>
          <w:rFonts w:ascii="仿宋_GB2312" w:hAnsi="仿宋_GB2312" w:eastAsia="仿宋_GB2312"/>
          <w:b w:val="0"/>
          <w:sz w:val="32"/>
        </w:rPr>
        <w:t>绩效人员水平；二是专门设定对绩效工作人员定职、定岗、定责等相关制度措施，进一步提升</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绩效管理工作业务水平，扎实做好绩效管理工作；三是进一步完善项目评价过程中有关数据和资料的收集、整理、审核及分析。项目启动时同步做好档案的归纳与整理，及时整理、收集、汇总，健全档案资料</w:t>
      </w:r>
      <w:r>
        <w:rPr>
          <w:rFonts w:hint="eastAsia" w:ascii="仿宋_GB2312" w:hAnsi="仿宋_GB2312" w:eastAsia="仿宋_GB2312"/>
          <w:b w:val="0"/>
          <w:sz w:val="32"/>
          <w:lang w:eastAsia="zh-CN"/>
        </w:rPr>
        <w:t>。</w:t>
      </w:r>
      <w:r>
        <w:rPr>
          <w:rFonts w:ascii="仿宋_GB2312" w:hAnsi="仿宋_GB2312" w:eastAsia="仿宋_GB2312"/>
          <w:b w:val="0"/>
          <w:sz w:val="32"/>
        </w:rPr>
        <w:t>项目后续</w:t>
      </w:r>
      <w:r>
        <w:rPr>
          <w:rFonts w:hint="eastAsia" w:ascii="仿宋_GB2312" w:hAnsi="仿宋_GB2312" w:eastAsia="仿宋_GB2312"/>
          <w:b w:val="0"/>
          <w:sz w:val="32"/>
          <w:lang w:eastAsia="zh-CN"/>
        </w:rPr>
        <w:t>管理制度</w:t>
      </w:r>
      <w:r>
        <w:rPr>
          <w:rFonts w:ascii="仿宋_GB2312" w:hAnsi="仿宋_GB2312" w:eastAsia="仿宋_GB2312"/>
          <w:b w:val="0"/>
          <w:sz w:val="32"/>
        </w:rPr>
        <w:t>有待进一步加强和跟踪。具体附项目支出绩效自评表和评价报告。</w:t>
      </w:r>
    </w:p>
    <w:p w14:paraId="0276D373">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96"/>
        <w:gridCol w:w="605"/>
        <w:gridCol w:w="605"/>
        <w:gridCol w:w="614"/>
        <w:gridCol w:w="605"/>
        <w:gridCol w:w="605"/>
        <w:gridCol w:w="856"/>
        <w:gridCol w:w="776"/>
        <w:gridCol w:w="630"/>
        <w:gridCol w:w="631"/>
      </w:tblGrid>
      <w:tr w14:paraId="20532D3A">
        <w:tblPrEx>
          <w:tblCellMar>
            <w:top w:w="0" w:type="dxa"/>
            <w:left w:w="108" w:type="dxa"/>
            <w:bottom w:w="0" w:type="dxa"/>
            <w:right w:w="108" w:type="dxa"/>
          </w:tblCellMar>
        </w:tblPrEx>
        <w:tc>
          <w:tcPr>
            <w:tcW w:w="8848" w:type="dxa"/>
            <w:gridSpan w:val="14"/>
            <w:vAlign w:val="center"/>
          </w:tcPr>
          <w:p w14:paraId="405B21B3">
            <w:pPr>
              <w:jc w:val="center"/>
            </w:pPr>
            <w:r>
              <w:rPr>
                <w:rFonts w:ascii="宋体" w:hAnsi="宋体" w:eastAsia="宋体"/>
                <w:sz w:val="24"/>
              </w:rPr>
              <w:t>项目支出绩效自评表</w:t>
            </w:r>
          </w:p>
        </w:tc>
      </w:tr>
      <w:tr w14:paraId="21D476AF">
        <w:tblPrEx>
          <w:tblCellMar>
            <w:top w:w="0" w:type="dxa"/>
            <w:left w:w="108" w:type="dxa"/>
            <w:bottom w:w="0" w:type="dxa"/>
            <w:right w:w="108" w:type="dxa"/>
          </w:tblCellMar>
        </w:tblPrEx>
        <w:tc>
          <w:tcPr>
            <w:tcW w:w="8848" w:type="dxa"/>
            <w:gridSpan w:val="14"/>
            <w:vAlign w:val="center"/>
          </w:tcPr>
          <w:p w14:paraId="08EC3D1D">
            <w:pPr>
              <w:jc w:val="center"/>
            </w:pPr>
            <w:r>
              <w:rPr>
                <w:rFonts w:ascii="宋体" w:hAnsi="宋体" w:eastAsia="宋体"/>
                <w:sz w:val="24"/>
              </w:rPr>
              <w:t>(2024年度)</w:t>
            </w:r>
          </w:p>
        </w:tc>
      </w:tr>
      <w:tr w14:paraId="73E54D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3B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FA163D">
            <w:pPr>
              <w:jc w:val="center"/>
            </w:pPr>
            <w:r>
              <w:rPr>
                <w:rFonts w:ascii="宋体" w:hAnsi="宋体" w:eastAsia="宋体"/>
                <w:sz w:val="16"/>
              </w:rPr>
              <w:t>2024年提前下达中央医疗服务与保障能力提升（医疗卫生机构能力建设、卫生健康人才培养）项目</w:t>
            </w:r>
          </w:p>
        </w:tc>
      </w:tr>
      <w:tr w14:paraId="2F307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BF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8EC2C">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92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EEA1E1">
            <w:pPr>
              <w:jc w:val="center"/>
            </w:pPr>
            <w:r>
              <w:rPr>
                <w:rFonts w:ascii="宋体" w:hAnsi="宋体" w:eastAsia="宋体"/>
                <w:sz w:val="16"/>
              </w:rPr>
              <w:t>新疆巴音郭楞蒙古自治州疾病预防控制中心</w:t>
            </w:r>
          </w:p>
        </w:tc>
      </w:tr>
      <w:tr w14:paraId="4F27B3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EFD3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6C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21E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8F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973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89D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4CA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D709">
            <w:pPr>
              <w:jc w:val="center"/>
            </w:pPr>
            <w:r>
              <w:rPr>
                <w:rFonts w:ascii="宋体" w:hAnsi="宋体" w:eastAsia="宋体"/>
                <w:sz w:val="16"/>
              </w:rPr>
              <w:t>得分</w:t>
            </w:r>
          </w:p>
        </w:tc>
      </w:tr>
      <w:tr w14:paraId="575C0D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8B3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0C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FDB8">
            <w:pPr>
              <w:jc w:val="center"/>
            </w:pPr>
            <w:r>
              <w:rPr>
                <w:rFonts w:ascii="宋体" w:hAnsi="宋体" w:eastAsia="宋体"/>
                <w:sz w:val="16"/>
              </w:rPr>
              <w:t>14.70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61864">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EAFB2">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FEB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B2D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1722">
            <w:pPr>
              <w:jc w:val="center"/>
            </w:pPr>
            <w:r>
              <w:rPr>
                <w:rFonts w:ascii="宋体" w:hAnsi="宋体" w:eastAsia="宋体"/>
                <w:sz w:val="16"/>
              </w:rPr>
              <w:t>10.00</w:t>
            </w:r>
          </w:p>
        </w:tc>
      </w:tr>
      <w:tr w14:paraId="451D5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796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76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D8E12">
            <w:pPr>
              <w:jc w:val="center"/>
            </w:pPr>
            <w:r>
              <w:rPr>
                <w:rFonts w:ascii="宋体" w:hAnsi="宋体" w:eastAsia="宋体"/>
                <w:sz w:val="16"/>
              </w:rPr>
              <w:t>14.70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A6C82">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105E3">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F2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31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330E">
            <w:pPr>
              <w:jc w:val="center"/>
            </w:pPr>
            <w:r>
              <w:rPr>
                <w:rFonts w:ascii="宋体" w:hAnsi="宋体" w:eastAsia="宋体"/>
                <w:sz w:val="16"/>
              </w:rPr>
              <w:t>-</w:t>
            </w:r>
          </w:p>
        </w:tc>
      </w:tr>
      <w:tr w14:paraId="67667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175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453B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965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8F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A51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1D8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5D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CA59">
            <w:pPr>
              <w:jc w:val="center"/>
            </w:pPr>
            <w:r>
              <w:rPr>
                <w:rFonts w:ascii="宋体" w:hAnsi="宋体" w:eastAsia="宋体"/>
                <w:sz w:val="16"/>
              </w:rPr>
              <w:t>-</w:t>
            </w:r>
          </w:p>
        </w:tc>
      </w:tr>
      <w:tr w14:paraId="451D70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535F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E7AD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BDC0A">
            <w:pPr>
              <w:jc w:val="center"/>
            </w:pPr>
            <w:r>
              <w:rPr>
                <w:rFonts w:ascii="宋体" w:hAnsi="宋体" w:eastAsia="宋体"/>
                <w:sz w:val="16"/>
              </w:rPr>
              <w:t>总体目标完成情况</w:t>
            </w:r>
          </w:p>
        </w:tc>
      </w:tr>
      <w:tr w14:paraId="03AD0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4F7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D6090">
            <w:pPr>
              <w:jc w:val="both"/>
            </w:pPr>
            <w:r>
              <w:rPr>
                <w:rFonts w:ascii="宋体" w:hAnsi="宋体" w:eastAsia="宋体"/>
                <w:sz w:val="16"/>
              </w:rPr>
              <w:t>根据新财社</w:t>
            </w:r>
            <w:r>
              <w:rPr>
                <w:rFonts w:hint="eastAsia" w:ascii="宋体" w:hAnsi="宋体"/>
                <w:sz w:val="16"/>
                <w:lang w:eastAsia="zh-CN"/>
              </w:rPr>
              <w:t>〔2024〕44号</w:t>
            </w:r>
            <w:r>
              <w:rPr>
                <w:rFonts w:ascii="宋体" w:hAnsi="宋体" w:eastAsia="宋体"/>
                <w:sz w:val="16"/>
              </w:rPr>
              <w:t>关于下达2024年中央医疗服务与保障能力提升【医疗卫生机构能力建设、卫生健康人才培养】补助资金预算的通知及要求，1、通过对应急专业人员业务培训1次、27人、5天以上，加强技术人员专业能力；2、采购一批实验室试剂耗材，保障实验室考核工作。3、采购一批设备，提升专业技术人员现场流行病能力，提高疾控中心实验室能力建设和卫生系统专业人才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81AF63">
            <w:pPr>
              <w:jc w:val="both"/>
            </w:pPr>
            <w:r>
              <w:rPr>
                <w:rFonts w:hint="eastAsia" w:ascii="宋体" w:hAnsi="宋体"/>
                <w:sz w:val="16"/>
                <w:lang w:eastAsia="zh-CN"/>
              </w:rPr>
              <w:t>1.</w:t>
            </w:r>
            <w:r>
              <w:rPr>
                <w:rFonts w:ascii="宋体" w:hAnsi="宋体" w:eastAsia="宋体"/>
                <w:sz w:val="16"/>
              </w:rPr>
              <w:t>完成应急专业人员业务培训1次、51人、4天，针对加强技术人员专业能力；2、采购一批实验室试剂耗材，保障实验室考核工作。3、采购一批设备，提升专业技术人员现场流行病能力，提高疾控中心实验室能力建设和卫生系统专业人才能力。</w:t>
            </w:r>
          </w:p>
        </w:tc>
      </w:tr>
      <w:tr w14:paraId="326A5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223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06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C8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27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7C5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69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33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155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85F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6D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CA0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9F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42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C9DA">
            <w:pPr>
              <w:jc w:val="center"/>
            </w:pPr>
            <w:r>
              <w:rPr>
                <w:rFonts w:ascii="宋体" w:hAnsi="宋体" w:eastAsia="宋体"/>
                <w:sz w:val="16"/>
              </w:rPr>
              <w:t>偏差原因分析及改进措施</w:t>
            </w:r>
          </w:p>
        </w:tc>
      </w:tr>
      <w:tr w14:paraId="6FC14F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691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97A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2D9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EB38">
            <w:pPr>
              <w:jc w:val="center"/>
            </w:pPr>
            <w:r>
              <w:rPr>
                <w:rFonts w:ascii="宋体" w:hAnsi="宋体" w:eastAsia="宋体"/>
                <w:sz w:val="16"/>
              </w:rPr>
              <w:t>传染病应急专业人才培训次数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5A5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A4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2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F5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D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6B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F8D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3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C3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1BA9">
            <w:pPr>
              <w:jc w:val="center"/>
            </w:pPr>
          </w:p>
        </w:tc>
      </w:tr>
      <w:tr w14:paraId="18F21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19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C2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67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B2E9">
            <w:pPr>
              <w:jc w:val="center"/>
            </w:pPr>
            <w:r>
              <w:rPr>
                <w:rFonts w:ascii="宋体" w:hAnsi="宋体" w:eastAsia="宋体"/>
                <w:sz w:val="16"/>
              </w:rPr>
              <w:t>传染病应急专业人才培训人数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DA22">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7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D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57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F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40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DFB5">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7661">
            <w:pPr>
              <w:jc w:val="center"/>
            </w:pPr>
            <w:r>
              <w:rPr>
                <w:rFonts w:ascii="宋体" w:hAnsi="宋体" w:eastAsia="宋体"/>
                <w:sz w:val="16"/>
              </w:rPr>
              <w:t>188.89%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37C2">
            <w:pPr>
              <w:jc w:val="center"/>
            </w:pPr>
            <w:r>
              <w:rPr>
                <w:rFonts w:ascii="宋体" w:hAnsi="宋体" w:eastAsia="宋体"/>
                <w:sz w:val="16"/>
              </w:rPr>
              <w:t>0.33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C3BD">
            <w:pPr>
              <w:jc w:val="center"/>
            </w:pPr>
            <w:r>
              <w:rPr>
                <w:rFonts w:ascii="宋体" w:hAnsi="宋体" w:eastAsia="宋体"/>
                <w:sz w:val="16"/>
              </w:rPr>
              <w:t>压缩了供应商的价格，提高了参训人数。改进措施：加强培训准备工作，严格控制培训人员。</w:t>
            </w:r>
          </w:p>
        </w:tc>
      </w:tr>
      <w:tr w14:paraId="7C355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B7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28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9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4F2A">
            <w:pPr>
              <w:jc w:val="center"/>
            </w:pPr>
            <w:r>
              <w:rPr>
                <w:rFonts w:ascii="宋体" w:hAnsi="宋体" w:eastAsia="宋体"/>
                <w:sz w:val="16"/>
              </w:rPr>
              <w:t>传染病应急专业人才培训天数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926A">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7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6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AF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F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3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98F0">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ED8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75D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65A6">
            <w:pPr>
              <w:jc w:val="center"/>
            </w:pPr>
            <w:r>
              <w:rPr>
                <w:rFonts w:ascii="宋体" w:hAnsi="宋体" w:eastAsia="宋体"/>
                <w:sz w:val="16"/>
              </w:rPr>
              <w:t>增加参训人数后密集了参训课程，最大化利用了资金效率。改进措施：加强培训准备工作，严格控制培训人员。</w:t>
            </w:r>
          </w:p>
        </w:tc>
      </w:tr>
      <w:tr w14:paraId="69627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AD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BB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9F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9270">
            <w:pPr>
              <w:jc w:val="center"/>
            </w:pPr>
            <w:r>
              <w:rPr>
                <w:rFonts w:ascii="宋体" w:hAnsi="宋体" w:eastAsia="宋体"/>
                <w:sz w:val="16"/>
              </w:rPr>
              <w:t>试剂耗材采购批次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F5C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A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F0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9E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2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ED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332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8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8B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2505">
            <w:pPr>
              <w:jc w:val="center"/>
            </w:pPr>
          </w:p>
        </w:tc>
      </w:tr>
      <w:tr w14:paraId="1B4C1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2D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2C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A7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0A74">
            <w:pPr>
              <w:jc w:val="center"/>
            </w:pPr>
            <w:r>
              <w:rPr>
                <w:rFonts w:ascii="宋体" w:hAnsi="宋体" w:eastAsia="宋体"/>
                <w:sz w:val="16"/>
              </w:rPr>
              <w:t>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4F3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2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6D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6C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1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74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5EB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8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B2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ABDB">
            <w:pPr>
              <w:jc w:val="center"/>
            </w:pPr>
          </w:p>
        </w:tc>
      </w:tr>
      <w:tr w14:paraId="72583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E3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DC3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791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F2B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7C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6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A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6B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F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3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EF82">
            <w:pPr>
              <w:jc w:val="center"/>
            </w:pPr>
            <w:r>
              <w:rPr>
                <w:rFonts w:ascii="宋体" w:hAnsi="宋体" w:eastAsia="宋体"/>
                <w:sz w:val="16"/>
              </w:rPr>
              <w:t>=188.89%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4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A8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361A">
            <w:pPr>
              <w:jc w:val="center"/>
            </w:pPr>
          </w:p>
        </w:tc>
      </w:tr>
      <w:tr w14:paraId="74402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4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61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C0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7DE0">
            <w:pPr>
              <w:jc w:val="center"/>
            </w:pPr>
            <w:r>
              <w:rPr>
                <w:rFonts w:ascii="宋体" w:hAnsi="宋体" w:eastAsia="宋体"/>
                <w:sz w:val="16"/>
              </w:rPr>
              <w:t>试剂耗材验收合格率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6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6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A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DF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F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28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5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0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58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B10D">
            <w:pPr>
              <w:jc w:val="center"/>
            </w:pPr>
          </w:p>
        </w:tc>
      </w:tr>
      <w:tr w14:paraId="0E20C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2E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AA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A9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2A4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B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F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3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EF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A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B6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3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9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9F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6DE6">
            <w:pPr>
              <w:jc w:val="center"/>
            </w:pPr>
          </w:p>
        </w:tc>
      </w:tr>
      <w:tr w14:paraId="250E5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CE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8D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A0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64E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7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7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9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E0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0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25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8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2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59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5977">
            <w:pPr>
              <w:jc w:val="center"/>
            </w:pPr>
          </w:p>
        </w:tc>
      </w:tr>
      <w:tr w14:paraId="0B6F7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5C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091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59A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EC05">
            <w:pPr>
              <w:jc w:val="center"/>
            </w:pPr>
            <w:r>
              <w:rPr>
                <w:rFonts w:ascii="宋体" w:hAnsi="宋体" w:eastAsia="宋体"/>
                <w:sz w:val="16"/>
              </w:rPr>
              <w:t>业务培训按时完成率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ED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3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5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FA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9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9E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0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4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CC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9725">
            <w:pPr>
              <w:jc w:val="center"/>
            </w:pPr>
          </w:p>
        </w:tc>
      </w:tr>
      <w:tr w14:paraId="0B3C4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7B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06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4C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B2D4">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4BF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8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0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5F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2F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85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B31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9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1D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9FB0">
            <w:pPr>
              <w:jc w:val="center"/>
            </w:pPr>
          </w:p>
        </w:tc>
      </w:tr>
      <w:tr w14:paraId="5731F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0AC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999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86B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B10F">
            <w:pPr>
              <w:jc w:val="center"/>
            </w:pPr>
            <w:r>
              <w:rPr>
                <w:rFonts w:ascii="宋体" w:hAnsi="宋体" w:eastAsia="宋体"/>
                <w:sz w:val="16"/>
              </w:rPr>
              <w:t>传染病应急专业人才培训成本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4894">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C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2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77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6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98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81EB">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4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6F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E979">
            <w:pPr>
              <w:jc w:val="center"/>
            </w:pPr>
          </w:p>
        </w:tc>
      </w:tr>
      <w:tr w14:paraId="5F8FF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D7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C7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B63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A0AB">
            <w:pPr>
              <w:jc w:val="center"/>
            </w:pPr>
            <w:r>
              <w:rPr>
                <w:rFonts w:ascii="宋体" w:hAnsi="宋体" w:eastAsia="宋体"/>
                <w:sz w:val="16"/>
              </w:rPr>
              <w:t>传染病实验室检测质量提升成本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C00D">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B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D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BC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8F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34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9385">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9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CA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EF42">
            <w:pPr>
              <w:jc w:val="center"/>
            </w:pPr>
          </w:p>
        </w:tc>
      </w:tr>
      <w:tr w14:paraId="253FB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8B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1A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EA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43D7">
            <w:pPr>
              <w:jc w:val="center"/>
            </w:pPr>
            <w:r>
              <w:rPr>
                <w:rFonts w:ascii="宋体" w:hAnsi="宋体" w:eastAsia="宋体"/>
                <w:sz w:val="16"/>
              </w:rPr>
              <w:t>现场流行病学成本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94D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76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3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29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E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6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06FE">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0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90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2EA7">
            <w:pPr>
              <w:jc w:val="center"/>
            </w:pPr>
          </w:p>
        </w:tc>
      </w:tr>
      <w:tr w14:paraId="3B230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068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112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55F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46FF">
            <w:pPr>
              <w:jc w:val="center"/>
            </w:pPr>
            <w:r>
              <w:rPr>
                <w:rFonts w:ascii="宋体" w:hAnsi="宋体" w:eastAsia="宋体"/>
                <w:sz w:val="16"/>
              </w:rPr>
              <w:t>试剂耗材利用率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79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3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E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D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6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0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A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8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5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5097">
            <w:pPr>
              <w:jc w:val="center"/>
            </w:pPr>
          </w:p>
        </w:tc>
      </w:tr>
      <w:tr w14:paraId="53BDF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3B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D5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D5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212B">
            <w:pPr>
              <w:jc w:val="center"/>
            </w:pPr>
            <w:r>
              <w:rPr>
                <w:rFonts w:ascii="宋体" w:hAnsi="宋体" w:eastAsia="宋体"/>
                <w:sz w:val="16"/>
              </w:rPr>
              <w:t>实验室能力建设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A911">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1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B3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0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DC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F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60E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B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CB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3EE3">
            <w:pPr>
              <w:jc w:val="center"/>
            </w:pPr>
          </w:p>
        </w:tc>
      </w:tr>
      <w:tr w14:paraId="34225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7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7F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EB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10EE">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9C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7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1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4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63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D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4D09">
            <w:pPr>
              <w:jc w:val="center"/>
            </w:pPr>
            <w:r>
              <w:rPr>
                <w:rFonts w:ascii="宋体" w:hAnsi="宋体" w:eastAsia="宋体"/>
                <w:sz w:val="16"/>
              </w:rPr>
              <w:t>=93.02%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D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E0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AF3E">
            <w:pPr>
              <w:jc w:val="center"/>
            </w:pPr>
          </w:p>
        </w:tc>
      </w:tr>
      <w:tr w14:paraId="2836D0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8B4F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75B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6754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12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78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3694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B72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B6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65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5582">
            <w:pPr>
              <w:jc w:val="center"/>
            </w:pPr>
            <w:r>
              <w:rPr>
                <w:rFonts w:ascii="宋体" w:hAnsi="宋体" w:eastAsia="宋体"/>
                <w:sz w:val="16"/>
              </w:rPr>
              <w:t>95.83分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65456"/>
        </w:tc>
      </w:tr>
    </w:tbl>
    <w:p w14:paraId="104D63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4F05F8C8">
        <w:tblPrEx>
          <w:tblCellMar>
            <w:top w:w="0" w:type="dxa"/>
            <w:left w:w="108" w:type="dxa"/>
            <w:bottom w:w="0" w:type="dxa"/>
            <w:right w:w="108" w:type="dxa"/>
          </w:tblCellMar>
        </w:tblPrEx>
        <w:tc>
          <w:tcPr>
            <w:tcW w:w="8848" w:type="dxa"/>
            <w:gridSpan w:val="14"/>
            <w:vAlign w:val="center"/>
          </w:tcPr>
          <w:p w14:paraId="35F46416">
            <w:pPr>
              <w:jc w:val="center"/>
            </w:pPr>
            <w:r>
              <w:rPr>
                <w:rFonts w:ascii="宋体" w:hAnsi="宋体" w:eastAsia="宋体"/>
                <w:sz w:val="24"/>
              </w:rPr>
              <w:t>项目支出绩效自评表</w:t>
            </w:r>
          </w:p>
        </w:tc>
      </w:tr>
      <w:tr w14:paraId="6EA42A68">
        <w:tblPrEx>
          <w:tblCellMar>
            <w:top w:w="0" w:type="dxa"/>
            <w:left w:w="108" w:type="dxa"/>
            <w:bottom w:w="0" w:type="dxa"/>
            <w:right w:w="108" w:type="dxa"/>
          </w:tblCellMar>
        </w:tblPrEx>
        <w:tc>
          <w:tcPr>
            <w:tcW w:w="8848" w:type="dxa"/>
            <w:gridSpan w:val="14"/>
            <w:vAlign w:val="center"/>
          </w:tcPr>
          <w:p w14:paraId="1C91B82B">
            <w:pPr>
              <w:jc w:val="center"/>
            </w:pPr>
            <w:r>
              <w:rPr>
                <w:rFonts w:ascii="宋体" w:hAnsi="宋体" w:eastAsia="宋体"/>
                <w:sz w:val="24"/>
              </w:rPr>
              <w:t>(2024年度)</w:t>
            </w:r>
          </w:p>
        </w:tc>
      </w:tr>
      <w:tr w14:paraId="3D60A4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40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86C91C">
            <w:pPr>
              <w:jc w:val="center"/>
            </w:pPr>
            <w:r>
              <w:rPr>
                <w:rFonts w:ascii="宋体" w:hAnsi="宋体" w:eastAsia="宋体"/>
                <w:sz w:val="16"/>
              </w:rPr>
              <w:t>2024年卫生计生监督执法工作项目</w:t>
            </w:r>
          </w:p>
        </w:tc>
      </w:tr>
      <w:tr w14:paraId="6220C7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15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94B5F8">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00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4F0F23">
            <w:pPr>
              <w:jc w:val="center"/>
            </w:pPr>
            <w:r>
              <w:rPr>
                <w:rFonts w:ascii="宋体" w:hAnsi="宋体" w:eastAsia="宋体"/>
                <w:sz w:val="16"/>
              </w:rPr>
              <w:t>新疆巴音郭楞蒙古自治州疾病预防控制中心</w:t>
            </w:r>
          </w:p>
        </w:tc>
      </w:tr>
      <w:tr w14:paraId="331A5E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8390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2C2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67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585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D88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0392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6D1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A53E">
            <w:pPr>
              <w:jc w:val="center"/>
            </w:pPr>
            <w:r>
              <w:rPr>
                <w:rFonts w:ascii="宋体" w:hAnsi="宋体" w:eastAsia="宋体"/>
                <w:sz w:val="16"/>
              </w:rPr>
              <w:t>得分</w:t>
            </w:r>
          </w:p>
        </w:tc>
      </w:tr>
      <w:tr w14:paraId="6E40A8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AD9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927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B6A4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3EC1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A224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AA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CBC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EDBD">
            <w:pPr>
              <w:jc w:val="center"/>
            </w:pPr>
            <w:r>
              <w:rPr>
                <w:rFonts w:ascii="宋体" w:hAnsi="宋体" w:eastAsia="宋体"/>
                <w:sz w:val="16"/>
              </w:rPr>
              <w:t>10.00</w:t>
            </w:r>
          </w:p>
        </w:tc>
      </w:tr>
      <w:tr w14:paraId="0188C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634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EB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E31B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723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8DB2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A22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25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581C">
            <w:pPr>
              <w:jc w:val="center"/>
            </w:pPr>
            <w:r>
              <w:rPr>
                <w:rFonts w:ascii="宋体" w:hAnsi="宋体" w:eastAsia="宋体"/>
                <w:sz w:val="16"/>
              </w:rPr>
              <w:t>-</w:t>
            </w:r>
          </w:p>
        </w:tc>
      </w:tr>
      <w:tr w14:paraId="2CCF9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F14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9A22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6AD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CF5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05A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458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D8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9D1B">
            <w:pPr>
              <w:jc w:val="center"/>
            </w:pPr>
            <w:r>
              <w:rPr>
                <w:rFonts w:ascii="宋体" w:hAnsi="宋体" w:eastAsia="宋体"/>
                <w:sz w:val="16"/>
              </w:rPr>
              <w:t>-</w:t>
            </w:r>
          </w:p>
        </w:tc>
      </w:tr>
      <w:tr w14:paraId="4DDC22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182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E7CA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339C62">
            <w:pPr>
              <w:jc w:val="center"/>
            </w:pPr>
            <w:r>
              <w:rPr>
                <w:rFonts w:ascii="宋体" w:hAnsi="宋体" w:eastAsia="宋体"/>
                <w:sz w:val="16"/>
              </w:rPr>
              <w:t>总体目标完成情况</w:t>
            </w:r>
          </w:p>
        </w:tc>
      </w:tr>
      <w:tr w14:paraId="43CA8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4B0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4C080">
            <w:pPr>
              <w:jc w:val="both"/>
            </w:pPr>
            <w:r>
              <w:rPr>
                <w:rFonts w:ascii="宋体" w:hAnsi="宋体" w:eastAsia="宋体"/>
                <w:sz w:val="16"/>
              </w:rPr>
              <w:t>根据自治区卫生健康监督执法工作和落实</w:t>
            </w:r>
            <w:r>
              <w:rPr>
                <w:rFonts w:hint="eastAsia" w:ascii="宋体" w:hAnsi="宋体"/>
                <w:sz w:val="16"/>
                <w:lang w:eastAsia="zh-CN"/>
              </w:rPr>
              <w:t>YQ</w:t>
            </w:r>
            <w:r>
              <w:rPr>
                <w:rFonts w:ascii="宋体" w:hAnsi="宋体" w:eastAsia="宋体"/>
                <w:sz w:val="16"/>
              </w:rPr>
              <w:t>防控监督检查任务的决策部署，确保单位日常工作正常运转，单位保密工作落实到位，保障办公人员法律宣传经费，强化单位网络安全，租赁电信网络确保网络安全及监督信息平台的正常运行，使本级卫生健康监督执法队伍规范合理执法得到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5007CE">
            <w:pPr>
              <w:jc w:val="both"/>
            </w:pPr>
            <w:r>
              <w:rPr>
                <w:rFonts w:hint="eastAsia" w:ascii="宋体" w:hAnsi="宋体"/>
                <w:sz w:val="16"/>
                <w:lang w:eastAsia="zh-CN"/>
              </w:rPr>
              <w:t>截至2024</w:t>
            </w:r>
            <w:r>
              <w:rPr>
                <w:rFonts w:ascii="宋体" w:hAnsi="宋体" w:eastAsia="宋体"/>
                <w:sz w:val="16"/>
              </w:rPr>
              <w:t>年12月31日，1、制服采购2.1万元，129人件，支出2.1万元，共计22人在职人员统一制作肩章领带制服等；2、网络租赁2条,费用4.5万元，租赁费已全额支付完毕；3、购买执法记录仪9台，采购成本2.4万元，完成计划的150%。</w:t>
            </w:r>
          </w:p>
        </w:tc>
      </w:tr>
      <w:tr w14:paraId="1BE276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A02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27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55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77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24B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D3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052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B08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812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24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4F5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75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E9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801F">
            <w:pPr>
              <w:jc w:val="center"/>
            </w:pPr>
            <w:r>
              <w:rPr>
                <w:rFonts w:ascii="宋体" w:hAnsi="宋体" w:eastAsia="宋体"/>
                <w:sz w:val="16"/>
              </w:rPr>
              <w:t>偏差原因分析及改进措施</w:t>
            </w:r>
          </w:p>
        </w:tc>
      </w:tr>
      <w:tr w14:paraId="488792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E16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62C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F52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E233">
            <w:pPr>
              <w:jc w:val="center"/>
            </w:pPr>
            <w:r>
              <w:rPr>
                <w:rFonts w:ascii="宋体" w:hAnsi="宋体" w:eastAsia="宋体"/>
                <w:sz w:val="16"/>
              </w:rPr>
              <w:t>购买卫生监督执法服装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40A0">
            <w:pPr>
              <w:jc w:val="center"/>
            </w:pPr>
            <w:r>
              <w:rPr>
                <w:rFonts w:ascii="宋体" w:hAnsi="宋体" w:eastAsia="宋体"/>
                <w:sz w:val="16"/>
              </w:rPr>
              <w:t>=40件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7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F634">
            <w:pPr>
              <w:jc w:val="center"/>
            </w:pPr>
            <w:r>
              <w:rPr>
                <w:rFonts w:hint="eastAsia" w:ascii="宋体" w:hAnsi="宋体" w:eastAsia="宋体"/>
                <w:sz w:val="16"/>
              </w:rPr>
              <w:t>40件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35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E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ED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8BC6">
            <w:pPr>
              <w:jc w:val="center"/>
            </w:pPr>
            <w:r>
              <w:rPr>
                <w:rFonts w:ascii="宋体" w:hAnsi="宋体" w:eastAsia="宋体"/>
                <w:sz w:val="16"/>
              </w:rPr>
              <w:t>=129件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8288">
            <w:pPr>
              <w:jc w:val="center"/>
            </w:pPr>
            <w:r>
              <w:rPr>
                <w:rFonts w:ascii="宋体" w:hAnsi="宋体" w:eastAsia="宋体"/>
                <w:sz w:val="16"/>
              </w:rPr>
              <w:t>322.5%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53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222C">
            <w:pPr>
              <w:jc w:val="center"/>
            </w:pPr>
            <w:r>
              <w:rPr>
                <w:rFonts w:ascii="宋体" w:hAnsi="宋体" w:eastAsia="宋体"/>
                <w:sz w:val="16"/>
              </w:rPr>
              <w:t>因工作需要及服装成本降低，比预期采购数量有所增加。改进措施：精准测算制服更新换代周期，保障执法工作顺利开展。</w:t>
            </w:r>
          </w:p>
        </w:tc>
      </w:tr>
      <w:tr w14:paraId="48E2E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BC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63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BCD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98CA">
            <w:pPr>
              <w:jc w:val="center"/>
            </w:pPr>
            <w:r>
              <w:rPr>
                <w:rFonts w:ascii="宋体" w:hAnsi="宋体" w:eastAsia="宋体"/>
                <w:sz w:val="16"/>
              </w:rPr>
              <w:t>网络租赁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EB4F">
            <w:pPr>
              <w:jc w:val="center"/>
            </w:pPr>
            <w:r>
              <w:rPr>
                <w:rFonts w:ascii="宋体" w:hAnsi="宋体" w:eastAsia="宋体"/>
                <w:sz w:val="16"/>
              </w:rPr>
              <w:t>&gt;=2条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F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CCFE">
            <w:pPr>
              <w:jc w:val="center"/>
            </w:pPr>
            <w:r>
              <w:rPr>
                <w:rFonts w:hint="eastAsia"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08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D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72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72EE">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4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38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E691">
            <w:pPr>
              <w:jc w:val="center"/>
            </w:pPr>
          </w:p>
        </w:tc>
      </w:tr>
      <w:tr w14:paraId="4B85E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43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9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35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DCEB">
            <w:pPr>
              <w:jc w:val="center"/>
            </w:pPr>
            <w:r>
              <w:rPr>
                <w:rFonts w:ascii="宋体" w:hAnsi="宋体" w:eastAsia="宋体"/>
                <w:sz w:val="16"/>
              </w:rPr>
              <w:t>设备采购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B501">
            <w:pPr>
              <w:jc w:val="center"/>
            </w:pPr>
            <w:r>
              <w:rPr>
                <w:rFonts w:ascii="宋体" w:hAnsi="宋体" w:eastAsia="宋体"/>
                <w:sz w:val="16"/>
              </w:rPr>
              <w:t>&gt;=6台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63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6473">
            <w:pPr>
              <w:jc w:val="center"/>
            </w:pPr>
            <w:r>
              <w:rPr>
                <w:rFonts w:hint="eastAsia"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5F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D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3B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77E9">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63B4">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1A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53CC">
            <w:pPr>
              <w:jc w:val="center"/>
            </w:pPr>
            <w:r>
              <w:rPr>
                <w:rFonts w:ascii="宋体" w:hAnsi="宋体" w:eastAsia="宋体"/>
                <w:sz w:val="16"/>
              </w:rPr>
              <w:t>因工作需要及成本减少，比预期采购数量有所增加。改进措施：避免设备询价误差的问题发生。</w:t>
            </w:r>
          </w:p>
        </w:tc>
      </w:tr>
      <w:tr w14:paraId="21981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02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C5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C6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746B">
            <w:pPr>
              <w:jc w:val="center"/>
            </w:pPr>
            <w:r>
              <w:rPr>
                <w:rFonts w:ascii="宋体" w:hAnsi="宋体" w:eastAsia="宋体"/>
                <w:sz w:val="16"/>
              </w:rPr>
              <w:t>法律宣传次数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702B">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C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A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30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9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64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52FB">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A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27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FBE9">
            <w:pPr>
              <w:jc w:val="center"/>
            </w:pPr>
          </w:p>
        </w:tc>
      </w:tr>
      <w:tr w14:paraId="406BA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3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5A5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EF5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C58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0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50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029A">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35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6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5E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8FBF">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5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6F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5A69">
            <w:pPr>
              <w:jc w:val="center"/>
            </w:pPr>
          </w:p>
        </w:tc>
      </w:tr>
      <w:tr w14:paraId="27702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7C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F0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99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60EB">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2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D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25AA">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40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B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12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8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1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51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249F">
            <w:pPr>
              <w:jc w:val="center"/>
            </w:pPr>
          </w:p>
        </w:tc>
      </w:tr>
      <w:tr w14:paraId="56CD3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4E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2D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24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8B6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C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06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8919">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36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E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9F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6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D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BB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D682">
            <w:pPr>
              <w:jc w:val="center"/>
            </w:pPr>
          </w:p>
        </w:tc>
      </w:tr>
      <w:tr w14:paraId="29492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DC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77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1D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7DF1">
            <w:pPr>
              <w:jc w:val="center"/>
            </w:pPr>
            <w:r>
              <w:rPr>
                <w:rFonts w:ascii="宋体" w:hAnsi="宋体" w:eastAsia="宋体"/>
                <w:sz w:val="16"/>
              </w:rPr>
              <w:t>制服质量合格率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4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0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C7BF">
            <w:pPr>
              <w:jc w:val="center"/>
            </w:pPr>
            <w:r>
              <w:rPr>
                <w:rFonts w:hint="eastAsia" w:ascii="宋体" w:hAnsi="宋体"/>
                <w:sz w:val="16"/>
                <w:lang w:val="en-US" w:eastAsia="zh-CN"/>
              </w:rPr>
              <w:t>95</w:t>
            </w:r>
            <w:r>
              <w:rPr>
                <w:rFonts w:hint="eastAsia"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22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4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0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6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6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80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B792">
            <w:pPr>
              <w:jc w:val="center"/>
            </w:pPr>
          </w:p>
        </w:tc>
      </w:tr>
      <w:tr w14:paraId="0A7FA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A7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862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B81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E476">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EA2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0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F4EF">
            <w:pPr>
              <w:jc w:val="center"/>
            </w:pPr>
            <w:r>
              <w:rPr>
                <w:rFonts w:hint="eastAsia"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B4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94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E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0AF5">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D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10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D2F3">
            <w:pPr>
              <w:jc w:val="center"/>
            </w:pPr>
          </w:p>
        </w:tc>
      </w:tr>
      <w:tr w14:paraId="3A3BB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17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38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88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8141">
            <w:pPr>
              <w:jc w:val="center"/>
            </w:pPr>
            <w:r>
              <w:rPr>
                <w:rFonts w:ascii="宋体" w:hAnsi="宋体" w:eastAsia="宋体"/>
                <w:sz w:val="16"/>
              </w:rPr>
              <w:t>服装购买完成时间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8E2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6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4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78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5B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8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C2A2">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0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A2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390F">
            <w:pPr>
              <w:jc w:val="center"/>
            </w:pPr>
          </w:p>
        </w:tc>
      </w:tr>
      <w:tr w14:paraId="76642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10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39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C6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D89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78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B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8189">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11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7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0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F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E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D0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CCAA">
            <w:pPr>
              <w:jc w:val="center"/>
            </w:pPr>
          </w:p>
        </w:tc>
      </w:tr>
      <w:tr w14:paraId="62E7B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282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40C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1E3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BC0D">
            <w:pPr>
              <w:jc w:val="center"/>
            </w:pPr>
            <w:r>
              <w:rPr>
                <w:rFonts w:ascii="宋体" w:hAnsi="宋体" w:eastAsia="宋体"/>
                <w:sz w:val="16"/>
              </w:rPr>
              <w:t>法律宣传成本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902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3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C014">
            <w:pPr>
              <w:jc w:val="center"/>
            </w:pPr>
            <w:r>
              <w:rPr>
                <w:rFonts w:hint="eastAsia"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AE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1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6D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7F6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F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1D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1E38">
            <w:pPr>
              <w:jc w:val="center"/>
            </w:pPr>
          </w:p>
        </w:tc>
      </w:tr>
      <w:tr w14:paraId="43684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09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BA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09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A2D6">
            <w:pPr>
              <w:jc w:val="center"/>
            </w:pPr>
            <w:r>
              <w:rPr>
                <w:rFonts w:ascii="宋体" w:hAnsi="宋体" w:eastAsia="宋体"/>
                <w:sz w:val="16"/>
              </w:rPr>
              <w:t>网络租赁成本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DF27">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B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19DC">
            <w:pPr>
              <w:jc w:val="center"/>
            </w:pPr>
            <w:r>
              <w:rPr>
                <w:rFonts w:hint="eastAsia" w:ascii="宋体" w:hAnsi="宋体" w:eastAsia="宋体"/>
                <w:sz w:val="16"/>
              </w:rPr>
              <w: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05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E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AB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0CE3">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A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E2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77BF">
            <w:pPr>
              <w:jc w:val="center"/>
            </w:pPr>
          </w:p>
        </w:tc>
      </w:tr>
      <w:tr w14:paraId="5B19D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36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13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32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B22D">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D40C">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E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2CD0">
            <w:pPr>
              <w:jc w:val="center"/>
            </w:pPr>
            <w:r>
              <w:rPr>
                <w:rFonts w:hint="eastAsia"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22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2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C5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021D">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2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25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D618">
            <w:pPr>
              <w:jc w:val="center"/>
            </w:pPr>
          </w:p>
        </w:tc>
      </w:tr>
      <w:tr w14:paraId="7B353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22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A2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A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9D0C">
            <w:pPr>
              <w:jc w:val="center"/>
            </w:pPr>
            <w:r>
              <w:rPr>
                <w:rFonts w:ascii="宋体" w:hAnsi="宋体" w:eastAsia="宋体"/>
                <w:sz w:val="16"/>
              </w:rPr>
              <w:t>制服采购成本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8AFB">
            <w:pPr>
              <w:jc w:val="center"/>
            </w:pPr>
            <w:r>
              <w:rPr>
                <w:rFonts w:ascii="宋体" w:hAnsi="宋体" w:eastAsia="宋体"/>
                <w:sz w:val="16"/>
              </w:rPr>
              <w: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D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71E7">
            <w:pPr>
              <w:jc w:val="center"/>
            </w:pPr>
            <w:r>
              <w:rPr>
                <w:rFonts w:hint="eastAsia" w:ascii="宋体" w:hAnsi="宋体"/>
                <w:sz w:val="16"/>
                <w:lang w:val="en-US" w:eastAsia="zh-CN"/>
              </w:rPr>
              <w:t>2</w:t>
            </w:r>
            <w:r>
              <w:rPr>
                <w:rFonts w:hint="eastAsia"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67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0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B6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0E12">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8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58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3BFA">
            <w:pPr>
              <w:jc w:val="center"/>
            </w:pPr>
          </w:p>
        </w:tc>
      </w:tr>
      <w:tr w14:paraId="16D8F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035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020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061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0350">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E4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9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189F">
            <w:pPr>
              <w:jc w:val="center"/>
            </w:pPr>
            <w:r>
              <w:rPr>
                <w:rFonts w:hint="eastAsia"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A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6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C0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E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E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64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E4BE">
            <w:pPr>
              <w:jc w:val="center"/>
            </w:pPr>
          </w:p>
        </w:tc>
      </w:tr>
      <w:tr w14:paraId="59D8C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43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06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2B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41A8">
            <w:pPr>
              <w:jc w:val="center"/>
            </w:pPr>
            <w:r>
              <w:rPr>
                <w:rFonts w:ascii="宋体" w:hAnsi="宋体" w:eastAsia="宋体"/>
                <w:sz w:val="16"/>
              </w:rPr>
              <w:t>提高公共服务水平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774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E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0F37">
            <w:pPr>
              <w:jc w:val="center"/>
            </w:pPr>
            <w:r>
              <w:rPr>
                <w:rFonts w:hint="eastAsia"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9F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D3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4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729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9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8B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A3A8">
            <w:pPr>
              <w:jc w:val="center"/>
            </w:pPr>
          </w:p>
        </w:tc>
      </w:tr>
      <w:tr w14:paraId="610C1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3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2B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7C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4E5D">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27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A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D87F">
            <w:pPr>
              <w:jc w:val="center"/>
            </w:pPr>
            <w:r>
              <w:rPr>
                <w:rFonts w:hint="eastAsia"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0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42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F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7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3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8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A3D1">
            <w:pPr>
              <w:jc w:val="center"/>
            </w:pPr>
          </w:p>
        </w:tc>
      </w:tr>
      <w:tr w14:paraId="0511F1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1EBC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45A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DAF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5BB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1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BD6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860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1D9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35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E5D4">
            <w:pPr>
              <w:jc w:val="center"/>
            </w:pPr>
            <w:r>
              <w:rPr>
                <w:rFonts w:ascii="宋体" w:hAnsi="宋体" w:eastAsia="宋体"/>
                <w:sz w:val="16"/>
              </w:rPr>
              <w:t>94.50分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99D5C"/>
        </w:tc>
      </w:tr>
    </w:tbl>
    <w:p w14:paraId="0476ECD6">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776"/>
        <w:gridCol w:w="595"/>
        <w:gridCol w:w="595"/>
        <w:gridCol w:w="607"/>
        <w:gridCol w:w="595"/>
        <w:gridCol w:w="595"/>
        <w:gridCol w:w="856"/>
        <w:gridCol w:w="776"/>
        <w:gridCol w:w="631"/>
        <w:gridCol w:w="631"/>
      </w:tblGrid>
      <w:tr w14:paraId="1C283EA1">
        <w:tblPrEx>
          <w:tblCellMar>
            <w:top w:w="0" w:type="dxa"/>
            <w:left w:w="108" w:type="dxa"/>
            <w:bottom w:w="0" w:type="dxa"/>
            <w:right w:w="108" w:type="dxa"/>
          </w:tblCellMar>
        </w:tblPrEx>
        <w:tc>
          <w:tcPr>
            <w:tcW w:w="8848" w:type="dxa"/>
            <w:gridSpan w:val="14"/>
            <w:vAlign w:val="center"/>
          </w:tcPr>
          <w:p w14:paraId="4502845E">
            <w:pPr>
              <w:jc w:val="center"/>
            </w:pPr>
            <w:r>
              <w:rPr>
                <w:rFonts w:ascii="宋体" w:hAnsi="宋体" w:eastAsia="宋体"/>
                <w:sz w:val="24"/>
              </w:rPr>
              <w:t>项目支出绩效自评表</w:t>
            </w:r>
          </w:p>
        </w:tc>
      </w:tr>
      <w:tr w14:paraId="349C2B53">
        <w:tblPrEx>
          <w:tblCellMar>
            <w:top w:w="0" w:type="dxa"/>
            <w:left w:w="108" w:type="dxa"/>
            <w:bottom w:w="0" w:type="dxa"/>
            <w:right w:w="108" w:type="dxa"/>
          </w:tblCellMar>
        </w:tblPrEx>
        <w:tc>
          <w:tcPr>
            <w:tcW w:w="8848" w:type="dxa"/>
            <w:gridSpan w:val="14"/>
            <w:vAlign w:val="center"/>
          </w:tcPr>
          <w:p w14:paraId="146E846E">
            <w:pPr>
              <w:jc w:val="center"/>
            </w:pPr>
            <w:r>
              <w:rPr>
                <w:rFonts w:ascii="宋体" w:hAnsi="宋体" w:eastAsia="宋体"/>
                <w:sz w:val="24"/>
              </w:rPr>
              <w:t>(2024年度)</w:t>
            </w:r>
          </w:p>
        </w:tc>
      </w:tr>
      <w:tr w14:paraId="52AB55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C9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0E01DD">
            <w:pPr>
              <w:jc w:val="center"/>
            </w:pPr>
            <w:r>
              <w:rPr>
                <w:rFonts w:ascii="宋体" w:hAnsi="宋体" w:eastAsia="宋体"/>
                <w:sz w:val="16"/>
              </w:rPr>
              <w:t>2024年提前下达中央基本公共卫生服务项目</w:t>
            </w:r>
          </w:p>
        </w:tc>
      </w:tr>
      <w:tr w14:paraId="70CB13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22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9BA35">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75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DC88F9">
            <w:pPr>
              <w:jc w:val="center"/>
            </w:pPr>
            <w:r>
              <w:rPr>
                <w:rFonts w:ascii="宋体" w:hAnsi="宋体" w:eastAsia="宋体"/>
                <w:sz w:val="16"/>
              </w:rPr>
              <w:t>新疆巴音郭楞蒙古自治州疾病预防控制中心</w:t>
            </w:r>
          </w:p>
        </w:tc>
      </w:tr>
      <w:tr w14:paraId="063B67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C608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E7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1E6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9B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1F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6446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483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E524">
            <w:pPr>
              <w:jc w:val="center"/>
            </w:pPr>
            <w:r>
              <w:rPr>
                <w:rFonts w:ascii="宋体" w:hAnsi="宋体" w:eastAsia="宋体"/>
                <w:sz w:val="16"/>
              </w:rPr>
              <w:t>得分</w:t>
            </w:r>
          </w:p>
        </w:tc>
      </w:tr>
      <w:tr w14:paraId="261EFB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EA5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332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7A66C">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4A17E">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96390">
            <w:pPr>
              <w:jc w:val="center"/>
            </w:pPr>
            <w:r>
              <w:rPr>
                <w:rFonts w:ascii="宋体" w:hAnsi="宋体" w:eastAsia="宋体"/>
                <w:sz w:val="16"/>
              </w:rPr>
              <w:t>43.60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125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14F25">
            <w:pPr>
              <w:jc w:val="center"/>
            </w:pPr>
            <w:r>
              <w:rPr>
                <w:rFonts w:ascii="宋体" w:hAnsi="宋体" w:eastAsia="宋体"/>
                <w:sz w:val="16"/>
              </w:rPr>
              <w:t>99.32%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1529">
            <w:pPr>
              <w:jc w:val="center"/>
            </w:pPr>
            <w:r>
              <w:rPr>
                <w:rFonts w:ascii="宋体" w:hAnsi="宋体" w:eastAsia="宋体"/>
                <w:sz w:val="16"/>
              </w:rPr>
              <w:t>10.00</w:t>
            </w:r>
          </w:p>
        </w:tc>
      </w:tr>
      <w:tr w14:paraId="08F45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8ED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1F7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447D0">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82A4F">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CEB2">
            <w:pPr>
              <w:jc w:val="center"/>
            </w:pPr>
            <w:r>
              <w:rPr>
                <w:rFonts w:ascii="宋体" w:hAnsi="宋体" w:eastAsia="宋体"/>
                <w:sz w:val="16"/>
              </w:rPr>
              <w:t>43.60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17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3B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327A">
            <w:pPr>
              <w:jc w:val="center"/>
            </w:pPr>
            <w:r>
              <w:rPr>
                <w:rFonts w:ascii="宋体" w:hAnsi="宋体" w:eastAsia="宋体"/>
                <w:sz w:val="16"/>
              </w:rPr>
              <w:t>-</w:t>
            </w:r>
          </w:p>
        </w:tc>
      </w:tr>
      <w:tr w14:paraId="10B6E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FF7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EC30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D2B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690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23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5BA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9A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2559">
            <w:pPr>
              <w:jc w:val="center"/>
            </w:pPr>
            <w:r>
              <w:rPr>
                <w:rFonts w:ascii="宋体" w:hAnsi="宋体" w:eastAsia="宋体"/>
                <w:sz w:val="16"/>
              </w:rPr>
              <w:t>-</w:t>
            </w:r>
          </w:p>
        </w:tc>
      </w:tr>
      <w:tr w14:paraId="259D7F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4FE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EB1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8213E8">
            <w:pPr>
              <w:jc w:val="center"/>
            </w:pPr>
            <w:r>
              <w:rPr>
                <w:rFonts w:ascii="宋体" w:hAnsi="宋体" w:eastAsia="宋体"/>
                <w:sz w:val="16"/>
              </w:rPr>
              <w:t>总体目标完成情况</w:t>
            </w:r>
          </w:p>
        </w:tc>
      </w:tr>
      <w:tr w14:paraId="4A6BB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276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3089E">
            <w:pPr>
              <w:jc w:val="both"/>
            </w:pPr>
            <w:r>
              <w:rPr>
                <w:rFonts w:ascii="宋体" w:hAnsi="宋体" w:eastAsia="宋体"/>
                <w:sz w:val="16"/>
              </w:rPr>
              <w:t>根据巴财社</w:t>
            </w:r>
            <w:r>
              <w:rPr>
                <w:rFonts w:hint="eastAsia" w:ascii="宋体" w:hAnsi="宋体"/>
                <w:sz w:val="16"/>
                <w:lang w:eastAsia="zh-CN"/>
              </w:rPr>
              <w:t>〔2023〕101号</w:t>
            </w:r>
            <w:r>
              <w:rPr>
                <w:rFonts w:ascii="宋体" w:hAnsi="宋体" w:eastAsia="宋体"/>
                <w:sz w:val="16"/>
              </w:rPr>
              <w:t>关于提前下达2024年中央基本公共卫生服务补助资金预算的通知要求，1、通过对专业技术人员业务指导6次以上、业务培训2次、154人、4天以上，提高专业技术人员的业务水平。2、通过对12个点做放射卫生监测，开展职业病防治，最大限度地保护放射工作人员、患者和</w:t>
            </w:r>
            <w:r>
              <w:rPr>
                <w:rFonts w:hint="eastAsia" w:ascii="宋体" w:hAnsi="宋体"/>
                <w:sz w:val="16"/>
                <w:lang w:eastAsia="zh-CN"/>
              </w:rPr>
              <w:t>公众</w:t>
            </w:r>
            <w:r>
              <w:rPr>
                <w:rFonts w:ascii="宋体" w:hAnsi="宋体" w:eastAsia="宋体"/>
                <w:sz w:val="16"/>
              </w:rPr>
              <w:t>的健康权益。3、通过健康教育宣传2次以上，加强宣传力度，提高群众防病意识。4、采购一批设备，完善职业卫生服务资质设备要求。5、开展食品安全标准跟踪评价1次，职业病卫生分类管理试点县现场带教3次，对各县市开展职业病防治工作的规范性和工作场所职业病危害进行监督检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8D7B4A">
            <w:pPr>
              <w:jc w:val="both"/>
            </w:pPr>
            <w:r>
              <w:rPr>
                <w:rFonts w:hint="eastAsia" w:ascii="宋体" w:hAnsi="宋体"/>
                <w:sz w:val="16"/>
                <w:lang w:eastAsia="zh-CN"/>
              </w:rPr>
              <w:t>截至</w:t>
            </w:r>
            <w:r>
              <w:rPr>
                <w:rFonts w:ascii="宋体" w:hAnsi="宋体" w:eastAsia="宋体"/>
                <w:sz w:val="16"/>
              </w:rPr>
              <w:t>2024年12月31日，1、通过对专业技术人员业务指导6次以上、业务培训2次、197人、4天，提高专业技术人员的业务水平。2、通过对12个点做放射卫生监测，开展职业病防治，最大限度地保护放射工作人员、患者和</w:t>
            </w:r>
            <w:r>
              <w:rPr>
                <w:rFonts w:hint="eastAsia" w:ascii="宋体" w:hAnsi="宋体"/>
                <w:sz w:val="16"/>
                <w:lang w:eastAsia="zh-CN"/>
              </w:rPr>
              <w:t>公众</w:t>
            </w:r>
            <w:r>
              <w:rPr>
                <w:rFonts w:ascii="宋体" w:hAnsi="宋体" w:eastAsia="宋体"/>
                <w:sz w:val="16"/>
              </w:rPr>
              <w:t>的健康权益。3、通过健康教育宣传2次，加强宣传力度，提高群众防病意识。4、采购一批设备，完善职业卫生服务资质设备要求。5、开展食品安全标准跟踪评价1次，职业病卫生分类管理试点县现场带教3次，对各县市开展职业病防治工作的规范性和工作场所职业病危害进行监督检查。</w:t>
            </w:r>
          </w:p>
        </w:tc>
      </w:tr>
      <w:tr w14:paraId="0FF93E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4E0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18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CF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BF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FC4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5A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166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E3F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864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C1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406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BAD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840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E3E2">
            <w:pPr>
              <w:jc w:val="center"/>
            </w:pPr>
            <w:r>
              <w:rPr>
                <w:rFonts w:ascii="宋体" w:hAnsi="宋体" w:eastAsia="宋体"/>
                <w:sz w:val="16"/>
              </w:rPr>
              <w:t>偏差原因分析及改进措施</w:t>
            </w:r>
          </w:p>
        </w:tc>
      </w:tr>
      <w:tr w14:paraId="1B03E9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69B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2E3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46C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E7E7">
            <w:pPr>
              <w:jc w:val="center"/>
            </w:pPr>
            <w:r>
              <w:rPr>
                <w:rFonts w:ascii="宋体" w:hAnsi="宋体" w:eastAsia="宋体"/>
                <w:sz w:val="16"/>
              </w:rPr>
              <w:t>专业技术指导次数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722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6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2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56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8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66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1F1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8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75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159D">
            <w:pPr>
              <w:jc w:val="center"/>
            </w:pPr>
          </w:p>
        </w:tc>
      </w:tr>
      <w:tr w14:paraId="4C3D6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2A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5D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5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976C">
            <w:pPr>
              <w:jc w:val="center"/>
            </w:pPr>
            <w:r>
              <w:rPr>
                <w:rFonts w:ascii="宋体" w:hAnsi="宋体" w:eastAsia="宋体"/>
                <w:sz w:val="16"/>
              </w:rPr>
              <w:t>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E03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7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CB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C8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8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1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851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6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B5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ABB9">
            <w:pPr>
              <w:jc w:val="center"/>
            </w:pPr>
          </w:p>
        </w:tc>
      </w:tr>
      <w:tr w14:paraId="38C6A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1B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81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42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4E7C">
            <w:pPr>
              <w:jc w:val="center"/>
            </w:pPr>
            <w:r>
              <w:rPr>
                <w:rFonts w:ascii="宋体" w:hAnsi="宋体" w:eastAsia="宋体"/>
                <w:sz w:val="16"/>
              </w:rPr>
              <w:t>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A7AE">
            <w:pPr>
              <w:jc w:val="center"/>
            </w:pPr>
            <w:r>
              <w:rPr>
                <w:rFonts w:ascii="宋体" w:hAnsi="宋体" w:eastAsia="宋体"/>
                <w:sz w:val="16"/>
              </w:rPr>
              <w:t>&gt;=154人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6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8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73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9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9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33DC">
            <w:pPr>
              <w:jc w:val="center"/>
            </w:pPr>
            <w:r>
              <w:rPr>
                <w:rFonts w:ascii="宋体" w:hAnsi="宋体" w:eastAsia="宋体"/>
                <w:sz w:val="16"/>
              </w:rPr>
              <w:t>=197人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C5EE">
            <w:pPr>
              <w:jc w:val="center"/>
            </w:pPr>
            <w:r>
              <w:rPr>
                <w:rFonts w:ascii="宋体" w:hAnsi="宋体" w:eastAsia="宋体"/>
                <w:sz w:val="16"/>
              </w:rPr>
              <w:t>127.92%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B0EB">
            <w:pPr>
              <w:jc w:val="center"/>
            </w:pPr>
            <w:r>
              <w:rPr>
                <w:rFonts w:ascii="宋体" w:hAnsi="宋体" w:eastAsia="宋体"/>
                <w:sz w:val="16"/>
              </w:rPr>
              <w:t>1.44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9B59">
            <w:pPr>
              <w:jc w:val="center"/>
            </w:pPr>
            <w:r>
              <w:rPr>
                <w:rFonts w:ascii="宋体" w:hAnsi="宋体" w:eastAsia="宋体"/>
                <w:sz w:val="16"/>
              </w:rPr>
              <w:t>库尔勒市培训需求增大，较参训人数计划总体提升较多。改进措施：加强控制培训人员，确保培训质量。</w:t>
            </w:r>
          </w:p>
        </w:tc>
      </w:tr>
      <w:tr w14:paraId="06035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FC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3A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7E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E26D">
            <w:pPr>
              <w:jc w:val="center"/>
            </w:pPr>
            <w:r>
              <w:rPr>
                <w:rFonts w:ascii="宋体" w:hAnsi="宋体" w:eastAsia="宋体"/>
                <w:sz w:val="16"/>
              </w:rPr>
              <w:t>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81F9">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9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7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0F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48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1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A1A7">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1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79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0D54">
            <w:pPr>
              <w:jc w:val="center"/>
            </w:pPr>
          </w:p>
        </w:tc>
      </w:tr>
      <w:tr w14:paraId="03530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B8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CF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17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4F34">
            <w:pPr>
              <w:jc w:val="center"/>
            </w:pPr>
            <w:r>
              <w:rPr>
                <w:rFonts w:ascii="宋体" w:hAnsi="宋体" w:eastAsia="宋体"/>
                <w:sz w:val="16"/>
              </w:rPr>
              <w:t>放射卫生监测任务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1375">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C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B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94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44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1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208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54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95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1780">
            <w:pPr>
              <w:jc w:val="center"/>
            </w:pPr>
          </w:p>
        </w:tc>
      </w:tr>
      <w:tr w14:paraId="39F96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4D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7A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5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8A7C">
            <w:pPr>
              <w:jc w:val="center"/>
            </w:pPr>
            <w:r>
              <w:rPr>
                <w:rFonts w:ascii="宋体" w:hAnsi="宋体" w:eastAsia="宋体"/>
                <w:sz w:val="16"/>
              </w:rPr>
              <w:t>健康教育宣传次数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70E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A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0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CCB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A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E3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70A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8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9E4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E625">
            <w:pPr>
              <w:jc w:val="center"/>
            </w:pPr>
          </w:p>
        </w:tc>
      </w:tr>
      <w:tr w14:paraId="55919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14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91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7E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EDCF">
            <w:pPr>
              <w:jc w:val="center"/>
            </w:pPr>
            <w:r>
              <w:rPr>
                <w:rFonts w:ascii="宋体" w:hAnsi="宋体" w:eastAsia="宋体"/>
                <w:sz w:val="16"/>
              </w:rPr>
              <w:t>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0DF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2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7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40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8D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52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30A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9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4C6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983D">
            <w:pPr>
              <w:jc w:val="center"/>
            </w:pPr>
          </w:p>
        </w:tc>
      </w:tr>
      <w:tr w14:paraId="334E2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6C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5F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9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3D56">
            <w:pPr>
              <w:jc w:val="center"/>
            </w:pPr>
            <w:r>
              <w:rPr>
                <w:rFonts w:ascii="宋体" w:hAnsi="宋体" w:eastAsia="宋体"/>
                <w:sz w:val="16"/>
              </w:rPr>
              <w:t>开展食品安全标准跟踪评价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ABF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0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4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E85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2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4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C2E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7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B13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BD10">
            <w:pPr>
              <w:jc w:val="center"/>
            </w:pPr>
          </w:p>
        </w:tc>
      </w:tr>
      <w:tr w14:paraId="760FF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39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C4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91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10FB">
            <w:pPr>
              <w:jc w:val="center"/>
            </w:pPr>
            <w:r>
              <w:rPr>
                <w:rFonts w:ascii="宋体" w:hAnsi="宋体" w:eastAsia="宋体"/>
                <w:sz w:val="16"/>
              </w:rPr>
              <w:t>开展职业卫生分类管理试点县现场带教次数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69A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5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D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921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E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4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2AD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A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127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0C4B">
            <w:pPr>
              <w:jc w:val="center"/>
            </w:pPr>
          </w:p>
        </w:tc>
      </w:tr>
      <w:tr w14:paraId="082CB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7D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01F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DFE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2CC8">
            <w:pPr>
              <w:jc w:val="center"/>
            </w:pPr>
            <w:r>
              <w:rPr>
                <w:rFonts w:ascii="宋体" w:hAnsi="宋体" w:eastAsia="宋体"/>
                <w:sz w:val="16"/>
              </w:rPr>
              <w:t>专业技术指导覆盖率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94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F9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0F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86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3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3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8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A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DD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F802">
            <w:pPr>
              <w:jc w:val="center"/>
            </w:pPr>
          </w:p>
        </w:tc>
      </w:tr>
      <w:tr w14:paraId="78EBC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C1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C9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8C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ACA2">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1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5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5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9E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7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6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1554">
            <w:pPr>
              <w:jc w:val="center"/>
            </w:pPr>
            <w:r>
              <w:rPr>
                <w:rFonts w:ascii="宋体" w:hAnsi="宋体" w:eastAsia="宋体"/>
                <w:sz w:val="16"/>
              </w:rPr>
              <w:t>=127.92%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0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61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2BC3">
            <w:pPr>
              <w:jc w:val="center"/>
            </w:pPr>
          </w:p>
        </w:tc>
      </w:tr>
      <w:tr w14:paraId="5F8CF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B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69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7B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5ECB">
            <w:pPr>
              <w:jc w:val="center"/>
            </w:pPr>
            <w:r>
              <w:rPr>
                <w:rFonts w:ascii="宋体" w:hAnsi="宋体" w:eastAsia="宋体"/>
                <w:sz w:val="16"/>
              </w:rPr>
              <w:t>放射卫生监测合格率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56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1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4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05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7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E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E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D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8D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D22D">
            <w:pPr>
              <w:jc w:val="center"/>
            </w:pPr>
          </w:p>
        </w:tc>
      </w:tr>
      <w:tr w14:paraId="0A57A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24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03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7B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18F8">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8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B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A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16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0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02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9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E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A1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F2F9">
            <w:pPr>
              <w:jc w:val="center"/>
            </w:pPr>
          </w:p>
        </w:tc>
      </w:tr>
      <w:tr w14:paraId="61FC8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EC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DB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A3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1F5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3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8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F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A9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0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A3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1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6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0E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AC89">
            <w:pPr>
              <w:jc w:val="center"/>
            </w:pPr>
          </w:p>
        </w:tc>
      </w:tr>
      <w:tr w14:paraId="643CF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86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F1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7B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0EF8">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2F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B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6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D8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EE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AD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7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B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4E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ED74">
            <w:pPr>
              <w:jc w:val="center"/>
            </w:pPr>
          </w:p>
        </w:tc>
      </w:tr>
      <w:tr w14:paraId="4A55B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60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89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F1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62E6">
            <w:pPr>
              <w:jc w:val="center"/>
            </w:pPr>
            <w:r>
              <w:rPr>
                <w:rFonts w:ascii="宋体" w:hAnsi="宋体" w:eastAsia="宋体"/>
                <w:sz w:val="16"/>
              </w:rPr>
              <w:t>食品安全标准跟踪评价调查率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3F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E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F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54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7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39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F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6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15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545A">
            <w:pPr>
              <w:jc w:val="center"/>
            </w:pPr>
          </w:p>
        </w:tc>
      </w:tr>
      <w:tr w14:paraId="39D63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04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18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07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7FFA">
            <w:pPr>
              <w:jc w:val="center"/>
            </w:pPr>
            <w:r>
              <w:rPr>
                <w:rFonts w:ascii="宋体" w:hAnsi="宋体" w:eastAsia="宋体"/>
                <w:sz w:val="16"/>
              </w:rPr>
              <w:t>开展职业卫生分类管理试点县现场带教覆盖率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C8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6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3F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33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1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99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C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D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87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5C51">
            <w:pPr>
              <w:jc w:val="center"/>
            </w:pPr>
          </w:p>
        </w:tc>
      </w:tr>
      <w:tr w14:paraId="211AF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2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C2D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448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9E17">
            <w:pPr>
              <w:jc w:val="center"/>
            </w:pPr>
            <w:r>
              <w:rPr>
                <w:rFonts w:ascii="宋体" w:hAnsi="宋体" w:eastAsia="宋体"/>
                <w:sz w:val="16"/>
              </w:rPr>
              <w:t>专业技术指导完成时间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D91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9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70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DC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BA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8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E43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E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3D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393D">
            <w:pPr>
              <w:jc w:val="center"/>
            </w:pPr>
          </w:p>
        </w:tc>
      </w:tr>
      <w:tr w14:paraId="652DA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11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D1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A2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1896">
            <w:pPr>
              <w:jc w:val="center"/>
            </w:pPr>
            <w:r>
              <w:rPr>
                <w:rFonts w:ascii="宋体" w:hAnsi="宋体" w:eastAsia="宋体"/>
                <w:sz w:val="16"/>
              </w:rPr>
              <w:t>放射卫生监测任务完成时间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BE2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A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3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6F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B6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B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C36A">
            <w:pPr>
              <w:jc w:val="center"/>
            </w:pPr>
            <w:r>
              <w:rPr>
                <w:rFonts w:ascii="宋体" w:hAnsi="宋体" w:eastAsia="宋体"/>
                <w:sz w:val="16"/>
              </w:rPr>
              <w:t>2024年7月19日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E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B9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AACC">
            <w:pPr>
              <w:jc w:val="center"/>
            </w:pPr>
          </w:p>
        </w:tc>
      </w:tr>
      <w:tr w14:paraId="1E024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0C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E1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2A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6309">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FF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0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4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65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F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E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7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A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94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3EED">
            <w:pPr>
              <w:jc w:val="center"/>
            </w:pPr>
          </w:p>
        </w:tc>
      </w:tr>
      <w:tr w14:paraId="12610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A4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0C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B7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08FB">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08C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04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4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41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08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E5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7892">
            <w:pPr>
              <w:jc w:val="center"/>
            </w:pPr>
            <w:r>
              <w:rPr>
                <w:rFonts w:ascii="宋体" w:hAnsi="宋体" w:eastAsia="宋体"/>
                <w:sz w:val="16"/>
              </w:rPr>
              <w:t>2024年10月8日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B7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74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30EA">
            <w:pPr>
              <w:jc w:val="center"/>
            </w:pPr>
          </w:p>
        </w:tc>
      </w:tr>
      <w:tr w14:paraId="01FC7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C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CE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BA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7D1C">
            <w:pPr>
              <w:jc w:val="center"/>
            </w:pPr>
            <w:r>
              <w:rPr>
                <w:rFonts w:ascii="宋体" w:hAnsi="宋体" w:eastAsia="宋体"/>
                <w:sz w:val="16"/>
              </w:rPr>
              <w:t>食品安全标准跟踪评价按时完成率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F3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9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2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B5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4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D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9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66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5BD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6255">
            <w:pPr>
              <w:jc w:val="center"/>
            </w:pPr>
          </w:p>
        </w:tc>
      </w:tr>
      <w:tr w14:paraId="74402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81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DF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C1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D1FE">
            <w:pPr>
              <w:jc w:val="center"/>
            </w:pPr>
            <w:r>
              <w:rPr>
                <w:rFonts w:ascii="宋体" w:hAnsi="宋体" w:eastAsia="宋体"/>
                <w:sz w:val="16"/>
              </w:rPr>
              <w:t>开展职业卫生分类管理试点县现场带教完成时间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2115">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A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B5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D1F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84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CC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FA0F">
            <w:pPr>
              <w:jc w:val="center"/>
            </w:pPr>
            <w:r>
              <w:rPr>
                <w:rFonts w:ascii="宋体" w:hAnsi="宋体" w:eastAsia="宋体"/>
                <w:sz w:val="16"/>
              </w:rPr>
              <w:t>2024年7月12日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D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CBC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4FD5">
            <w:pPr>
              <w:jc w:val="center"/>
            </w:pPr>
          </w:p>
        </w:tc>
      </w:tr>
      <w:tr w14:paraId="40200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67E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75B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704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AFDF">
            <w:pPr>
              <w:jc w:val="center"/>
            </w:pPr>
            <w:r>
              <w:rPr>
                <w:rFonts w:ascii="宋体" w:hAnsi="宋体" w:eastAsia="宋体"/>
                <w:sz w:val="16"/>
              </w:rPr>
              <w:t>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E1CB">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0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5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4E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D5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86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61E4">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2CB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6A01">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C2FC">
            <w:pPr>
              <w:jc w:val="center"/>
            </w:pPr>
            <w:r>
              <w:rPr>
                <w:rFonts w:ascii="宋体" w:hAnsi="宋体" w:eastAsia="宋体"/>
                <w:sz w:val="16"/>
              </w:rPr>
              <w:t>实际与年初预算存在偏差。改进措施：加强计划工作严谨度，充分发挥支撑作用。</w:t>
            </w:r>
          </w:p>
        </w:tc>
      </w:tr>
      <w:tr w14:paraId="08792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0F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92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81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0C45">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8F30">
            <w:pPr>
              <w:jc w:val="center"/>
            </w:pPr>
            <w:r>
              <w:rPr>
                <w:rFonts w:ascii="宋体" w:hAnsi="宋体" w:eastAsia="宋体"/>
                <w:sz w:val="16"/>
              </w:rPr>
              <w:t>&lt;=5.50万元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A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3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51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8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4F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1DE8">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6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39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05F5">
            <w:pPr>
              <w:jc w:val="center"/>
            </w:pPr>
          </w:p>
        </w:tc>
      </w:tr>
      <w:tr w14:paraId="5E977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BB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77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89C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6CEC">
            <w:pPr>
              <w:jc w:val="center"/>
            </w:pPr>
            <w:r>
              <w:rPr>
                <w:rFonts w:ascii="宋体" w:hAnsi="宋体" w:eastAsia="宋体"/>
                <w:sz w:val="16"/>
              </w:rPr>
              <w:t>健康教育宣传成本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BDC8">
            <w:pPr>
              <w:jc w:val="center"/>
            </w:pPr>
            <w:r>
              <w:rPr>
                <w:rFonts w:ascii="宋体" w:hAnsi="宋体" w:eastAsia="宋体"/>
                <w:sz w:val="16"/>
              </w:rPr>
              <w:t>&lt;=10.86万元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4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5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4E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4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5A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D431">
            <w:pPr>
              <w:jc w:val="center"/>
            </w:pPr>
            <w:r>
              <w:rPr>
                <w:rFonts w:ascii="宋体" w:hAnsi="宋体" w:eastAsia="宋体"/>
                <w:sz w:val="16"/>
              </w:rPr>
              <w:t>=10.86万元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F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28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0EC0">
            <w:pPr>
              <w:jc w:val="center"/>
            </w:pPr>
          </w:p>
        </w:tc>
      </w:tr>
      <w:tr w14:paraId="5724C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78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9C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55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47E0">
            <w:pPr>
              <w:jc w:val="center"/>
            </w:pPr>
            <w:r>
              <w:rPr>
                <w:rFonts w:ascii="宋体" w:hAnsi="宋体" w:eastAsia="宋体"/>
                <w:sz w:val="16"/>
              </w:rPr>
              <w:t>放射卫生监测成本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D9C0">
            <w:pPr>
              <w:jc w:val="center"/>
            </w:pPr>
            <w:r>
              <w:rPr>
                <w:rFonts w:ascii="宋体" w:hAnsi="宋体" w:eastAsia="宋体"/>
                <w:sz w:val="16"/>
              </w:rPr>
              <w:t>&lt;=17.34万元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7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1B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6C1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4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72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7537">
            <w:pPr>
              <w:jc w:val="center"/>
            </w:pPr>
            <w:r>
              <w:rPr>
                <w:rFonts w:ascii="宋体" w:hAnsi="宋体" w:eastAsia="宋体"/>
                <w:sz w:val="16"/>
              </w:rPr>
              <w:t>=17.34万元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8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26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990C">
            <w:pPr>
              <w:jc w:val="center"/>
            </w:pPr>
          </w:p>
        </w:tc>
      </w:tr>
      <w:tr w14:paraId="6F866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2C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28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16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C262">
            <w:pPr>
              <w:jc w:val="center"/>
            </w:pPr>
            <w:r>
              <w:rPr>
                <w:rFonts w:ascii="宋体" w:hAnsi="宋体" w:eastAsia="宋体"/>
                <w:sz w:val="16"/>
              </w:rPr>
              <w:t>开展食品安全标准跟踪评价成本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CE99">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06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6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A5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8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05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D76B">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4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03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3497">
            <w:pPr>
              <w:jc w:val="center"/>
            </w:pPr>
          </w:p>
        </w:tc>
      </w:tr>
      <w:tr w14:paraId="16D3F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D0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22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CE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6312">
            <w:pPr>
              <w:jc w:val="center"/>
            </w:pPr>
            <w:r>
              <w:rPr>
                <w:rFonts w:ascii="宋体" w:hAnsi="宋体" w:eastAsia="宋体"/>
                <w:sz w:val="16"/>
              </w:rPr>
              <w:t>开展职业卫生分类管理试点县现场带教工作成本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ABD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A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44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BB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7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46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5CD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D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BD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B351">
            <w:pPr>
              <w:jc w:val="center"/>
            </w:pPr>
          </w:p>
        </w:tc>
      </w:tr>
      <w:tr w14:paraId="35A92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C18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649C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715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CF85">
            <w:pPr>
              <w:jc w:val="center"/>
            </w:pPr>
            <w:r>
              <w:rPr>
                <w:rFonts w:ascii="宋体" w:hAnsi="宋体" w:eastAsia="宋体"/>
                <w:sz w:val="16"/>
              </w:rPr>
              <w:t>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54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B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9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FF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1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3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42F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8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30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E596">
            <w:pPr>
              <w:jc w:val="center"/>
            </w:pPr>
          </w:p>
        </w:tc>
      </w:tr>
      <w:tr w14:paraId="26595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6D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9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E0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26CD">
            <w:pPr>
              <w:jc w:val="center"/>
            </w:pPr>
            <w:r>
              <w:rPr>
                <w:rFonts w:ascii="宋体" w:hAnsi="宋体" w:eastAsia="宋体"/>
                <w:sz w:val="16"/>
              </w:rPr>
              <w:t>放射卫生健康情况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C95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6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2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9C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8E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FA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CE8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7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E2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B95D">
            <w:pPr>
              <w:jc w:val="center"/>
            </w:pPr>
          </w:p>
        </w:tc>
      </w:tr>
      <w:tr w14:paraId="29136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49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B5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86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B730">
            <w:pPr>
              <w:jc w:val="center"/>
            </w:pPr>
            <w:r>
              <w:rPr>
                <w:rFonts w:ascii="宋体" w:hAnsi="宋体" w:eastAsia="宋体"/>
                <w:sz w:val="16"/>
              </w:rPr>
              <w:t>跟踪评价结果公开率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2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C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C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CA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B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A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2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6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1C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CBF8">
            <w:pPr>
              <w:jc w:val="center"/>
            </w:pPr>
          </w:p>
        </w:tc>
      </w:tr>
      <w:tr w14:paraId="4A538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68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7B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79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5B76">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EA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5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D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D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3C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B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326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A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E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7D4F">
            <w:pPr>
              <w:jc w:val="center"/>
            </w:pPr>
          </w:p>
        </w:tc>
      </w:tr>
      <w:tr w14:paraId="57AD56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D7E9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E74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65E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E6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5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56F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DCF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96E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A9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358E">
            <w:pPr>
              <w:jc w:val="center"/>
            </w:pPr>
            <w:r>
              <w:rPr>
                <w:rFonts w:ascii="宋体" w:hAnsi="宋体" w:eastAsia="宋体"/>
                <w:sz w:val="16"/>
              </w:rPr>
              <w:t>99.14分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72B07"/>
        </w:tc>
      </w:tr>
    </w:tbl>
    <w:p w14:paraId="074F5FA5">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606"/>
        <w:gridCol w:w="856"/>
        <w:gridCol w:w="594"/>
        <w:gridCol w:w="594"/>
        <w:gridCol w:w="606"/>
        <w:gridCol w:w="594"/>
        <w:gridCol w:w="594"/>
        <w:gridCol w:w="776"/>
        <w:gridCol w:w="776"/>
        <w:gridCol w:w="630"/>
        <w:gridCol w:w="630"/>
      </w:tblGrid>
      <w:tr w14:paraId="4F1B959F">
        <w:tblPrEx>
          <w:tblCellMar>
            <w:top w:w="0" w:type="dxa"/>
            <w:left w:w="108" w:type="dxa"/>
            <w:bottom w:w="0" w:type="dxa"/>
            <w:right w:w="108" w:type="dxa"/>
          </w:tblCellMar>
        </w:tblPrEx>
        <w:tc>
          <w:tcPr>
            <w:tcW w:w="8848" w:type="dxa"/>
            <w:gridSpan w:val="14"/>
            <w:vAlign w:val="center"/>
          </w:tcPr>
          <w:p w14:paraId="7B80C2E5">
            <w:pPr>
              <w:jc w:val="center"/>
            </w:pPr>
            <w:r>
              <w:rPr>
                <w:rFonts w:ascii="宋体" w:hAnsi="宋体" w:eastAsia="宋体"/>
                <w:sz w:val="24"/>
              </w:rPr>
              <w:t>项目支出绩效自评表</w:t>
            </w:r>
          </w:p>
        </w:tc>
      </w:tr>
      <w:tr w14:paraId="21F3D50E">
        <w:tblPrEx>
          <w:tblCellMar>
            <w:top w:w="0" w:type="dxa"/>
            <w:left w:w="108" w:type="dxa"/>
            <w:bottom w:w="0" w:type="dxa"/>
            <w:right w:w="108" w:type="dxa"/>
          </w:tblCellMar>
        </w:tblPrEx>
        <w:tc>
          <w:tcPr>
            <w:tcW w:w="8848" w:type="dxa"/>
            <w:gridSpan w:val="14"/>
            <w:vAlign w:val="center"/>
          </w:tcPr>
          <w:p w14:paraId="7AA2D964">
            <w:pPr>
              <w:jc w:val="center"/>
            </w:pPr>
            <w:r>
              <w:rPr>
                <w:rFonts w:ascii="宋体" w:hAnsi="宋体" w:eastAsia="宋体"/>
                <w:sz w:val="24"/>
              </w:rPr>
              <w:t>(2024年度)</w:t>
            </w:r>
          </w:p>
        </w:tc>
      </w:tr>
      <w:tr w14:paraId="5D7AE6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AD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5A676F">
            <w:pPr>
              <w:jc w:val="center"/>
            </w:pPr>
            <w:r>
              <w:rPr>
                <w:rFonts w:ascii="宋体" w:hAnsi="宋体" w:eastAsia="宋体"/>
                <w:sz w:val="16"/>
              </w:rPr>
              <w:t>2024年提前下达重大传染病防控项目</w:t>
            </w:r>
          </w:p>
        </w:tc>
      </w:tr>
      <w:tr w14:paraId="53194B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96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6132D3">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AB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80C53F">
            <w:pPr>
              <w:jc w:val="center"/>
            </w:pPr>
            <w:r>
              <w:rPr>
                <w:rFonts w:ascii="宋体" w:hAnsi="宋体" w:eastAsia="宋体"/>
                <w:sz w:val="16"/>
              </w:rPr>
              <w:t>新疆巴音郭楞蒙古自治州疾病预防控制中心</w:t>
            </w:r>
          </w:p>
        </w:tc>
      </w:tr>
      <w:tr w14:paraId="47789D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30D7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6D1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4D2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E1B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CEF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9807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D1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025F">
            <w:pPr>
              <w:jc w:val="center"/>
            </w:pPr>
            <w:r>
              <w:rPr>
                <w:rFonts w:ascii="宋体" w:hAnsi="宋体" w:eastAsia="宋体"/>
                <w:sz w:val="16"/>
              </w:rPr>
              <w:t>得分</w:t>
            </w:r>
          </w:p>
        </w:tc>
      </w:tr>
      <w:tr w14:paraId="3ECC87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202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07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8E2E7">
            <w:pPr>
              <w:jc w:val="center"/>
            </w:pPr>
            <w:r>
              <w:rPr>
                <w:rFonts w:ascii="宋体" w:hAnsi="宋体" w:eastAsia="宋体"/>
                <w:sz w:val="16"/>
              </w:rPr>
              <w:t>667.50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A2D87">
            <w:pPr>
              <w:jc w:val="center"/>
            </w:pPr>
            <w:r>
              <w:rPr>
                <w:rFonts w:ascii="宋体" w:hAnsi="宋体" w:eastAsia="宋体"/>
                <w:sz w:val="16"/>
              </w:rPr>
              <w:t>765.47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F79C">
            <w:pPr>
              <w:jc w:val="center"/>
            </w:pPr>
            <w:r>
              <w:rPr>
                <w:rFonts w:ascii="宋体" w:hAnsi="宋体" w:eastAsia="宋体"/>
                <w:sz w:val="16"/>
              </w:rPr>
              <w:t>765.47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9B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A52E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A416">
            <w:pPr>
              <w:jc w:val="center"/>
            </w:pPr>
            <w:r>
              <w:rPr>
                <w:rFonts w:ascii="宋体" w:hAnsi="宋体" w:eastAsia="宋体"/>
                <w:sz w:val="16"/>
              </w:rPr>
              <w:t>10.00</w:t>
            </w:r>
          </w:p>
        </w:tc>
      </w:tr>
      <w:tr w14:paraId="23F02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635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C9F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9D02">
            <w:pPr>
              <w:jc w:val="center"/>
            </w:pPr>
            <w:r>
              <w:rPr>
                <w:rFonts w:ascii="宋体" w:hAnsi="宋体" w:eastAsia="宋体"/>
                <w:sz w:val="16"/>
              </w:rPr>
              <w:t>667.50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6387">
            <w:pPr>
              <w:jc w:val="center"/>
            </w:pPr>
            <w:r>
              <w:rPr>
                <w:rFonts w:ascii="宋体" w:hAnsi="宋体" w:eastAsia="宋体"/>
                <w:sz w:val="16"/>
              </w:rPr>
              <w:t>765.47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328B3">
            <w:pPr>
              <w:jc w:val="center"/>
            </w:pPr>
            <w:r>
              <w:rPr>
                <w:rFonts w:ascii="宋体" w:hAnsi="宋体" w:eastAsia="宋体"/>
                <w:sz w:val="16"/>
              </w:rPr>
              <w:t>765.47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A7C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AB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658E">
            <w:pPr>
              <w:jc w:val="center"/>
            </w:pPr>
            <w:r>
              <w:rPr>
                <w:rFonts w:ascii="宋体" w:hAnsi="宋体" w:eastAsia="宋体"/>
                <w:sz w:val="16"/>
              </w:rPr>
              <w:t>-</w:t>
            </w:r>
          </w:p>
        </w:tc>
      </w:tr>
      <w:tr w14:paraId="44792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B6A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7F62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A96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19D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94F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00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1B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5771">
            <w:pPr>
              <w:jc w:val="center"/>
            </w:pPr>
            <w:r>
              <w:rPr>
                <w:rFonts w:ascii="宋体" w:hAnsi="宋体" w:eastAsia="宋体"/>
                <w:sz w:val="16"/>
              </w:rPr>
              <w:t>-</w:t>
            </w:r>
          </w:p>
        </w:tc>
      </w:tr>
      <w:tr w14:paraId="637059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8197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EDC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ADF8E">
            <w:pPr>
              <w:jc w:val="center"/>
            </w:pPr>
            <w:r>
              <w:rPr>
                <w:rFonts w:ascii="宋体" w:hAnsi="宋体" w:eastAsia="宋体"/>
                <w:sz w:val="16"/>
              </w:rPr>
              <w:t>总体目标完成情况</w:t>
            </w:r>
          </w:p>
        </w:tc>
      </w:tr>
      <w:tr w14:paraId="1AE86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2D2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72EB8">
            <w:pPr>
              <w:jc w:val="both"/>
            </w:pPr>
            <w:r>
              <w:rPr>
                <w:rFonts w:ascii="宋体" w:hAnsi="宋体" w:eastAsia="宋体"/>
                <w:sz w:val="16"/>
              </w:rPr>
              <w:t>根据新卫疾控函</w:t>
            </w:r>
            <w:r>
              <w:rPr>
                <w:rFonts w:hint="eastAsia" w:ascii="宋体" w:hAnsi="宋体"/>
                <w:sz w:val="16"/>
                <w:lang w:eastAsia="zh-CN"/>
              </w:rPr>
              <w:t>〔2024〕5号</w:t>
            </w:r>
            <w:r>
              <w:rPr>
                <w:rFonts w:ascii="宋体" w:hAnsi="宋体" w:eastAsia="宋体"/>
                <w:sz w:val="16"/>
              </w:rPr>
              <w:t>关于印发2024年提前下达重大传染病防控项目方案的通知要求，采购6批次试剂耗材和设备实时监测重大传染病（监测1040份以上样本），了解和掌握我州重大传染病活动状况及流行变化规律，及时有效处理传染病</w:t>
            </w:r>
            <w:r>
              <w:rPr>
                <w:rFonts w:hint="eastAsia" w:ascii="宋体" w:hAnsi="宋体"/>
                <w:sz w:val="16"/>
                <w:lang w:eastAsia="zh-CN"/>
              </w:rPr>
              <w:t>爆发YQ</w:t>
            </w:r>
            <w:r>
              <w:rPr>
                <w:rFonts w:ascii="宋体" w:hAnsi="宋体" w:eastAsia="宋体"/>
                <w:sz w:val="16"/>
              </w:rPr>
              <w:t>；2及时提供一类疫苗，督促各县市进行查漏补种，使疫苗接种率以乡(镇)为单位达到95%以上，为群众提供更加便利和优质的服务；3、通过实施结核病防控，肺结核病原学阳性患者耐药筛查率达到95%以上，减少结核病发病和死亡人数，降低结核病患者患病和经济负担。4，全面落实各项</w:t>
            </w:r>
            <w:r>
              <w:rPr>
                <w:rFonts w:hint="eastAsia" w:ascii="宋体" w:hAnsi="宋体"/>
                <w:sz w:val="16"/>
                <w:lang w:eastAsia="zh-CN"/>
              </w:rPr>
              <w:t>AZB</w:t>
            </w:r>
            <w:r>
              <w:rPr>
                <w:rFonts w:ascii="宋体" w:hAnsi="宋体" w:eastAsia="宋体"/>
                <w:sz w:val="16"/>
              </w:rPr>
              <w:t>性病和丙肝预防控制措施，随访</w:t>
            </w:r>
            <w:r>
              <w:rPr>
                <w:rFonts w:hint="eastAsia" w:ascii="宋体" w:hAnsi="宋体"/>
                <w:sz w:val="16"/>
                <w:lang w:eastAsia="zh-CN"/>
              </w:rPr>
              <w:t>AZB</w:t>
            </w:r>
            <w:r>
              <w:rPr>
                <w:rFonts w:ascii="宋体" w:hAnsi="宋体" w:eastAsia="宋体"/>
                <w:sz w:val="16"/>
              </w:rPr>
              <w:t>病毒感染者，扩大干预措施的覆盖面，降低</w:t>
            </w:r>
            <w:r>
              <w:rPr>
                <w:rFonts w:hint="eastAsia" w:ascii="宋体" w:hAnsi="宋体"/>
                <w:sz w:val="16"/>
                <w:lang w:eastAsia="zh-CN"/>
              </w:rPr>
              <w:t>AZB</w:t>
            </w:r>
            <w:r>
              <w:rPr>
                <w:rFonts w:ascii="宋体" w:hAnsi="宋体" w:eastAsia="宋体"/>
                <w:sz w:val="16"/>
              </w:rPr>
              <w:t>、性病和丙肝新发感染；扩大检测（</w:t>
            </w:r>
            <w:r>
              <w:rPr>
                <w:rFonts w:hint="eastAsia" w:ascii="宋体" w:hAnsi="宋体"/>
                <w:sz w:val="16"/>
                <w:lang w:eastAsia="zh-CN"/>
              </w:rPr>
              <w:t>AZB</w:t>
            </w:r>
            <w:r>
              <w:rPr>
                <w:rFonts w:ascii="宋体" w:hAnsi="宋体" w:eastAsia="宋体"/>
                <w:sz w:val="16"/>
              </w:rPr>
              <w:t>病毒感染者随访CD4检测率达到95%以上），扩大免费抗</w:t>
            </w:r>
            <w:r>
              <w:rPr>
                <w:rFonts w:hint="eastAsia" w:ascii="宋体" w:hAnsi="宋体"/>
                <w:sz w:val="16"/>
                <w:lang w:eastAsia="zh-CN"/>
              </w:rPr>
              <w:t>AZB</w:t>
            </w:r>
            <w:r>
              <w:rPr>
                <w:rFonts w:ascii="宋体" w:hAnsi="宋体" w:eastAsia="宋体"/>
                <w:sz w:val="16"/>
              </w:rPr>
              <w:t>病毒治疗覆盖面，提高救治质量和水平，降低</w:t>
            </w:r>
            <w:r>
              <w:rPr>
                <w:rFonts w:hint="eastAsia" w:ascii="宋体" w:hAnsi="宋体"/>
                <w:sz w:val="16"/>
                <w:lang w:eastAsia="zh-CN"/>
              </w:rPr>
              <w:t>AZB</w:t>
            </w:r>
            <w:r>
              <w:rPr>
                <w:rFonts w:ascii="宋体" w:hAnsi="宋体" w:eastAsia="宋体"/>
                <w:sz w:val="16"/>
              </w:rPr>
              <w:t>病死率；5、通过技术指导（指导次数7次以上）、举办培训班（培训次数8次以上，人数500人以上，天数16天以上）等形式提高重大传染病防控工作人员业务水平；6、举办重大传染病防控宣传（6次以上），加强结核病防治、</w:t>
            </w:r>
            <w:r>
              <w:rPr>
                <w:rFonts w:hint="eastAsia" w:ascii="宋体" w:hAnsi="宋体"/>
                <w:sz w:val="16"/>
                <w:lang w:eastAsia="zh-CN"/>
              </w:rPr>
              <w:t>AZB</w:t>
            </w:r>
            <w:r>
              <w:rPr>
                <w:rFonts w:ascii="宋体" w:hAnsi="宋体" w:eastAsia="宋体"/>
                <w:sz w:val="16"/>
              </w:rPr>
              <w:t>防治、地方病防治宣传力度，提高群众防病意识。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12868">
            <w:pPr>
              <w:jc w:val="both"/>
            </w:pPr>
            <w:r>
              <w:rPr>
                <w:rFonts w:ascii="宋体" w:hAnsi="宋体" w:eastAsia="宋体"/>
                <w:sz w:val="16"/>
              </w:rPr>
              <w:t>（一）及时完成监测样本量11000份。（二）</w:t>
            </w:r>
            <w:r>
              <w:rPr>
                <w:rFonts w:hint="eastAsia" w:ascii="宋体" w:hAnsi="宋体"/>
                <w:sz w:val="16"/>
                <w:lang w:eastAsia="zh-CN"/>
              </w:rPr>
              <w:t>AZB</w:t>
            </w:r>
            <w:r>
              <w:rPr>
                <w:rFonts w:ascii="宋体" w:hAnsi="宋体" w:eastAsia="宋体"/>
                <w:sz w:val="16"/>
              </w:rPr>
              <w:t>病毒感染者随访CD4检测率100%。（三）食品污染物及有害因素检测点覆盖率100%（四）适龄儿童国家免疫规划疫苗接种率99.23%，适龄儿童脊灰及时补充免疫接种率98.84%（五）举办重大传染病防控宣传7次。有所提高了居民健康水平。（六）肺结核病原学阳性患者耐药筛查率100%，肺结核患者治疗及时率100%。（七）死因监测规范报告率80%。（八）2024年11月30日</w:t>
            </w:r>
            <w:r>
              <w:rPr>
                <w:rFonts w:hint="eastAsia" w:ascii="宋体" w:hAnsi="宋体"/>
                <w:sz w:val="16"/>
                <w:lang w:eastAsia="zh-CN"/>
              </w:rPr>
              <w:t>前采</w:t>
            </w:r>
            <w:r>
              <w:rPr>
                <w:rFonts w:ascii="宋体" w:hAnsi="宋体" w:eastAsia="宋体"/>
                <w:sz w:val="16"/>
              </w:rPr>
              <w:t>购3次实验室样本监测试剂及采购2</w:t>
            </w:r>
            <w:r>
              <w:rPr>
                <w:rFonts w:hint="eastAsia" w:ascii="宋体" w:hAnsi="宋体"/>
                <w:sz w:val="16"/>
                <w:lang w:eastAsia="zh-CN"/>
              </w:rPr>
              <w:t>台</w:t>
            </w:r>
            <w:r>
              <w:rPr>
                <w:rFonts w:ascii="宋体" w:hAnsi="宋体" w:eastAsia="宋体"/>
                <w:sz w:val="16"/>
              </w:rPr>
              <w:t>设备</w:t>
            </w:r>
            <w:r>
              <w:rPr>
                <w:rFonts w:hint="eastAsia" w:ascii="宋体" w:hAnsi="宋体"/>
                <w:sz w:val="16"/>
                <w:lang w:eastAsia="zh-CN"/>
              </w:rPr>
              <w:t>。</w:t>
            </w:r>
            <w:r>
              <w:rPr>
                <w:rFonts w:ascii="宋体" w:hAnsi="宋体" w:eastAsia="宋体"/>
                <w:sz w:val="16"/>
              </w:rPr>
              <w:t>（九）中心业务科室对各县市专业技术人员7次；8次培训共522人16天进行了现场及线上的培训。</w:t>
            </w:r>
          </w:p>
        </w:tc>
      </w:tr>
      <w:tr w14:paraId="3F9206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EFD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77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B1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E7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A9B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DE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347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8FF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B51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D2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79C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45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772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A993">
            <w:pPr>
              <w:jc w:val="center"/>
            </w:pPr>
            <w:r>
              <w:rPr>
                <w:rFonts w:ascii="宋体" w:hAnsi="宋体" w:eastAsia="宋体"/>
                <w:sz w:val="16"/>
              </w:rPr>
              <w:t>偏差原因分析及改进措施</w:t>
            </w:r>
          </w:p>
        </w:tc>
      </w:tr>
      <w:tr w14:paraId="59CAFC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428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2FE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B7F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43BF">
            <w:pPr>
              <w:jc w:val="center"/>
            </w:pPr>
            <w:r>
              <w:rPr>
                <w:rFonts w:ascii="宋体" w:hAnsi="宋体" w:eastAsia="宋体"/>
                <w:sz w:val="16"/>
              </w:rPr>
              <w:t>业务技术指导次数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648D">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E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3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AC9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6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6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01BB">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5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82C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7E38">
            <w:pPr>
              <w:jc w:val="center"/>
            </w:pPr>
          </w:p>
        </w:tc>
      </w:tr>
      <w:tr w14:paraId="09CE8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7A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81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41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B7E9">
            <w:pPr>
              <w:jc w:val="center"/>
            </w:pPr>
            <w:r>
              <w:rPr>
                <w:rFonts w:ascii="宋体" w:hAnsi="宋体" w:eastAsia="宋体"/>
                <w:sz w:val="16"/>
              </w:rPr>
              <w:t>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5E14">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F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6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F32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9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3A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E8CE">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1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020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4693">
            <w:pPr>
              <w:jc w:val="center"/>
            </w:pPr>
          </w:p>
        </w:tc>
      </w:tr>
      <w:tr w14:paraId="71BF4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96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AF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11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8847">
            <w:pPr>
              <w:jc w:val="center"/>
            </w:pPr>
            <w:r>
              <w:rPr>
                <w:rFonts w:ascii="宋体" w:hAnsi="宋体" w:eastAsia="宋体"/>
                <w:sz w:val="16"/>
              </w:rPr>
              <w:t>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F91F">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F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3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A19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C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F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B34C">
            <w:pPr>
              <w:jc w:val="center"/>
            </w:pPr>
            <w:r>
              <w:rPr>
                <w:rFonts w:ascii="宋体" w:hAnsi="宋体" w:eastAsia="宋体"/>
                <w:sz w:val="16"/>
              </w:rPr>
              <w:t>=522人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1E67">
            <w:pPr>
              <w:jc w:val="center"/>
            </w:pPr>
            <w:r>
              <w:rPr>
                <w:rFonts w:ascii="宋体" w:hAnsi="宋体" w:eastAsia="宋体"/>
                <w:sz w:val="16"/>
              </w:rPr>
              <w:t>104.4%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C5EC">
            <w:pPr>
              <w:jc w:val="center"/>
            </w:pPr>
            <w:r>
              <w:rPr>
                <w:rFonts w:ascii="宋体" w:hAnsi="宋体" w:eastAsia="宋体"/>
                <w:sz w:val="16"/>
              </w:rPr>
              <w:t>0.96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CEEE">
            <w:pPr>
              <w:jc w:val="center"/>
            </w:pPr>
            <w:r>
              <w:rPr>
                <w:rFonts w:ascii="宋体" w:hAnsi="宋体" w:eastAsia="宋体"/>
                <w:sz w:val="16"/>
              </w:rPr>
              <w:t>部分县市培训人数增加，整改措施：加强培训组织能力及预算质量</w:t>
            </w:r>
          </w:p>
        </w:tc>
      </w:tr>
      <w:tr w14:paraId="482FC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93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B7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79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4A65">
            <w:pPr>
              <w:jc w:val="center"/>
            </w:pPr>
            <w:r>
              <w:rPr>
                <w:rFonts w:ascii="宋体" w:hAnsi="宋体" w:eastAsia="宋体"/>
                <w:sz w:val="16"/>
              </w:rPr>
              <w:t>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2A07">
            <w:pPr>
              <w:jc w:val="center"/>
            </w:pPr>
            <w:r>
              <w:rPr>
                <w:rFonts w:ascii="宋体" w:hAnsi="宋体" w:eastAsia="宋体"/>
                <w:sz w:val="16"/>
              </w:rPr>
              <w:t>&gt;=16天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B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C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18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F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E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E583">
            <w:pPr>
              <w:jc w:val="center"/>
            </w:pPr>
            <w:r>
              <w:rPr>
                <w:rFonts w:ascii="宋体" w:hAnsi="宋体" w:eastAsia="宋体"/>
                <w:sz w:val="16"/>
              </w:rPr>
              <w:t>=16天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4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300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6AE6">
            <w:pPr>
              <w:jc w:val="center"/>
            </w:pPr>
          </w:p>
        </w:tc>
      </w:tr>
      <w:tr w14:paraId="252AB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A8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B6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43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8A60">
            <w:pPr>
              <w:jc w:val="center"/>
            </w:pPr>
            <w:r>
              <w:rPr>
                <w:rFonts w:ascii="宋体" w:hAnsi="宋体" w:eastAsia="宋体"/>
                <w:sz w:val="16"/>
              </w:rPr>
              <w:t>监测样本量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CE13">
            <w:pPr>
              <w:jc w:val="center"/>
            </w:pPr>
            <w:r>
              <w:rPr>
                <w:rFonts w:ascii="宋体" w:hAnsi="宋体" w:eastAsia="宋体"/>
                <w:sz w:val="16"/>
              </w:rPr>
              <w:t>&gt;=1040份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5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D6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90C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A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2F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1136">
            <w:pPr>
              <w:jc w:val="center"/>
            </w:pPr>
            <w:r>
              <w:rPr>
                <w:rFonts w:ascii="宋体" w:hAnsi="宋体" w:eastAsia="宋体"/>
                <w:sz w:val="16"/>
              </w:rPr>
              <w:t>=1100份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E0C3">
            <w:pPr>
              <w:jc w:val="center"/>
            </w:pPr>
            <w:r>
              <w:rPr>
                <w:rFonts w:ascii="宋体" w:hAnsi="宋体" w:eastAsia="宋体"/>
                <w:sz w:val="16"/>
              </w:rPr>
              <w:t>105.77%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5229">
            <w:pPr>
              <w:jc w:val="center"/>
            </w:pPr>
            <w:r>
              <w:rPr>
                <w:rFonts w:ascii="宋体" w:hAnsi="宋体" w:eastAsia="宋体"/>
                <w:sz w:val="16"/>
              </w:rPr>
              <w:t>0.94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31FE">
            <w:pPr>
              <w:jc w:val="center"/>
            </w:pPr>
            <w:r>
              <w:rPr>
                <w:rFonts w:ascii="宋体" w:hAnsi="宋体" w:eastAsia="宋体"/>
                <w:sz w:val="16"/>
              </w:rPr>
              <w:t>实际数比预算数有轻微增加，整改措施：加强预算测算质量，提高精准度</w:t>
            </w:r>
          </w:p>
        </w:tc>
      </w:tr>
      <w:tr w14:paraId="6E883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0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20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94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113F">
            <w:pPr>
              <w:jc w:val="center"/>
            </w:pPr>
            <w:r>
              <w:rPr>
                <w:rFonts w:ascii="宋体" w:hAnsi="宋体" w:eastAsia="宋体"/>
                <w:sz w:val="16"/>
              </w:rPr>
              <w:t>试剂耗材采购批次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8D3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0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8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BB2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D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91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0797">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5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632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1508">
            <w:pPr>
              <w:jc w:val="center"/>
            </w:pPr>
          </w:p>
        </w:tc>
      </w:tr>
      <w:tr w14:paraId="0094B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F6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40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5F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FE28">
            <w:pPr>
              <w:jc w:val="center"/>
            </w:pPr>
            <w:r>
              <w:rPr>
                <w:rFonts w:ascii="宋体" w:hAnsi="宋体" w:eastAsia="宋体"/>
                <w:sz w:val="16"/>
              </w:rPr>
              <w:t>举办重大传染病防控宣传次数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FE7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C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70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645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B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7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462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6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1A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855F">
            <w:pPr>
              <w:jc w:val="center"/>
            </w:pPr>
          </w:p>
        </w:tc>
      </w:tr>
      <w:tr w14:paraId="1A04A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5E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7E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92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C8FD">
            <w:pPr>
              <w:jc w:val="center"/>
            </w:pPr>
            <w:r>
              <w:rPr>
                <w:rFonts w:ascii="宋体" w:hAnsi="宋体" w:eastAsia="宋体"/>
                <w:sz w:val="16"/>
              </w:rPr>
              <w:t>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2D1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D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8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3F2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E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AA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CB2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1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408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C754">
            <w:pPr>
              <w:jc w:val="center"/>
            </w:pPr>
          </w:p>
        </w:tc>
      </w:tr>
      <w:tr w14:paraId="39DAB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6D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6DA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145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6ED8">
            <w:pPr>
              <w:jc w:val="center"/>
            </w:pPr>
            <w:r>
              <w:rPr>
                <w:rFonts w:ascii="宋体" w:hAnsi="宋体" w:eastAsia="宋体"/>
                <w:sz w:val="16"/>
              </w:rPr>
              <w:t>实验室监测样本合格率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F8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1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2C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DC3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C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11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C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81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D47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09B2">
            <w:pPr>
              <w:jc w:val="center"/>
            </w:pPr>
          </w:p>
        </w:tc>
      </w:tr>
      <w:tr w14:paraId="5C9AE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99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C7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D5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2F5F">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0A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9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6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E3B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F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6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DEA4">
            <w:pPr>
              <w:jc w:val="center"/>
            </w:pPr>
            <w:r>
              <w:rPr>
                <w:rFonts w:ascii="宋体" w:hAnsi="宋体" w:eastAsia="宋体"/>
                <w:sz w:val="16"/>
              </w:rPr>
              <w:t>=99.23%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9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E1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6306">
            <w:pPr>
              <w:jc w:val="center"/>
            </w:pPr>
          </w:p>
        </w:tc>
      </w:tr>
      <w:tr w14:paraId="21182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B0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14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5A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7FFC">
            <w:pPr>
              <w:jc w:val="center"/>
            </w:pPr>
            <w:r>
              <w:rPr>
                <w:rFonts w:ascii="宋体" w:hAnsi="宋体" w:eastAsia="宋体"/>
                <w:sz w:val="16"/>
              </w:rPr>
              <w:t>肺结核病原学阳性患者耐药筛查率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17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5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0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FD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DC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C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F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A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14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1BE1">
            <w:pPr>
              <w:jc w:val="center"/>
            </w:pPr>
          </w:p>
        </w:tc>
      </w:tr>
      <w:tr w14:paraId="0B4C3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8F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0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B4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E716">
            <w:pPr>
              <w:jc w:val="center"/>
            </w:pPr>
            <w:r>
              <w:rPr>
                <w:rFonts w:hint="eastAsia" w:ascii="宋体" w:hAnsi="宋体"/>
                <w:sz w:val="16"/>
                <w:lang w:eastAsia="zh-CN"/>
              </w:rPr>
              <w:t>AZB</w:t>
            </w:r>
            <w:r>
              <w:rPr>
                <w:rFonts w:ascii="宋体" w:hAnsi="宋体" w:eastAsia="宋体"/>
                <w:sz w:val="16"/>
              </w:rPr>
              <w:t>病毒感染者随访CD4检测率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FC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6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3D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B2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4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3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1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B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77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5C08">
            <w:pPr>
              <w:jc w:val="center"/>
            </w:pPr>
          </w:p>
        </w:tc>
      </w:tr>
      <w:tr w14:paraId="07C1E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0F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76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6E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EB20">
            <w:pPr>
              <w:jc w:val="center"/>
            </w:pPr>
            <w:r>
              <w:rPr>
                <w:rFonts w:ascii="宋体" w:hAnsi="宋体" w:eastAsia="宋体"/>
                <w:sz w:val="16"/>
              </w:rPr>
              <w:t>食品污染物及有害因素</w:t>
            </w:r>
            <w:r>
              <w:rPr>
                <w:rFonts w:hint="eastAsia" w:ascii="宋体" w:hAnsi="宋体"/>
                <w:sz w:val="16"/>
                <w:lang w:eastAsia="zh-CN"/>
              </w:rPr>
              <w:t>监测点</w:t>
            </w:r>
            <w:r>
              <w:rPr>
                <w:rFonts w:ascii="宋体" w:hAnsi="宋体" w:eastAsia="宋体"/>
                <w:sz w:val="16"/>
              </w:rPr>
              <w:t>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2C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7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C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D7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B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0E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90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B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43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AF20">
            <w:pPr>
              <w:jc w:val="center"/>
            </w:pPr>
          </w:p>
        </w:tc>
      </w:tr>
      <w:tr w14:paraId="03DCC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B0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62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73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869C">
            <w:pPr>
              <w:jc w:val="center"/>
            </w:pPr>
            <w:r>
              <w:rPr>
                <w:rFonts w:ascii="宋体" w:hAnsi="宋体" w:eastAsia="宋体"/>
                <w:sz w:val="16"/>
              </w:rPr>
              <w:t>业务技术指导覆盖率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B5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E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21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86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3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93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4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8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40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4112">
            <w:pPr>
              <w:jc w:val="center"/>
            </w:pPr>
          </w:p>
        </w:tc>
      </w:tr>
      <w:tr w14:paraId="14828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ED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C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C1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6AD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9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A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3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96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D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5F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C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E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E4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BFB9">
            <w:pPr>
              <w:jc w:val="center"/>
            </w:pPr>
          </w:p>
        </w:tc>
      </w:tr>
      <w:tr w14:paraId="108DE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4D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47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FC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AB6B">
            <w:pPr>
              <w:jc w:val="center"/>
            </w:pPr>
            <w:r>
              <w:rPr>
                <w:rFonts w:ascii="宋体" w:hAnsi="宋体" w:eastAsia="宋体"/>
                <w:sz w:val="16"/>
              </w:rPr>
              <w:t>死因监测规范报告率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F28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C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1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D0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F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B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680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2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8A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3A41">
            <w:pPr>
              <w:jc w:val="center"/>
            </w:pPr>
          </w:p>
        </w:tc>
      </w:tr>
      <w:tr w14:paraId="478B9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3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CD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6D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EE6D">
            <w:pPr>
              <w:jc w:val="center"/>
            </w:pPr>
            <w:r>
              <w:rPr>
                <w:rFonts w:ascii="宋体" w:hAnsi="宋体" w:eastAsia="宋体"/>
                <w:sz w:val="16"/>
              </w:rPr>
              <w:t>试剂耗材验收合格率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B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9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A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94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C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B4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6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6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AF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C1AB">
            <w:pPr>
              <w:jc w:val="center"/>
            </w:pPr>
          </w:p>
        </w:tc>
      </w:tr>
      <w:tr w14:paraId="64226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A7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3D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65D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CAD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1D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4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D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27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F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A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216B">
            <w:pPr>
              <w:jc w:val="center"/>
            </w:pPr>
            <w:r>
              <w:rPr>
                <w:rFonts w:ascii="宋体" w:hAnsi="宋体" w:eastAsia="宋体"/>
                <w:sz w:val="16"/>
              </w:rPr>
              <w:t>=104.4%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F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73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387A">
            <w:pPr>
              <w:jc w:val="center"/>
            </w:pPr>
          </w:p>
        </w:tc>
      </w:tr>
      <w:tr w14:paraId="72FA4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06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65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B7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C26D">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A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5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B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66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F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70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0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A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7B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6C41">
            <w:pPr>
              <w:jc w:val="center"/>
            </w:pPr>
          </w:p>
        </w:tc>
      </w:tr>
      <w:tr w14:paraId="33E46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54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25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5F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492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F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5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B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A0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66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50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E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E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76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B16D">
            <w:pPr>
              <w:jc w:val="center"/>
            </w:pPr>
          </w:p>
        </w:tc>
      </w:tr>
      <w:tr w14:paraId="3A24F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7E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775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3BD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DA22">
            <w:pPr>
              <w:jc w:val="center"/>
            </w:pPr>
            <w:r>
              <w:rPr>
                <w:rFonts w:ascii="宋体" w:hAnsi="宋体" w:eastAsia="宋体"/>
                <w:sz w:val="16"/>
              </w:rPr>
              <w:t>实验室监测样本及时率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26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C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C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77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B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5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A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6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A3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F47F">
            <w:pPr>
              <w:jc w:val="center"/>
            </w:pPr>
          </w:p>
        </w:tc>
      </w:tr>
      <w:tr w14:paraId="34485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6C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E7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45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EE2E">
            <w:pPr>
              <w:jc w:val="center"/>
            </w:pPr>
            <w:r>
              <w:rPr>
                <w:rFonts w:ascii="宋体" w:hAnsi="宋体" w:eastAsia="宋体"/>
                <w:sz w:val="16"/>
              </w:rPr>
              <w:t>适龄儿童脊灰及时补充免疫接种率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27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0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2C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A6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3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0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7F37">
            <w:pPr>
              <w:jc w:val="center"/>
            </w:pPr>
            <w:r>
              <w:rPr>
                <w:rFonts w:ascii="宋体" w:hAnsi="宋体" w:eastAsia="宋体"/>
                <w:sz w:val="16"/>
              </w:rPr>
              <w:t>=98.84%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7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CC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56C2">
            <w:pPr>
              <w:jc w:val="center"/>
            </w:pPr>
          </w:p>
        </w:tc>
      </w:tr>
      <w:tr w14:paraId="34C04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67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0C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B9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BF75">
            <w:pPr>
              <w:jc w:val="center"/>
            </w:pPr>
            <w:r>
              <w:rPr>
                <w:rFonts w:ascii="宋体" w:hAnsi="宋体" w:eastAsia="宋体"/>
                <w:sz w:val="16"/>
              </w:rPr>
              <w:t>肺结核患者治疗及时率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09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7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6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5F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49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5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B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E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94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1AB8">
            <w:pPr>
              <w:jc w:val="center"/>
            </w:pPr>
          </w:p>
        </w:tc>
      </w:tr>
      <w:tr w14:paraId="6B648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DD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C9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F7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4A18">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BE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5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3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7FA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C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46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3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95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940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EAF7">
            <w:pPr>
              <w:jc w:val="center"/>
            </w:pPr>
          </w:p>
        </w:tc>
      </w:tr>
      <w:tr w14:paraId="6154B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BA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16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64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0CD8">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4D8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9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6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693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AD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71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AB8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E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DC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A246">
            <w:pPr>
              <w:jc w:val="center"/>
            </w:pPr>
          </w:p>
        </w:tc>
      </w:tr>
      <w:tr w14:paraId="307A9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49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B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0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DB63">
            <w:pPr>
              <w:jc w:val="center"/>
            </w:pPr>
            <w:r>
              <w:rPr>
                <w:rFonts w:ascii="宋体" w:hAnsi="宋体" w:eastAsia="宋体"/>
                <w:sz w:val="16"/>
              </w:rPr>
              <w:t>技术指导完成时间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D78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2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2B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4CE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AB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CC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AAD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8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1D2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A8A1">
            <w:pPr>
              <w:jc w:val="center"/>
            </w:pPr>
          </w:p>
        </w:tc>
      </w:tr>
      <w:tr w14:paraId="0F4F8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3DF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86A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76A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07C4">
            <w:pPr>
              <w:jc w:val="center"/>
            </w:pPr>
            <w:r>
              <w:rPr>
                <w:rFonts w:ascii="宋体" w:hAnsi="宋体" w:eastAsia="宋体"/>
                <w:sz w:val="16"/>
              </w:rPr>
              <w:t>重大传染病防控培训成本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29E2">
            <w:pPr>
              <w:jc w:val="center"/>
            </w:pPr>
            <w:r>
              <w:rPr>
                <w:rFonts w:ascii="宋体" w:hAnsi="宋体" w:eastAsia="宋体"/>
                <w:sz w:val="16"/>
              </w:rPr>
              <w:t>&lt;=33.23万元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0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B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1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D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A3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92B0">
            <w:pPr>
              <w:jc w:val="center"/>
            </w:pPr>
            <w:r>
              <w:rPr>
                <w:rFonts w:ascii="宋体" w:hAnsi="宋体" w:eastAsia="宋体"/>
                <w:sz w:val="16"/>
              </w:rPr>
              <w:t>=33.23万元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6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CF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9E47">
            <w:pPr>
              <w:jc w:val="center"/>
            </w:pPr>
          </w:p>
        </w:tc>
      </w:tr>
      <w:tr w14:paraId="6F21D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78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18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F0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1796">
            <w:pPr>
              <w:jc w:val="center"/>
            </w:pPr>
            <w:r>
              <w:rPr>
                <w:rFonts w:ascii="宋体" w:hAnsi="宋体" w:eastAsia="宋体"/>
                <w:sz w:val="16"/>
              </w:rPr>
              <w:t>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551B">
            <w:pPr>
              <w:jc w:val="center"/>
            </w:pPr>
            <w:r>
              <w:rPr>
                <w:rFonts w:ascii="宋体" w:hAnsi="宋体" w:eastAsia="宋体"/>
                <w:sz w:val="16"/>
              </w:rPr>
              <w:t>&lt;=644.98万元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6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7F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BD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A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0A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C17C">
            <w:pPr>
              <w:jc w:val="center"/>
            </w:pPr>
            <w:r>
              <w:rPr>
                <w:rFonts w:ascii="宋体" w:hAnsi="宋体" w:eastAsia="宋体"/>
                <w:sz w:val="16"/>
              </w:rPr>
              <w:t>=644.98万元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2C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F5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A807">
            <w:pPr>
              <w:jc w:val="center"/>
            </w:pPr>
          </w:p>
        </w:tc>
      </w:tr>
      <w:tr w14:paraId="1904E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F1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67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1A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1A88">
            <w:pPr>
              <w:jc w:val="center"/>
            </w:pPr>
            <w:r>
              <w:rPr>
                <w:rFonts w:ascii="宋体" w:hAnsi="宋体" w:eastAsia="宋体"/>
                <w:sz w:val="16"/>
              </w:rPr>
              <w:t>重大传染病防控宣传成本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0989">
            <w:pPr>
              <w:jc w:val="center"/>
            </w:pPr>
            <w:r>
              <w:rPr>
                <w:rFonts w:ascii="宋体" w:hAnsi="宋体" w:eastAsia="宋体"/>
                <w:sz w:val="16"/>
              </w:rPr>
              <w:t>&lt;=58.88万元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2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A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E0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7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E5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8DB4">
            <w:pPr>
              <w:jc w:val="center"/>
            </w:pPr>
            <w:r>
              <w:rPr>
                <w:rFonts w:ascii="宋体" w:hAnsi="宋体" w:eastAsia="宋体"/>
                <w:sz w:val="16"/>
              </w:rPr>
              <w:t>=58.88万元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E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1C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D060">
            <w:pPr>
              <w:jc w:val="center"/>
            </w:pPr>
          </w:p>
        </w:tc>
      </w:tr>
      <w:tr w14:paraId="20119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22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A6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FC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312C">
            <w:pPr>
              <w:jc w:val="center"/>
            </w:pPr>
            <w:r>
              <w:rPr>
                <w:rFonts w:ascii="宋体" w:hAnsi="宋体" w:eastAsia="宋体"/>
                <w:sz w:val="16"/>
              </w:rPr>
              <w:t>业务技术指导成本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7B5E">
            <w:pPr>
              <w:jc w:val="center"/>
            </w:pPr>
            <w:r>
              <w:rPr>
                <w:rFonts w:ascii="宋体" w:hAnsi="宋体" w:eastAsia="宋体"/>
                <w:sz w:val="16"/>
              </w:rPr>
              <w:t>&lt;=28.38万元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C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1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2C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6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29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1FFA">
            <w:pPr>
              <w:jc w:val="center"/>
            </w:pPr>
            <w:r>
              <w:rPr>
                <w:rFonts w:ascii="宋体" w:hAnsi="宋体" w:eastAsia="宋体"/>
                <w:sz w:val="16"/>
              </w:rPr>
              <w:t>=28.38万元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EA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9D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9B39">
            <w:pPr>
              <w:jc w:val="center"/>
            </w:pPr>
          </w:p>
        </w:tc>
      </w:tr>
      <w:tr w14:paraId="61DF3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ED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DE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A2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802C">
            <w:pPr>
              <w:jc w:val="center"/>
            </w:pPr>
            <w:r>
              <w:rPr>
                <w:rFonts w:ascii="宋体" w:hAnsi="宋体" w:eastAsia="宋体"/>
                <w:sz w:val="16"/>
              </w:rPr>
              <w:t>有效应对突发公共事件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D8B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A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BD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01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98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1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B0E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5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73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24FF">
            <w:pPr>
              <w:jc w:val="center"/>
            </w:pPr>
          </w:p>
        </w:tc>
      </w:tr>
      <w:tr w14:paraId="0F567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BC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D5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E2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202F">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2C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9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FD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D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1F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F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9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0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9D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29C3">
            <w:pPr>
              <w:jc w:val="center"/>
            </w:pPr>
          </w:p>
        </w:tc>
      </w:tr>
      <w:tr w14:paraId="67E00D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D7FB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D629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8D9F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E9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2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341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E8F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6E0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2B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B8FF">
            <w:pPr>
              <w:jc w:val="center"/>
            </w:pPr>
            <w:r>
              <w:rPr>
                <w:rFonts w:ascii="宋体" w:hAnsi="宋体" w:eastAsia="宋体"/>
                <w:sz w:val="16"/>
              </w:rPr>
              <w:t>99.90分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6A39C"/>
        </w:tc>
      </w:tr>
    </w:tbl>
    <w:p w14:paraId="3B0258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0E71F0E5">
        <w:tblPrEx>
          <w:tblCellMar>
            <w:top w:w="0" w:type="dxa"/>
            <w:left w:w="108" w:type="dxa"/>
            <w:bottom w:w="0" w:type="dxa"/>
            <w:right w:w="108" w:type="dxa"/>
          </w:tblCellMar>
        </w:tblPrEx>
        <w:tc>
          <w:tcPr>
            <w:tcW w:w="8848" w:type="dxa"/>
            <w:gridSpan w:val="14"/>
            <w:vAlign w:val="center"/>
          </w:tcPr>
          <w:p w14:paraId="3F791677">
            <w:pPr>
              <w:jc w:val="center"/>
            </w:pPr>
            <w:r>
              <w:rPr>
                <w:rFonts w:ascii="宋体" w:hAnsi="宋体" w:eastAsia="宋体"/>
                <w:sz w:val="24"/>
              </w:rPr>
              <w:t>项目支出绩效自评表</w:t>
            </w:r>
          </w:p>
        </w:tc>
      </w:tr>
      <w:tr w14:paraId="40643C94">
        <w:tblPrEx>
          <w:tblCellMar>
            <w:top w:w="0" w:type="dxa"/>
            <w:left w:w="108" w:type="dxa"/>
            <w:bottom w:w="0" w:type="dxa"/>
            <w:right w:w="108" w:type="dxa"/>
          </w:tblCellMar>
        </w:tblPrEx>
        <w:tc>
          <w:tcPr>
            <w:tcW w:w="8848" w:type="dxa"/>
            <w:gridSpan w:val="14"/>
            <w:vAlign w:val="center"/>
          </w:tcPr>
          <w:p w14:paraId="7E5C350C">
            <w:pPr>
              <w:jc w:val="center"/>
            </w:pPr>
            <w:r>
              <w:rPr>
                <w:rFonts w:ascii="宋体" w:hAnsi="宋体" w:eastAsia="宋体"/>
                <w:sz w:val="24"/>
              </w:rPr>
              <w:t>(2024年度)</w:t>
            </w:r>
          </w:p>
        </w:tc>
      </w:tr>
      <w:tr w14:paraId="70F8C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30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6A9F1F">
            <w:pPr>
              <w:jc w:val="center"/>
            </w:pPr>
            <w:r>
              <w:rPr>
                <w:rFonts w:ascii="宋体" w:hAnsi="宋体" w:eastAsia="宋体"/>
                <w:sz w:val="16"/>
              </w:rPr>
              <w:t>2024年疾病预防控制业务项目</w:t>
            </w:r>
          </w:p>
        </w:tc>
      </w:tr>
      <w:tr w14:paraId="2D4890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29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C7DFDB">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1D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B0B3BC">
            <w:pPr>
              <w:jc w:val="center"/>
            </w:pPr>
            <w:r>
              <w:rPr>
                <w:rFonts w:ascii="宋体" w:hAnsi="宋体" w:eastAsia="宋体"/>
                <w:sz w:val="16"/>
              </w:rPr>
              <w:t>新疆巴音郭楞蒙古自治州疾病预防控制中心</w:t>
            </w:r>
          </w:p>
        </w:tc>
      </w:tr>
      <w:tr w14:paraId="764CF4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675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2C2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98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8FD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9C9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F8A3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19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09A3">
            <w:pPr>
              <w:jc w:val="center"/>
            </w:pPr>
            <w:r>
              <w:rPr>
                <w:rFonts w:ascii="宋体" w:hAnsi="宋体" w:eastAsia="宋体"/>
                <w:sz w:val="16"/>
              </w:rPr>
              <w:t>得分</w:t>
            </w:r>
          </w:p>
        </w:tc>
      </w:tr>
      <w:tr w14:paraId="0AAC06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BC0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C21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D54D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FF4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03B0">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1E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9A1B">
            <w:pPr>
              <w:jc w:val="center"/>
            </w:pPr>
            <w:r>
              <w:rPr>
                <w:rFonts w:ascii="宋体" w:hAnsi="宋体" w:eastAsia="宋体"/>
                <w:sz w:val="16"/>
              </w:rPr>
              <w:t>98.08%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CA10">
            <w:pPr>
              <w:jc w:val="center"/>
            </w:pPr>
            <w:r>
              <w:rPr>
                <w:rFonts w:ascii="宋体" w:hAnsi="宋体" w:eastAsia="宋体"/>
                <w:sz w:val="16"/>
              </w:rPr>
              <w:t>9.52</w:t>
            </w:r>
          </w:p>
        </w:tc>
      </w:tr>
      <w:tr w14:paraId="49796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14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969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F63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322C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AB0BF">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256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E78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681E">
            <w:pPr>
              <w:jc w:val="center"/>
            </w:pPr>
            <w:r>
              <w:rPr>
                <w:rFonts w:ascii="宋体" w:hAnsi="宋体" w:eastAsia="宋体"/>
                <w:sz w:val="16"/>
              </w:rPr>
              <w:t>-</w:t>
            </w:r>
          </w:p>
        </w:tc>
      </w:tr>
      <w:tr w14:paraId="56184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60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7446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A0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85D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9A4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A54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CB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085F">
            <w:pPr>
              <w:jc w:val="center"/>
            </w:pPr>
            <w:r>
              <w:rPr>
                <w:rFonts w:ascii="宋体" w:hAnsi="宋体" w:eastAsia="宋体"/>
                <w:sz w:val="16"/>
              </w:rPr>
              <w:t>-</w:t>
            </w:r>
          </w:p>
        </w:tc>
      </w:tr>
      <w:tr w14:paraId="344C12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9A3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4D42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094109">
            <w:pPr>
              <w:jc w:val="center"/>
            </w:pPr>
            <w:r>
              <w:rPr>
                <w:rFonts w:ascii="宋体" w:hAnsi="宋体" w:eastAsia="宋体"/>
                <w:sz w:val="16"/>
              </w:rPr>
              <w:t>总体目标完成情况</w:t>
            </w:r>
          </w:p>
        </w:tc>
      </w:tr>
      <w:tr w14:paraId="1D165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276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6545E2">
            <w:pPr>
              <w:jc w:val="both"/>
            </w:pPr>
            <w:r>
              <w:rPr>
                <w:rFonts w:ascii="宋体" w:hAnsi="宋体" w:eastAsia="宋体"/>
                <w:sz w:val="16"/>
              </w:rPr>
              <w:t>一、根据州财政局签订的《自治区疾病预防控制机构利用德国政府</w:t>
            </w:r>
            <w:r>
              <w:rPr>
                <w:rFonts w:hint="eastAsia" w:ascii="宋体" w:hAnsi="宋体"/>
                <w:sz w:val="16"/>
                <w:lang w:eastAsia="zh-CN"/>
              </w:rPr>
              <w:t>贷款</w:t>
            </w:r>
            <w:r>
              <w:rPr>
                <w:rFonts w:ascii="宋体" w:hAnsi="宋体" w:eastAsia="宋体"/>
                <w:sz w:val="16"/>
              </w:rPr>
              <w:t>装备设备项目还款保证书》及时还本付息，确保每年德贷还本付息率大于等于90%，还本付息次数2次。贷款项目用于巴州疾控中心实验室检测能力的提升，保障政府指令性工作完成，有效应对突发公共卫生事件。二、贯彻落实国家疾病预防控制规划，开展疾病检测检验用房电梯、消防维保检测及零星维修4次，保障实验室设备设施正常使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E88A46">
            <w:pPr>
              <w:jc w:val="both"/>
            </w:pPr>
            <w:r>
              <w:rPr>
                <w:rFonts w:hint="eastAsia" w:ascii="宋体" w:hAnsi="宋体"/>
                <w:sz w:val="16"/>
                <w:lang w:eastAsia="zh-CN"/>
              </w:rPr>
              <w:t>截至2024</w:t>
            </w:r>
            <w:r>
              <w:rPr>
                <w:rFonts w:ascii="宋体" w:hAnsi="宋体" w:eastAsia="宋体"/>
                <w:sz w:val="16"/>
              </w:rPr>
              <w:t>年12月31日，已完成州财政局签订的《自治区疾病预防控制机构利用德国政府</w:t>
            </w:r>
            <w:r>
              <w:rPr>
                <w:rFonts w:hint="eastAsia" w:ascii="宋体" w:hAnsi="宋体"/>
                <w:sz w:val="16"/>
                <w:lang w:eastAsia="zh-CN"/>
              </w:rPr>
              <w:t>贷款</w:t>
            </w:r>
            <w:r>
              <w:rPr>
                <w:rFonts w:ascii="宋体" w:hAnsi="宋体" w:eastAsia="宋体"/>
                <w:sz w:val="16"/>
              </w:rPr>
              <w:t>装备设备项目还款保证书》并及时还本付息，确保每年德贷还本付息率达到100%，还本付息次数2次。贷款项目用于巴州疾控中心实验室检测能力的提升，保障政府指令性工作完成，有效应对突发公共卫生事件。开展疾病检测检验用房电梯、消防维保检测及零星维修4次，保障实验室设备设施正常使用。</w:t>
            </w:r>
          </w:p>
        </w:tc>
      </w:tr>
      <w:tr w14:paraId="17D06A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DA1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76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F8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A8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C86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3A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1C2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DD0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218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9C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ED3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BF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F31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6418">
            <w:pPr>
              <w:jc w:val="center"/>
            </w:pPr>
            <w:r>
              <w:rPr>
                <w:rFonts w:ascii="宋体" w:hAnsi="宋体" w:eastAsia="宋体"/>
                <w:sz w:val="16"/>
              </w:rPr>
              <w:t>偏差原因分析及改进措施</w:t>
            </w:r>
          </w:p>
        </w:tc>
      </w:tr>
      <w:tr w14:paraId="64A87A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DB4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8DA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E49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1302">
            <w:pPr>
              <w:jc w:val="center"/>
            </w:pPr>
            <w:r>
              <w:rPr>
                <w:rFonts w:ascii="宋体" w:hAnsi="宋体" w:eastAsia="宋体"/>
                <w:sz w:val="16"/>
              </w:rPr>
              <w:t>德贷项目还本付息次数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E43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8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E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31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1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FE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7E1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A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76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0F69">
            <w:pPr>
              <w:jc w:val="center"/>
            </w:pPr>
          </w:p>
        </w:tc>
      </w:tr>
      <w:tr w14:paraId="27530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49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7A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F4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4B26">
            <w:pPr>
              <w:jc w:val="center"/>
            </w:pPr>
            <w:r>
              <w:rPr>
                <w:rFonts w:ascii="宋体" w:hAnsi="宋体" w:eastAsia="宋体"/>
                <w:sz w:val="16"/>
              </w:rPr>
              <w:t>业务用房零星维修维护次数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3BC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A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0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6A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3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D0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6CA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D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FB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0F9F">
            <w:pPr>
              <w:jc w:val="center"/>
            </w:pPr>
          </w:p>
        </w:tc>
      </w:tr>
      <w:tr w14:paraId="2B838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EA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FAB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0AA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C22E">
            <w:pPr>
              <w:jc w:val="center"/>
            </w:pPr>
            <w:r>
              <w:rPr>
                <w:rFonts w:ascii="宋体" w:hAnsi="宋体" w:eastAsia="宋体"/>
                <w:sz w:val="16"/>
              </w:rPr>
              <w:t>德贷项目支付准确率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DB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0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3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A5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75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B0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1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B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0C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DC01">
            <w:pPr>
              <w:jc w:val="center"/>
            </w:pPr>
            <w:r>
              <w:rPr>
                <w:rFonts w:ascii="宋体" w:hAnsi="宋体" w:eastAsia="宋体"/>
                <w:sz w:val="16"/>
              </w:rPr>
              <w:t>按时完成德代还款。</w:t>
            </w:r>
          </w:p>
        </w:tc>
      </w:tr>
      <w:tr w14:paraId="29630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1B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FC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B4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FF48">
            <w:pPr>
              <w:jc w:val="center"/>
            </w:pPr>
            <w:r>
              <w:rPr>
                <w:rFonts w:ascii="宋体" w:hAnsi="宋体" w:eastAsia="宋体"/>
                <w:sz w:val="16"/>
              </w:rPr>
              <w:t>业务用房零星维修维护验收合格率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B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FA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62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A6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45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B0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4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6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FA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1D94">
            <w:pPr>
              <w:jc w:val="center"/>
            </w:pPr>
          </w:p>
        </w:tc>
      </w:tr>
      <w:tr w14:paraId="7E1C4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9C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D9D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84B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0B2B">
            <w:pPr>
              <w:jc w:val="center"/>
            </w:pPr>
            <w:r>
              <w:rPr>
                <w:rFonts w:ascii="宋体" w:hAnsi="宋体" w:eastAsia="宋体"/>
                <w:sz w:val="16"/>
              </w:rPr>
              <w:t>德贷还款及时率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E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E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8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48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00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35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1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4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32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B7F9">
            <w:pPr>
              <w:jc w:val="center"/>
            </w:pPr>
          </w:p>
        </w:tc>
      </w:tr>
      <w:tr w14:paraId="351D7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EA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25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DB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44EE">
            <w:pPr>
              <w:jc w:val="center"/>
            </w:pPr>
            <w:r>
              <w:rPr>
                <w:rFonts w:ascii="宋体" w:hAnsi="宋体" w:eastAsia="宋体"/>
                <w:sz w:val="16"/>
              </w:rPr>
              <w:t>业务用房零星维修维护及时率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D9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0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D5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01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6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AF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6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4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36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42BE">
            <w:pPr>
              <w:jc w:val="center"/>
            </w:pPr>
            <w:r>
              <w:rPr>
                <w:rFonts w:ascii="宋体" w:hAnsi="宋体" w:eastAsia="宋体"/>
                <w:sz w:val="16"/>
              </w:rPr>
              <w:t>根据《自治区疾病预防控制机构利用德国政府货款装备设备项目还款保证书》</w:t>
            </w:r>
          </w:p>
        </w:tc>
      </w:tr>
      <w:tr w14:paraId="37597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B50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540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8A7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2D7B">
            <w:pPr>
              <w:jc w:val="center"/>
            </w:pPr>
            <w:r>
              <w:rPr>
                <w:rFonts w:ascii="宋体" w:hAnsi="宋体" w:eastAsia="宋体"/>
                <w:sz w:val="16"/>
              </w:rPr>
              <w:t>德贷还款额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1D54">
            <w:pPr>
              <w:jc w:val="center"/>
            </w:pPr>
            <w:r>
              <w:rPr>
                <w:rFonts w:ascii="宋体" w:hAnsi="宋体" w:eastAsia="宋体"/>
                <w:sz w:val="16"/>
              </w:rPr>
              <w:t>&lt;=3.60万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2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3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B1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2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15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CA07">
            <w:pPr>
              <w:jc w:val="center"/>
            </w:pPr>
            <w:r>
              <w:rPr>
                <w:rFonts w:ascii="宋体" w:hAnsi="宋体" w:eastAsia="宋体"/>
                <w:sz w:val="16"/>
              </w:rPr>
              <w:t>=3.37万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D2DF">
            <w:pPr>
              <w:jc w:val="center"/>
            </w:pPr>
            <w:r>
              <w:rPr>
                <w:rFonts w:ascii="宋体" w:hAnsi="宋体" w:eastAsia="宋体"/>
                <w:sz w:val="16"/>
              </w:rPr>
              <w:t>93.61%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DB0A">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3156">
            <w:pPr>
              <w:jc w:val="center"/>
            </w:pPr>
            <w:r>
              <w:rPr>
                <w:rFonts w:ascii="宋体" w:hAnsi="宋体" w:eastAsia="宋体"/>
                <w:sz w:val="16"/>
              </w:rPr>
              <w:t>按项目还款文件要求，已完成此项目。整改措施：精准设置目标值。</w:t>
            </w:r>
          </w:p>
        </w:tc>
      </w:tr>
      <w:tr w14:paraId="2B1C8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00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9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76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8CF5">
            <w:pPr>
              <w:jc w:val="center"/>
            </w:pPr>
            <w:r>
              <w:rPr>
                <w:rFonts w:ascii="宋体" w:hAnsi="宋体" w:eastAsia="宋体"/>
                <w:sz w:val="16"/>
              </w:rPr>
              <w:t>业务用房零星维修维护成本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51DD">
            <w:pPr>
              <w:jc w:val="center"/>
            </w:pPr>
            <w:r>
              <w:rPr>
                <w:rFonts w:ascii="宋体" w:hAnsi="宋体" w:eastAsia="宋体"/>
                <w:sz w:val="16"/>
              </w:rPr>
              <w:t>&lt;=8.40万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E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8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FC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C2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98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5B00">
            <w:pPr>
              <w:jc w:val="center"/>
            </w:pPr>
            <w:r>
              <w:rPr>
                <w:rFonts w:ascii="宋体" w:hAnsi="宋体" w:eastAsia="宋体"/>
                <w:sz w:val="16"/>
              </w:rPr>
              <w:t>=8.4万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0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E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A4A3">
            <w:pPr>
              <w:jc w:val="center"/>
            </w:pPr>
          </w:p>
        </w:tc>
      </w:tr>
      <w:tr w14:paraId="0E07A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E1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C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DB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46E2">
            <w:pPr>
              <w:jc w:val="center"/>
            </w:pPr>
            <w:r>
              <w:rPr>
                <w:rFonts w:ascii="宋体" w:hAnsi="宋体" w:eastAsia="宋体"/>
                <w:sz w:val="16"/>
              </w:rPr>
              <w:t>应对突发公共卫生事件能力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B80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F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6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27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D8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1E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603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1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3F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5942">
            <w:pPr>
              <w:jc w:val="center"/>
            </w:pPr>
          </w:p>
        </w:tc>
      </w:tr>
      <w:tr w14:paraId="5079A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C4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DA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F3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6E8A">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E6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3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1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1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E8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C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B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9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BB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387A">
            <w:pPr>
              <w:jc w:val="center"/>
            </w:pPr>
            <w:r>
              <w:rPr>
                <w:rFonts w:ascii="宋体" w:hAnsi="宋体" w:eastAsia="宋体"/>
                <w:sz w:val="16"/>
              </w:rPr>
              <w:t>多与卫健委等管理部门沟通，按照下达任务制定项目决策。</w:t>
            </w:r>
          </w:p>
        </w:tc>
      </w:tr>
      <w:tr w14:paraId="36FA90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A723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A3D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E09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49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1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9F6A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8B88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EEF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5D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0FC0">
            <w:pPr>
              <w:jc w:val="center"/>
            </w:pPr>
            <w:r>
              <w:rPr>
                <w:rFonts w:ascii="宋体" w:hAnsi="宋体" w:eastAsia="宋体"/>
                <w:sz w:val="16"/>
              </w:rPr>
              <w:t>97.92分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DECEBE"/>
        </w:tc>
      </w:tr>
    </w:tbl>
    <w:p w14:paraId="2A81B5C1">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4"/>
        <w:gridCol w:w="776"/>
        <w:gridCol w:w="612"/>
        <w:gridCol w:w="624"/>
        <w:gridCol w:w="618"/>
        <w:gridCol w:w="612"/>
        <w:gridCol w:w="612"/>
        <w:gridCol w:w="696"/>
        <w:gridCol w:w="776"/>
        <w:gridCol w:w="631"/>
        <w:gridCol w:w="631"/>
      </w:tblGrid>
      <w:tr w14:paraId="53304FA0">
        <w:tblPrEx>
          <w:tblCellMar>
            <w:top w:w="0" w:type="dxa"/>
            <w:left w:w="108" w:type="dxa"/>
            <w:bottom w:w="0" w:type="dxa"/>
            <w:right w:w="108" w:type="dxa"/>
          </w:tblCellMar>
        </w:tblPrEx>
        <w:tc>
          <w:tcPr>
            <w:tcW w:w="8848" w:type="dxa"/>
            <w:gridSpan w:val="14"/>
            <w:vAlign w:val="center"/>
          </w:tcPr>
          <w:p w14:paraId="6A131D22">
            <w:pPr>
              <w:jc w:val="center"/>
            </w:pPr>
            <w:r>
              <w:rPr>
                <w:rFonts w:ascii="宋体" w:hAnsi="宋体" w:eastAsia="宋体"/>
                <w:sz w:val="24"/>
              </w:rPr>
              <w:t>项目支出绩效自评表</w:t>
            </w:r>
          </w:p>
        </w:tc>
      </w:tr>
      <w:tr w14:paraId="677AC71B">
        <w:tblPrEx>
          <w:tblCellMar>
            <w:top w:w="0" w:type="dxa"/>
            <w:left w:w="108" w:type="dxa"/>
            <w:bottom w:w="0" w:type="dxa"/>
            <w:right w:w="108" w:type="dxa"/>
          </w:tblCellMar>
        </w:tblPrEx>
        <w:tc>
          <w:tcPr>
            <w:tcW w:w="8848" w:type="dxa"/>
            <w:gridSpan w:val="14"/>
            <w:vAlign w:val="center"/>
          </w:tcPr>
          <w:p w14:paraId="00C2E260">
            <w:pPr>
              <w:jc w:val="center"/>
            </w:pPr>
            <w:r>
              <w:rPr>
                <w:rFonts w:ascii="宋体" w:hAnsi="宋体" w:eastAsia="宋体"/>
                <w:sz w:val="24"/>
              </w:rPr>
              <w:t>(2024年度)</w:t>
            </w:r>
          </w:p>
        </w:tc>
      </w:tr>
      <w:tr w14:paraId="43EA28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F9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2875B1">
            <w:pPr>
              <w:jc w:val="center"/>
            </w:pPr>
            <w:r>
              <w:rPr>
                <w:rFonts w:ascii="宋体" w:hAnsi="宋体" w:eastAsia="宋体"/>
                <w:sz w:val="16"/>
              </w:rPr>
              <w:t>2024提前下达自治区公共卫生服务（地方公共卫生项目）</w:t>
            </w:r>
          </w:p>
        </w:tc>
      </w:tr>
      <w:tr w14:paraId="5EFC1E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BC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C8CFA">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C4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189C70">
            <w:pPr>
              <w:jc w:val="center"/>
            </w:pPr>
            <w:r>
              <w:rPr>
                <w:rFonts w:ascii="宋体" w:hAnsi="宋体" w:eastAsia="宋体"/>
                <w:sz w:val="16"/>
              </w:rPr>
              <w:t>新疆巴音郭楞蒙古自治州疾病预防控制中心</w:t>
            </w:r>
          </w:p>
        </w:tc>
      </w:tr>
      <w:tr w14:paraId="62283E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DCE5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98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32C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F21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D8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EEA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488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5A8E">
            <w:pPr>
              <w:jc w:val="center"/>
            </w:pPr>
            <w:r>
              <w:rPr>
                <w:rFonts w:ascii="宋体" w:hAnsi="宋体" w:eastAsia="宋体"/>
                <w:sz w:val="16"/>
              </w:rPr>
              <w:t>得分</w:t>
            </w:r>
          </w:p>
        </w:tc>
      </w:tr>
      <w:tr w14:paraId="6A3754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657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A26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86122">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B427A">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6284B">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6B0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21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1615">
            <w:pPr>
              <w:jc w:val="center"/>
            </w:pPr>
            <w:r>
              <w:rPr>
                <w:rFonts w:ascii="宋体" w:hAnsi="宋体" w:eastAsia="宋体"/>
                <w:sz w:val="16"/>
              </w:rPr>
              <w:t>10.00</w:t>
            </w:r>
          </w:p>
        </w:tc>
      </w:tr>
      <w:tr w14:paraId="09681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57C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224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5929B">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FAE05">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97745">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728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1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28B6">
            <w:pPr>
              <w:jc w:val="center"/>
            </w:pPr>
            <w:r>
              <w:rPr>
                <w:rFonts w:ascii="宋体" w:hAnsi="宋体" w:eastAsia="宋体"/>
                <w:sz w:val="16"/>
              </w:rPr>
              <w:t>-</w:t>
            </w:r>
          </w:p>
        </w:tc>
      </w:tr>
      <w:tr w14:paraId="39EFA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5A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97F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BB4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BA0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C7A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C5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16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2CBD">
            <w:pPr>
              <w:jc w:val="center"/>
            </w:pPr>
            <w:r>
              <w:rPr>
                <w:rFonts w:ascii="宋体" w:hAnsi="宋体" w:eastAsia="宋体"/>
                <w:sz w:val="16"/>
              </w:rPr>
              <w:t>-</w:t>
            </w:r>
          </w:p>
        </w:tc>
      </w:tr>
      <w:tr w14:paraId="3A713F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DD7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46DE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F08A00">
            <w:pPr>
              <w:jc w:val="center"/>
            </w:pPr>
            <w:r>
              <w:rPr>
                <w:rFonts w:ascii="宋体" w:hAnsi="宋体" w:eastAsia="宋体"/>
                <w:sz w:val="16"/>
              </w:rPr>
              <w:t>总体目标完成情况</w:t>
            </w:r>
          </w:p>
        </w:tc>
      </w:tr>
      <w:tr w14:paraId="46C8D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9D9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2E126">
            <w:pPr>
              <w:jc w:val="both"/>
            </w:pPr>
            <w:r>
              <w:rPr>
                <w:rFonts w:ascii="宋体" w:hAnsi="宋体" w:eastAsia="宋体"/>
                <w:sz w:val="16"/>
              </w:rPr>
              <w:t>《中华人民共和国传染病防治法》《公共场所卫生管理条例》《公共场所卫生管理条例》《学校卫生管理条例》《生活饮用水卫生监督管理办法</w:t>
            </w:r>
            <w:r>
              <w:rPr>
                <w:rFonts w:ascii="宋体" w:hAnsi="宋体" w:eastAsia="宋体"/>
                <w:sz w:val="16"/>
              </w:rPr>
              <w:t>》等有关法律法规，通过开展对辖区医疗机构、采供血机构、消毒产品生产企业、公共场所、学校卫生、饮用水、放射卫生、职业卫生</w:t>
            </w:r>
            <w:r>
              <w:rPr>
                <w:rFonts w:hint="eastAsia" w:ascii="宋体" w:hAnsi="宋体"/>
                <w:sz w:val="16"/>
                <w:lang w:eastAsia="zh-CN"/>
              </w:rPr>
              <w:t>等</w:t>
            </w:r>
            <w:r>
              <w:rPr>
                <w:rFonts w:ascii="宋体" w:hAnsi="宋体" w:eastAsia="宋体"/>
                <w:sz w:val="16"/>
              </w:rPr>
              <w:t>国家双随机监督检查工作，双随机监督抽查1次，完成检查报告数量57家，使国家双随机监督抽检工作得到保证。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D3CA2">
            <w:pPr>
              <w:jc w:val="both"/>
            </w:pPr>
            <w:r>
              <w:rPr>
                <w:rFonts w:ascii="宋体" w:hAnsi="宋体" w:eastAsia="宋体"/>
                <w:sz w:val="16"/>
              </w:rPr>
              <w:t>《中华人民共和国传染病防治法》《公共场所卫生管理条例》《公共场所卫生管理条例》《学校卫生管理条例》《生活饮用水卫生监督管理办法</w:t>
            </w:r>
            <w:bookmarkStart w:id="0" w:name="_GoBack"/>
            <w:bookmarkEnd w:id="0"/>
            <w:r>
              <w:rPr>
                <w:rFonts w:ascii="宋体" w:hAnsi="宋体" w:eastAsia="宋体"/>
                <w:sz w:val="16"/>
              </w:rPr>
              <w:t>》等有关法律法规，通过开展对辖区医疗机构、采供血机构、消毒产品生产企业、公共场所、学校卫生、饮用水、放射卫生、职业卫生</w:t>
            </w:r>
            <w:r>
              <w:rPr>
                <w:rFonts w:hint="eastAsia" w:ascii="宋体" w:hAnsi="宋体"/>
                <w:sz w:val="16"/>
                <w:lang w:eastAsia="zh-CN"/>
              </w:rPr>
              <w:t>等</w:t>
            </w:r>
            <w:r>
              <w:rPr>
                <w:rFonts w:ascii="宋体" w:hAnsi="宋体" w:eastAsia="宋体"/>
                <w:sz w:val="16"/>
              </w:rPr>
              <w:t>国家双随机监督检查工作，双随机监督抽查1次，完成检查报告数量58家，使国家双随机监督抽检工作完成率100%。</w:t>
            </w:r>
          </w:p>
        </w:tc>
      </w:tr>
      <w:tr w14:paraId="515418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F07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F6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1A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19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CB5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B0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234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CCB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30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24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32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25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DC5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1267">
            <w:pPr>
              <w:jc w:val="center"/>
            </w:pPr>
            <w:r>
              <w:rPr>
                <w:rFonts w:ascii="宋体" w:hAnsi="宋体" w:eastAsia="宋体"/>
                <w:sz w:val="16"/>
              </w:rPr>
              <w:t>偏差原因分析及改进措施</w:t>
            </w:r>
          </w:p>
        </w:tc>
      </w:tr>
      <w:tr w14:paraId="643F5F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238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92F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B0F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9762">
            <w:pPr>
              <w:jc w:val="center"/>
            </w:pPr>
            <w:r>
              <w:rPr>
                <w:rFonts w:ascii="宋体" w:hAnsi="宋体" w:eastAsia="宋体"/>
                <w:sz w:val="16"/>
              </w:rPr>
              <w:t>开展双随机监督抽查次数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69E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D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1E41">
            <w:pPr>
              <w:jc w:val="center"/>
            </w:pPr>
            <w:r>
              <w:rPr>
                <w:rFonts w:hint="eastAsia"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342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70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4A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ED5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A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23E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EEE4">
            <w:pPr>
              <w:jc w:val="center"/>
            </w:pPr>
          </w:p>
        </w:tc>
      </w:tr>
      <w:tr w14:paraId="4D9C6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79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93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AD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C9F0">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32FB">
            <w:pPr>
              <w:jc w:val="center"/>
            </w:pPr>
            <w:r>
              <w:rPr>
                <w:rFonts w:ascii="宋体" w:hAnsi="宋体" w:eastAsia="宋体"/>
                <w:sz w:val="16"/>
              </w:rPr>
              <w:t>=57家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5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E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D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1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73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9EFD">
            <w:pPr>
              <w:jc w:val="center"/>
            </w:pPr>
            <w:r>
              <w:rPr>
                <w:rFonts w:ascii="宋体" w:hAnsi="宋体" w:eastAsia="宋体"/>
                <w:sz w:val="16"/>
              </w:rPr>
              <w:t>=58家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4E0C">
            <w:pPr>
              <w:jc w:val="center"/>
            </w:pPr>
            <w:r>
              <w:rPr>
                <w:rFonts w:ascii="宋体" w:hAnsi="宋体" w:eastAsia="宋体"/>
                <w:sz w:val="16"/>
              </w:rPr>
              <w:t>101.75%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79DA">
            <w:pPr>
              <w:jc w:val="center"/>
            </w:pPr>
            <w:r>
              <w:rPr>
                <w:rFonts w:ascii="宋体" w:hAnsi="宋体" w:eastAsia="宋体"/>
                <w:sz w:val="16"/>
              </w:rPr>
              <w:t>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909E">
            <w:pPr>
              <w:jc w:val="center"/>
            </w:pPr>
            <w:r>
              <w:rPr>
                <w:rFonts w:ascii="宋体" w:hAnsi="宋体" w:eastAsia="宋体"/>
                <w:sz w:val="16"/>
              </w:rPr>
              <w:t>中央基本公共卫生</w:t>
            </w:r>
            <w:r>
              <w:rPr>
                <w:rFonts w:hint="eastAsia" w:ascii="宋体" w:hAnsi="宋体"/>
                <w:sz w:val="16"/>
                <w:lang w:eastAsia="zh-CN"/>
              </w:rPr>
              <w:t>“双随机、一公开”</w:t>
            </w:r>
            <w:r>
              <w:rPr>
                <w:rFonts w:ascii="宋体" w:hAnsi="宋体" w:eastAsia="宋体"/>
                <w:sz w:val="16"/>
              </w:rPr>
              <w:t>任务下达时间晚于项目目标表制定时间，改进措施：向上级反映下达任务时间过完的问题，避免此类问题的出现。</w:t>
            </w:r>
          </w:p>
        </w:tc>
      </w:tr>
      <w:tr w14:paraId="29807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39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A5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7C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7BE0">
            <w:pPr>
              <w:jc w:val="center"/>
            </w:pPr>
            <w:r>
              <w:rPr>
                <w:rFonts w:ascii="宋体" w:hAnsi="宋体" w:eastAsia="宋体"/>
                <w:sz w:val="16"/>
              </w:rPr>
              <w:t>双随机监督抽查完成率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AB8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5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1CF4">
            <w:pPr>
              <w:jc w:val="center"/>
            </w:pPr>
            <w:r>
              <w:rPr>
                <w:rFonts w:hint="eastAsia"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7D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4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D3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7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6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5C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5CED">
            <w:pPr>
              <w:jc w:val="center"/>
            </w:pPr>
          </w:p>
        </w:tc>
      </w:tr>
      <w:tr w14:paraId="1D00E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0E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04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21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8C93">
            <w:pPr>
              <w:jc w:val="center"/>
            </w:pPr>
            <w:r>
              <w:rPr>
                <w:rFonts w:ascii="宋体" w:hAnsi="宋体" w:eastAsia="宋体"/>
                <w:sz w:val="16"/>
              </w:rPr>
              <w:t>双随机监督检查工作完成时间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713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9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EA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6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78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8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D4F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9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B4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B33F">
            <w:pPr>
              <w:jc w:val="center"/>
            </w:pPr>
          </w:p>
        </w:tc>
      </w:tr>
      <w:tr w14:paraId="65239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477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477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CA8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3649">
            <w:pPr>
              <w:jc w:val="center"/>
            </w:pPr>
            <w:r>
              <w:rPr>
                <w:rFonts w:ascii="宋体" w:hAnsi="宋体" w:eastAsia="宋体"/>
                <w:sz w:val="16"/>
              </w:rPr>
              <w:t>开展</w:t>
            </w:r>
            <w:r>
              <w:rPr>
                <w:rFonts w:hint="eastAsia" w:ascii="宋体" w:hAnsi="宋体"/>
                <w:sz w:val="16"/>
                <w:lang w:eastAsia="zh-CN"/>
              </w:rPr>
              <w:t>“双随机、一公开”</w:t>
            </w:r>
            <w:r>
              <w:rPr>
                <w:rFonts w:ascii="宋体" w:hAnsi="宋体" w:eastAsia="宋体"/>
                <w:sz w:val="16"/>
              </w:rPr>
              <w:t>差旅费成本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BC6A">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2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4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22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4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3D4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CE0B">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E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0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F431">
            <w:pPr>
              <w:jc w:val="center"/>
            </w:pPr>
          </w:p>
        </w:tc>
      </w:tr>
      <w:tr w14:paraId="09F4D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DF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7B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47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7533">
            <w:pPr>
              <w:jc w:val="center"/>
            </w:pPr>
            <w:r>
              <w:rPr>
                <w:rFonts w:ascii="宋体" w:hAnsi="宋体" w:eastAsia="宋体"/>
                <w:sz w:val="16"/>
              </w:rPr>
              <w:t>开展</w:t>
            </w:r>
            <w:r>
              <w:rPr>
                <w:rFonts w:hint="eastAsia" w:ascii="宋体" w:hAnsi="宋体"/>
                <w:sz w:val="16"/>
                <w:lang w:eastAsia="zh-CN"/>
              </w:rPr>
              <w:t>“双随机、一公开”</w:t>
            </w:r>
            <w:r>
              <w:rPr>
                <w:rFonts w:ascii="宋体" w:hAnsi="宋体" w:eastAsia="宋体"/>
                <w:sz w:val="16"/>
              </w:rPr>
              <w:t>试剂成本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524A">
            <w:pPr>
              <w:jc w:val="center"/>
            </w:pPr>
            <w:r>
              <w:rPr>
                <w:rFonts w:ascii="宋体" w:hAnsi="宋体" w:eastAsia="宋体"/>
                <w:sz w:val="16"/>
              </w:rPr>
              <w:t>&lt;=10000元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0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32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C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C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8D6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2C42">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C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5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3816">
            <w:pPr>
              <w:jc w:val="center"/>
            </w:pPr>
          </w:p>
        </w:tc>
      </w:tr>
      <w:tr w14:paraId="70480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EA9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661F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5A6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029D">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A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8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919F">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6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5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6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C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B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D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468B">
            <w:pPr>
              <w:jc w:val="center"/>
            </w:pPr>
          </w:p>
        </w:tc>
      </w:tr>
      <w:tr w14:paraId="2899E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09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D5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CD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992B">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5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1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D6DD">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86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4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0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E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C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2C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47E5">
            <w:pPr>
              <w:jc w:val="center"/>
            </w:pPr>
          </w:p>
        </w:tc>
      </w:tr>
      <w:tr w14:paraId="3E6B0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6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57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7C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80CD">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95D8">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4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9C6E">
            <w:pPr>
              <w:jc w:val="center"/>
            </w:pPr>
            <w:r>
              <w:rPr>
                <w:rFonts w:hint="eastAsia"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5D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17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3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D0A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6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20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0E8B">
            <w:pPr>
              <w:jc w:val="center"/>
            </w:pPr>
          </w:p>
        </w:tc>
      </w:tr>
      <w:tr w14:paraId="452179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60F5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736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8FD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D4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0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1FE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C06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0DF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7F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6011">
            <w:pPr>
              <w:jc w:val="center"/>
            </w:pPr>
            <w:r>
              <w:rPr>
                <w:rFonts w:ascii="宋体" w:hAnsi="宋体" w:eastAsia="宋体"/>
                <w:sz w:val="16"/>
              </w:rPr>
              <w:t>99.83分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3A935"/>
        </w:tc>
      </w:tr>
    </w:tbl>
    <w:p w14:paraId="70085A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3FED56E6">
        <w:tblPrEx>
          <w:tblCellMar>
            <w:top w:w="0" w:type="dxa"/>
            <w:left w:w="108" w:type="dxa"/>
            <w:bottom w:w="0" w:type="dxa"/>
            <w:right w:w="108" w:type="dxa"/>
          </w:tblCellMar>
        </w:tblPrEx>
        <w:tc>
          <w:tcPr>
            <w:tcW w:w="8848" w:type="dxa"/>
            <w:gridSpan w:val="14"/>
            <w:vAlign w:val="center"/>
          </w:tcPr>
          <w:p w14:paraId="726C4434">
            <w:pPr>
              <w:jc w:val="center"/>
            </w:pPr>
            <w:r>
              <w:rPr>
                <w:rFonts w:ascii="宋体" w:hAnsi="宋体" w:eastAsia="宋体"/>
                <w:sz w:val="24"/>
              </w:rPr>
              <w:t>项目支出绩效自评表</w:t>
            </w:r>
          </w:p>
        </w:tc>
      </w:tr>
      <w:tr w14:paraId="22BE3D25">
        <w:tblPrEx>
          <w:tblCellMar>
            <w:top w:w="0" w:type="dxa"/>
            <w:left w:w="108" w:type="dxa"/>
            <w:bottom w:w="0" w:type="dxa"/>
            <w:right w:w="108" w:type="dxa"/>
          </w:tblCellMar>
        </w:tblPrEx>
        <w:tc>
          <w:tcPr>
            <w:tcW w:w="8848" w:type="dxa"/>
            <w:gridSpan w:val="14"/>
            <w:vAlign w:val="center"/>
          </w:tcPr>
          <w:p w14:paraId="7FB7C304">
            <w:pPr>
              <w:jc w:val="center"/>
            </w:pPr>
            <w:r>
              <w:rPr>
                <w:rFonts w:ascii="宋体" w:hAnsi="宋体" w:eastAsia="宋体"/>
                <w:sz w:val="24"/>
              </w:rPr>
              <w:t>(2024年度)</w:t>
            </w:r>
          </w:p>
        </w:tc>
      </w:tr>
      <w:tr w14:paraId="1728DC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66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3DD525">
            <w:pPr>
              <w:jc w:val="center"/>
            </w:pPr>
            <w:r>
              <w:rPr>
                <w:rFonts w:ascii="宋体" w:hAnsi="宋体" w:eastAsia="宋体"/>
                <w:sz w:val="16"/>
              </w:rPr>
              <w:t>巴州疾病预防控制中心自有资金</w:t>
            </w:r>
          </w:p>
        </w:tc>
      </w:tr>
      <w:tr w14:paraId="3B9DB3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94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92A56">
            <w:pPr>
              <w:jc w:val="center"/>
            </w:pPr>
            <w:r>
              <w:rPr>
                <w:rFonts w:ascii="宋体" w:hAnsi="宋体" w:eastAsia="宋体"/>
                <w:sz w:val="16"/>
              </w:rPr>
              <w:t>新疆巴音郭楞蒙古自治州疾病预防控制中心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8D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F6295C">
            <w:pPr>
              <w:jc w:val="center"/>
            </w:pPr>
            <w:r>
              <w:rPr>
                <w:rFonts w:ascii="宋体" w:hAnsi="宋体" w:eastAsia="宋体"/>
                <w:sz w:val="16"/>
              </w:rPr>
              <w:t>新疆巴音郭楞蒙古自治州疾病预防控制中心</w:t>
            </w:r>
          </w:p>
        </w:tc>
      </w:tr>
      <w:tr w14:paraId="5D2EA2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DC57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D02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036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D18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0A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03FD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DB9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26DD">
            <w:pPr>
              <w:jc w:val="center"/>
            </w:pPr>
            <w:r>
              <w:rPr>
                <w:rFonts w:ascii="宋体" w:hAnsi="宋体" w:eastAsia="宋体"/>
                <w:sz w:val="16"/>
              </w:rPr>
              <w:t>得分</w:t>
            </w:r>
          </w:p>
        </w:tc>
      </w:tr>
      <w:tr w14:paraId="042DFD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5DB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FF7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31E6D">
            <w:pPr>
              <w:jc w:val="center"/>
            </w:pPr>
            <w:r>
              <w:rPr>
                <w:rFonts w:ascii="宋体" w:hAnsi="宋体" w:eastAsia="宋体"/>
                <w:sz w:val="16"/>
              </w:rPr>
              <w:t>31.26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3CBC1">
            <w:pPr>
              <w:jc w:val="center"/>
            </w:pPr>
            <w:r>
              <w:rPr>
                <w:rFonts w:ascii="宋体" w:hAnsi="宋体" w:eastAsia="宋体"/>
                <w:sz w:val="16"/>
              </w:rPr>
              <w:t>31.26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E124">
            <w:pPr>
              <w:jc w:val="center"/>
            </w:pPr>
            <w:r>
              <w:rPr>
                <w:rFonts w:ascii="宋体" w:hAnsi="宋体" w:eastAsia="宋体"/>
                <w:sz w:val="16"/>
              </w:rPr>
              <w:t>29.21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920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D513A">
            <w:pPr>
              <w:jc w:val="center"/>
            </w:pPr>
            <w:r>
              <w:rPr>
                <w:rFonts w:ascii="宋体" w:hAnsi="宋体" w:eastAsia="宋体"/>
                <w:sz w:val="16"/>
              </w:rPr>
              <w:t>93.44%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05BB">
            <w:pPr>
              <w:jc w:val="center"/>
            </w:pPr>
            <w:r>
              <w:rPr>
                <w:rFonts w:ascii="宋体" w:hAnsi="宋体" w:eastAsia="宋体"/>
                <w:sz w:val="16"/>
              </w:rPr>
              <w:t>8.36</w:t>
            </w:r>
          </w:p>
        </w:tc>
      </w:tr>
      <w:tr w14:paraId="7B55B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A2B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42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389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665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AD5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D01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94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4C25">
            <w:pPr>
              <w:jc w:val="center"/>
            </w:pPr>
            <w:r>
              <w:rPr>
                <w:rFonts w:ascii="宋体" w:hAnsi="宋体" w:eastAsia="宋体"/>
                <w:sz w:val="16"/>
              </w:rPr>
              <w:t>-</w:t>
            </w:r>
          </w:p>
        </w:tc>
      </w:tr>
      <w:tr w14:paraId="0DF55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E7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01CD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88B7F">
            <w:pPr>
              <w:jc w:val="center"/>
            </w:pPr>
            <w:r>
              <w:rPr>
                <w:rFonts w:ascii="宋体" w:hAnsi="宋体" w:eastAsia="宋体"/>
                <w:sz w:val="16"/>
              </w:rPr>
              <w:t>31.26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BF3A">
            <w:pPr>
              <w:jc w:val="center"/>
            </w:pPr>
            <w:r>
              <w:rPr>
                <w:rFonts w:ascii="宋体" w:hAnsi="宋体" w:eastAsia="宋体"/>
                <w:sz w:val="16"/>
              </w:rPr>
              <w:t>31.26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9E6A">
            <w:pPr>
              <w:jc w:val="center"/>
            </w:pPr>
            <w:r>
              <w:rPr>
                <w:rFonts w:ascii="宋体" w:hAnsi="宋体" w:eastAsia="宋体"/>
                <w:sz w:val="16"/>
              </w:rPr>
              <w:t>29.21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42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13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B2DC">
            <w:pPr>
              <w:jc w:val="center"/>
            </w:pPr>
            <w:r>
              <w:rPr>
                <w:rFonts w:ascii="宋体" w:hAnsi="宋体" w:eastAsia="宋体"/>
                <w:sz w:val="16"/>
              </w:rPr>
              <w:t>-</w:t>
            </w:r>
          </w:p>
        </w:tc>
      </w:tr>
      <w:tr w14:paraId="01B19A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AE7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6F81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83D809">
            <w:pPr>
              <w:jc w:val="center"/>
            </w:pPr>
            <w:r>
              <w:rPr>
                <w:rFonts w:ascii="宋体" w:hAnsi="宋体" w:eastAsia="宋体"/>
                <w:sz w:val="16"/>
              </w:rPr>
              <w:t>总体目标完成情况</w:t>
            </w:r>
          </w:p>
        </w:tc>
      </w:tr>
      <w:tr w14:paraId="1CF4C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6F5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82676E">
            <w:pPr>
              <w:jc w:val="both"/>
            </w:pPr>
            <w:r>
              <w:rPr>
                <w:rFonts w:ascii="宋体" w:hAnsi="宋体" w:eastAsia="宋体"/>
                <w:sz w:val="16"/>
              </w:rPr>
              <w:t>每月按时缴纳一栋大楼电费，保证供电的稳定性，确保大楼工作人员正常工作，有助于维持整栋大楼的正常运行。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5B7C8D">
            <w:pPr>
              <w:jc w:val="both"/>
            </w:pPr>
            <w:r>
              <w:rPr>
                <w:rFonts w:ascii="宋体" w:hAnsi="宋体" w:eastAsia="宋体"/>
                <w:sz w:val="16"/>
              </w:rPr>
              <w:t>每月按时缴纳一栋大楼电费，保证供电的稳定性，确保大楼工作人员正常工作，有助于维持整栋大楼的正常运行。资金支付及时率95%。资金支付额29.21万元，完成计划的93.44%，大楼正常运行得到了保障，职工满意度100%。</w:t>
            </w:r>
          </w:p>
        </w:tc>
      </w:tr>
      <w:tr w14:paraId="23044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5C7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C0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51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23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8E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9B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EDC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05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D5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B7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F6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2A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1B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2560">
            <w:pPr>
              <w:jc w:val="center"/>
            </w:pPr>
            <w:r>
              <w:rPr>
                <w:rFonts w:ascii="宋体" w:hAnsi="宋体" w:eastAsia="宋体"/>
                <w:sz w:val="16"/>
              </w:rPr>
              <w:t>偏差原因分析及改进措施</w:t>
            </w:r>
          </w:p>
        </w:tc>
      </w:tr>
      <w:tr w14:paraId="668C88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F08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F22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56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51EB">
            <w:pPr>
              <w:jc w:val="center"/>
            </w:pPr>
            <w:r>
              <w:rPr>
                <w:rFonts w:ascii="宋体" w:hAnsi="宋体" w:eastAsia="宋体"/>
                <w:sz w:val="16"/>
              </w:rPr>
              <w:t>电费缴纳次数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679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9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0C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1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6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D0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C64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8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86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874E">
            <w:pPr>
              <w:jc w:val="center"/>
            </w:pPr>
          </w:p>
        </w:tc>
      </w:tr>
      <w:tr w14:paraId="0FDEA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93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70A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85E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98CA">
            <w:pPr>
              <w:jc w:val="center"/>
            </w:pPr>
            <w:r>
              <w:rPr>
                <w:rFonts w:ascii="宋体" w:hAnsi="宋体" w:eastAsia="宋体"/>
                <w:sz w:val="16"/>
              </w:rPr>
              <w:t>电费支付准确率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7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E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0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E8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1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AF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2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4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1F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F1F9">
            <w:pPr>
              <w:jc w:val="center"/>
            </w:pPr>
          </w:p>
        </w:tc>
      </w:tr>
      <w:tr w14:paraId="35C40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C0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F9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CE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E8E7">
            <w:pPr>
              <w:jc w:val="center"/>
            </w:pPr>
            <w:r>
              <w:rPr>
                <w:rFonts w:ascii="宋体" w:hAnsi="宋体" w:eastAsia="宋体"/>
                <w:sz w:val="16"/>
              </w:rPr>
              <w:t>供电保障率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F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4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F3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53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7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E1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3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B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C1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54A3">
            <w:pPr>
              <w:jc w:val="center"/>
            </w:pPr>
          </w:p>
        </w:tc>
      </w:tr>
      <w:tr w14:paraId="4C803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90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E3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E2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F75E">
            <w:pPr>
              <w:jc w:val="center"/>
            </w:pPr>
            <w:r>
              <w:rPr>
                <w:rFonts w:ascii="宋体" w:hAnsi="宋体" w:eastAsia="宋体"/>
                <w:sz w:val="16"/>
              </w:rPr>
              <w:t>电费缴纳及时率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CC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9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2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F9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3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C6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60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D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9D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130B">
            <w:pPr>
              <w:jc w:val="center"/>
            </w:pPr>
          </w:p>
        </w:tc>
      </w:tr>
      <w:tr w14:paraId="795B6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ACF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16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42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D4CF">
            <w:pPr>
              <w:jc w:val="center"/>
            </w:pPr>
            <w:r>
              <w:rPr>
                <w:rFonts w:ascii="宋体" w:hAnsi="宋体" w:eastAsia="宋体"/>
                <w:sz w:val="16"/>
              </w:rPr>
              <w:t>每月缴纳电费成本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1B9E">
            <w:pPr>
              <w:jc w:val="center"/>
            </w:pPr>
            <w:r>
              <w:rPr>
                <w:rFonts w:ascii="宋体" w:hAnsi="宋体" w:eastAsia="宋体"/>
                <w:sz w:val="16"/>
              </w:rPr>
              <w:t>&lt;=2.60万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3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E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E0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A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EE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FD1C">
            <w:pPr>
              <w:jc w:val="center"/>
            </w:pPr>
            <w:r>
              <w:rPr>
                <w:rFonts w:ascii="宋体" w:hAnsi="宋体" w:eastAsia="宋体"/>
                <w:sz w:val="16"/>
              </w:rPr>
              <w:t>=2.43万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E6E7">
            <w:pPr>
              <w:jc w:val="center"/>
            </w:pPr>
            <w:r>
              <w:rPr>
                <w:rFonts w:ascii="宋体" w:hAnsi="宋体" w:eastAsia="宋体"/>
                <w:sz w:val="16"/>
              </w:rPr>
              <w:t>93.62%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78DD">
            <w:pPr>
              <w:jc w:val="center"/>
            </w:pPr>
            <w:r>
              <w:rPr>
                <w:rFonts w:ascii="宋体" w:hAnsi="宋体" w:eastAsia="宋体"/>
                <w:sz w:val="16"/>
              </w:rPr>
              <w:t>16.81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D188">
            <w:pPr>
              <w:jc w:val="center"/>
            </w:pPr>
            <w:r>
              <w:rPr>
                <w:rFonts w:ascii="宋体" w:hAnsi="宋体" w:eastAsia="宋体"/>
                <w:sz w:val="16"/>
              </w:rPr>
              <w:t>实际用电量减少。</w:t>
            </w:r>
          </w:p>
        </w:tc>
      </w:tr>
      <w:tr w14:paraId="15190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E6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05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0B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3850">
            <w:pPr>
              <w:jc w:val="center"/>
            </w:pPr>
            <w:r>
              <w:rPr>
                <w:rFonts w:ascii="宋体" w:hAnsi="宋体" w:eastAsia="宋体"/>
                <w:sz w:val="16"/>
              </w:rPr>
              <w:t>保障疾控中心大楼正常运行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B00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5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7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D1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B4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D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7A1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C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67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470F">
            <w:pPr>
              <w:jc w:val="center"/>
            </w:pPr>
          </w:p>
        </w:tc>
      </w:tr>
      <w:tr w14:paraId="07087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8F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11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2B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B46B">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04B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0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9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F9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55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6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8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A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F8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EE53">
            <w:pPr>
              <w:jc w:val="center"/>
            </w:pPr>
          </w:p>
        </w:tc>
      </w:tr>
      <w:tr w14:paraId="6008F4B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2005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81B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450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9F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B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01E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73B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54D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0D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782A">
            <w:pPr>
              <w:jc w:val="center"/>
            </w:pPr>
            <w:r>
              <w:rPr>
                <w:rFonts w:ascii="宋体" w:hAnsi="宋体" w:eastAsia="宋体"/>
                <w:sz w:val="16"/>
              </w:rPr>
              <w:t>95.17分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2255C"/>
        </w:tc>
      </w:tr>
    </w:tbl>
    <w:p w14:paraId="2A6BC88B">
      <w:r>
        <w:br w:type="page"/>
      </w:r>
    </w:p>
    <w:p w14:paraId="29CB3E4B">
      <w:pPr>
        <w:spacing w:line="640" w:lineRule="exact"/>
        <w:ind w:firstLine="640"/>
        <w:jc w:val="both"/>
        <w:outlineLvl w:val="2"/>
      </w:pPr>
      <w:r>
        <w:rPr>
          <w:rFonts w:ascii="黑体" w:hAnsi="黑体" w:eastAsia="黑体"/>
          <w:sz w:val="32"/>
        </w:rPr>
        <w:t>十二、其他需说明的事项</w:t>
      </w:r>
    </w:p>
    <w:p w14:paraId="2B53B86C">
      <w:pPr>
        <w:spacing w:line="580" w:lineRule="exact"/>
        <w:ind w:firstLine="640"/>
        <w:jc w:val="both"/>
      </w:pPr>
      <w:r>
        <w:rPr>
          <w:rFonts w:ascii="仿宋_GB2312" w:hAnsi="仿宋_GB2312" w:eastAsia="仿宋_GB2312"/>
          <w:b w:val="0"/>
          <w:sz w:val="32"/>
        </w:rPr>
        <w:t>本年度本单位整体绩效自评表由主管部门编报并公开。</w:t>
      </w:r>
    </w:p>
    <w:p w14:paraId="60F9063A">
      <w:r>
        <w:br w:type="page"/>
      </w:r>
    </w:p>
    <w:p w14:paraId="75F497F0">
      <w:pPr>
        <w:spacing w:line="240" w:lineRule="auto"/>
        <w:jc w:val="center"/>
        <w:outlineLvl w:val="1"/>
      </w:pPr>
      <w:r>
        <w:rPr>
          <w:rFonts w:ascii="黑体" w:hAnsi="黑体" w:eastAsia="黑体"/>
          <w:sz w:val="32"/>
        </w:rPr>
        <w:t>第三部分 专业名词解释</w:t>
      </w:r>
    </w:p>
    <w:p w14:paraId="6529BD8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DAC1B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902F9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4CE91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C6DB3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9E8F4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EB634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6123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9653A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A42EF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7E65D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D96816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1E71B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6DFAF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CE4053">
      <w:r>
        <w:br w:type="page"/>
      </w:r>
    </w:p>
    <w:p w14:paraId="33B1BE93">
      <w:pPr>
        <w:spacing w:line="240" w:lineRule="auto"/>
        <w:jc w:val="center"/>
        <w:outlineLvl w:val="1"/>
      </w:pPr>
      <w:r>
        <w:rPr>
          <w:rFonts w:ascii="黑体" w:hAnsi="黑体" w:eastAsia="黑体"/>
          <w:sz w:val="32"/>
        </w:rPr>
        <w:t>第四部分 部门决算报表（见附表）</w:t>
      </w:r>
    </w:p>
    <w:p w14:paraId="150B7297">
      <w:pPr>
        <w:spacing w:line="240" w:lineRule="auto"/>
        <w:ind w:firstLine="640"/>
        <w:jc w:val="both"/>
      </w:pPr>
      <w:r>
        <w:rPr>
          <w:rFonts w:ascii="仿宋_GB2312" w:hAnsi="仿宋_GB2312" w:eastAsia="仿宋_GB2312"/>
          <w:b w:val="0"/>
          <w:sz w:val="32"/>
        </w:rPr>
        <w:t>一、《收入支出决算总表》</w:t>
      </w:r>
    </w:p>
    <w:p w14:paraId="493AF7AE">
      <w:pPr>
        <w:spacing w:line="240" w:lineRule="auto"/>
        <w:ind w:firstLine="640"/>
        <w:jc w:val="both"/>
      </w:pPr>
      <w:r>
        <w:rPr>
          <w:rFonts w:ascii="仿宋_GB2312" w:hAnsi="仿宋_GB2312" w:eastAsia="仿宋_GB2312"/>
          <w:b w:val="0"/>
          <w:sz w:val="32"/>
        </w:rPr>
        <w:t>二、《收入决算表》</w:t>
      </w:r>
    </w:p>
    <w:p w14:paraId="628484BB">
      <w:pPr>
        <w:spacing w:line="240" w:lineRule="auto"/>
        <w:ind w:firstLine="640"/>
        <w:jc w:val="both"/>
      </w:pPr>
      <w:r>
        <w:rPr>
          <w:rFonts w:ascii="仿宋_GB2312" w:hAnsi="仿宋_GB2312" w:eastAsia="仿宋_GB2312"/>
          <w:b w:val="0"/>
          <w:sz w:val="32"/>
        </w:rPr>
        <w:t>三、《支出决算表》</w:t>
      </w:r>
    </w:p>
    <w:p w14:paraId="22568A67">
      <w:pPr>
        <w:spacing w:line="240" w:lineRule="auto"/>
        <w:ind w:firstLine="640"/>
        <w:jc w:val="both"/>
      </w:pPr>
      <w:r>
        <w:rPr>
          <w:rFonts w:ascii="仿宋_GB2312" w:hAnsi="仿宋_GB2312" w:eastAsia="仿宋_GB2312"/>
          <w:b w:val="0"/>
          <w:sz w:val="32"/>
        </w:rPr>
        <w:t>四、《财政拨款收入支出决算总表》</w:t>
      </w:r>
    </w:p>
    <w:p w14:paraId="41410CD9">
      <w:pPr>
        <w:spacing w:line="240" w:lineRule="auto"/>
        <w:ind w:firstLine="640"/>
        <w:jc w:val="both"/>
      </w:pPr>
      <w:r>
        <w:rPr>
          <w:rFonts w:ascii="仿宋_GB2312" w:hAnsi="仿宋_GB2312" w:eastAsia="仿宋_GB2312"/>
          <w:b w:val="0"/>
          <w:sz w:val="32"/>
        </w:rPr>
        <w:t>五、《一般公共预算财政拨款支出决算表》</w:t>
      </w:r>
    </w:p>
    <w:p w14:paraId="00EA0FEE">
      <w:pPr>
        <w:spacing w:line="240" w:lineRule="auto"/>
        <w:ind w:firstLine="640"/>
        <w:jc w:val="both"/>
      </w:pPr>
      <w:r>
        <w:rPr>
          <w:rFonts w:ascii="仿宋_GB2312" w:hAnsi="仿宋_GB2312" w:eastAsia="仿宋_GB2312"/>
          <w:b w:val="0"/>
          <w:sz w:val="32"/>
        </w:rPr>
        <w:t>六、《一般公共预算财政拨款基本支出决算表》</w:t>
      </w:r>
    </w:p>
    <w:p w14:paraId="7BB9D261">
      <w:pPr>
        <w:spacing w:line="240" w:lineRule="auto"/>
        <w:ind w:firstLine="640"/>
        <w:jc w:val="both"/>
      </w:pPr>
      <w:r>
        <w:rPr>
          <w:rFonts w:ascii="仿宋_GB2312" w:hAnsi="仿宋_GB2312" w:eastAsia="仿宋_GB2312"/>
          <w:b w:val="0"/>
          <w:sz w:val="32"/>
        </w:rPr>
        <w:t>七、《政府性基金预算财政拨款收入支出决算表》</w:t>
      </w:r>
    </w:p>
    <w:p w14:paraId="332733DA">
      <w:pPr>
        <w:spacing w:line="240" w:lineRule="auto"/>
        <w:ind w:firstLine="640"/>
        <w:jc w:val="both"/>
      </w:pPr>
      <w:r>
        <w:rPr>
          <w:rFonts w:ascii="仿宋_GB2312" w:hAnsi="仿宋_GB2312" w:eastAsia="仿宋_GB2312"/>
          <w:b w:val="0"/>
          <w:sz w:val="32"/>
        </w:rPr>
        <w:t>八、《国有资本经营预算财政拨款收入支出决算表》</w:t>
      </w:r>
    </w:p>
    <w:p w14:paraId="6301F586">
      <w:pPr>
        <w:spacing w:line="240" w:lineRule="auto"/>
        <w:ind w:firstLine="640"/>
        <w:jc w:val="both"/>
      </w:pPr>
      <w:r>
        <w:rPr>
          <w:rFonts w:ascii="仿宋_GB2312" w:hAnsi="仿宋_GB2312" w:eastAsia="仿宋_GB2312"/>
          <w:b w:val="0"/>
          <w:sz w:val="32"/>
        </w:rPr>
        <w:t>九、《财政拨款“三公”经费支出决算表》</w:t>
      </w:r>
    </w:p>
    <w:p w14:paraId="6BFEFA91">
      <w:pPr>
        <w:spacing w:line="240" w:lineRule="auto"/>
        <w:ind w:firstLine="640"/>
        <w:jc w:val="both"/>
      </w:pPr>
    </w:p>
    <w:p w14:paraId="50EA58CC">
      <w:pPr>
        <w:spacing w:line="240" w:lineRule="auto"/>
        <w:ind w:firstLine="640"/>
        <w:jc w:val="both"/>
      </w:pPr>
    </w:p>
    <w:p w14:paraId="67B4FCF6">
      <w:pPr>
        <w:spacing w:line="240" w:lineRule="auto"/>
        <w:ind w:firstLine="640"/>
        <w:jc w:val="both"/>
      </w:pPr>
    </w:p>
    <w:p w14:paraId="7A7651A9">
      <w:pPr>
        <w:spacing w:line="240" w:lineRule="auto"/>
        <w:ind w:firstLine="640"/>
        <w:jc w:val="both"/>
      </w:pPr>
    </w:p>
    <w:p w14:paraId="66DC7C0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0F4188-DC5F-4A47-9176-2AF6D5BAF0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6317451-EF4C-4280-8A7B-D586B65CD382}"/>
  </w:font>
  <w:font w:name="仿宋_GB2312">
    <w:panose1 w:val="02010609030101010101"/>
    <w:charset w:val="86"/>
    <w:family w:val="modern"/>
    <w:pitch w:val="default"/>
    <w:sig w:usb0="00000001" w:usb1="080E0000" w:usb2="00000000" w:usb3="00000000" w:csb0="00040000" w:csb1="00000000"/>
    <w:embedRegular r:id="rId3" w:fontKey="{8EF4829C-392C-4604-A036-5836565962FF}"/>
  </w:font>
  <w:font w:name="楷体_GB2312">
    <w:panose1 w:val="02010609030101010101"/>
    <w:charset w:val="86"/>
    <w:family w:val="auto"/>
    <w:pitch w:val="default"/>
    <w:sig w:usb0="00000001" w:usb1="080E0000" w:usb2="00000000" w:usb3="00000000" w:csb0="00040000" w:csb1="00000000"/>
    <w:embedRegular r:id="rId4" w:fontKey="{D51EC3E4-F979-4623-8B52-B37CFDE1B1CE}"/>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0E6317B"/>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50685B"/>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6128</Words>
  <Characters>7049</Characters>
  <Lines>0</Lines>
  <Paragraphs>0</Paragraphs>
  <TotalTime>1</TotalTime>
  <ScaleCrop>false</ScaleCrop>
  <LinksUpToDate>false</LinksUpToDate>
  <CharactersWithSpaces>7057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