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434780">
      <w:r>
        <w:br w:type="page"/>
      </w:r>
    </w:p>
    <w:p w14:paraId="3F004D5C">
      <w:pPr>
        <w:spacing w:line="640" w:lineRule="exact"/>
        <w:jc w:val="center"/>
        <w:outlineLvl w:val="1"/>
      </w:pPr>
      <w:r>
        <w:rPr>
          <w:rFonts w:ascii="黑体" w:hAnsi="黑体" w:eastAsia="黑体"/>
          <w:sz w:val="32"/>
        </w:rPr>
        <w:t>第一部分 单位概况</w:t>
      </w:r>
    </w:p>
    <w:p w14:paraId="37E79F37">
      <w:pPr>
        <w:spacing w:line="640" w:lineRule="exact"/>
        <w:ind w:firstLine="640"/>
        <w:jc w:val="both"/>
        <w:outlineLvl w:val="2"/>
      </w:pPr>
      <w:r>
        <w:rPr>
          <w:rFonts w:ascii="黑体" w:hAnsi="黑体" w:eastAsia="黑体"/>
          <w:sz w:val="32"/>
        </w:rPr>
        <w:t>一、主要职能</w:t>
      </w:r>
    </w:p>
    <w:p w14:paraId="1E8F0035">
      <w:pPr>
        <w:spacing w:line="580" w:lineRule="exact"/>
        <w:ind w:firstLine="640"/>
        <w:jc w:val="both"/>
      </w:pPr>
      <w:r>
        <w:rPr>
          <w:rFonts w:ascii="仿宋_GB2312" w:hAnsi="仿宋_GB2312" w:eastAsia="仿宋_GB2312"/>
          <w:sz w:val="32"/>
        </w:rPr>
        <w:t>（一）根据全州妇幼儿童健康情况及影响因素，协助卫生行政部门制定全州妇幼卫生工作的相关政策。</w:t>
      </w:r>
    </w:p>
    <w:p w14:paraId="550570C8">
      <w:pPr>
        <w:spacing w:line="580" w:lineRule="exact"/>
        <w:ind w:firstLine="640"/>
        <w:jc w:val="both"/>
      </w:pPr>
      <w:r>
        <w:rPr>
          <w:rFonts w:ascii="仿宋_GB2312" w:hAnsi="仿宋_GB2312" w:eastAsia="仿宋_GB2312"/>
          <w:sz w:val="32"/>
        </w:rPr>
        <w:t>（二）负责指导和开展全州妇幼保健健康教育与健康促进工作，组织实施全州母婴保健技术培训，对县市医疗保健机构开展业务指导和提供技术支持，接受下级转诊。</w:t>
      </w:r>
    </w:p>
    <w:p w14:paraId="5EA1EB47">
      <w:pPr>
        <w:spacing w:line="580" w:lineRule="exact"/>
        <w:ind w:firstLine="640"/>
        <w:jc w:val="both"/>
      </w:pPr>
      <w:r>
        <w:rPr>
          <w:rFonts w:ascii="仿宋_GB2312" w:hAnsi="仿宋_GB2312" w:eastAsia="仿宋_GB2312"/>
          <w:sz w:val="32"/>
        </w:rPr>
        <w:t>（三）负责全州孕产妇死亡、婴儿及5岁以下儿童死亡、出生缺陷人群及医院儿童营养等“六网监测”工作；负责全州妇幼卫生项目、妇幼卫生服务及技术管理、质量控制等信息的收集、统计分析和汇总上报工作。</w:t>
      </w:r>
    </w:p>
    <w:p w14:paraId="18BC78B8">
      <w:pPr>
        <w:spacing w:line="580" w:lineRule="exact"/>
        <w:ind w:firstLine="640"/>
        <w:jc w:val="both"/>
      </w:pPr>
      <w:r>
        <w:rPr>
          <w:rFonts w:ascii="仿宋_GB2312" w:hAnsi="仿宋_GB2312" w:eastAsia="仿宋_GB2312"/>
          <w:sz w:val="32"/>
        </w:rPr>
        <w:t>（四）开展妇女保健服务，包括青春期保健、婚前和孕前保健、孕产期保健、更年期保健、老年期保健，重点做好心理卫生咨询、营养指导、</w:t>
      </w:r>
      <w:r>
        <w:rPr>
          <w:rFonts w:hint="eastAsia" w:ascii="仿宋_GB2312" w:hAnsi="仿宋_GB2312" w:eastAsia="仿宋_GB2312"/>
          <w:sz w:val="32"/>
          <w:lang w:eastAsia="zh-CN"/>
        </w:rPr>
        <w:t>JHSY</w:t>
      </w:r>
      <w:r>
        <w:rPr>
          <w:rFonts w:ascii="仿宋_GB2312" w:hAnsi="仿宋_GB2312" w:eastAsia="仿宋_GB2312"/>
          <w:sz w:val="32"/>
        </w:rPr>
        <w:t>技术服务、生殖道感染、性传播疾病等妇女常见病防治。</w:t>
      </w:r>
    </w:p>
    <w:p w14:paraId="38806DA9">
      <w:pPr>
        <w:spacing w:line="580" w:lineRule="exact"/>
        <w:ind w:firstLine="640"/>
        <w:jc w:val="both"/>
      </w:pPr>
      <w:r>
        <w:rPr>
          <w:rFonts w:ascii="仿宋_GB2312" w:hAnsi="仿宋_GB2312" w:eastAsia="仿宋_GB2312"/>
          <w:sz w:val="32"/>
        </w:rPr>
        <w:t>（五）开展儿童保健服务，包括胎儿期、新生儿期、婴幼儿期、学龄前期及学龄期保健，受卫生行政部门委托对托幼园所卫生保健进行管理和业务指导，重点做好儿童早期综合发展、营养与喂养指导、生长发育监测、心理行为咨询、儿童疾病综合管理等儿童保健服务；负责婴幼儿孕育、出生、死亡、智力等调查分析。</w:t>
      </w:r>
    </w:p>
    <w:p w14:paraId="6D189624">
      <w:pPr>
        <w:spacing w:line="580" w:lineRule="exact"/>
        <w:ind w:firstLine="640"/>
        <w:jc w:val="both"/>
      </w:pPr>
      <w:r>
        <w:rPr>
          <w:rFonts w:ascii="仿宋_GB2312" w:hAnsi="仿宋_GB2312" w:eastAsia="仿宋_GB2312"/>
          <w:sz w:val="32"/>
        </w:rPr>
        <w:t>（六）推广应用妇幼卫生、生殖健康适宜技术。</w:t>
      </w:r>
    </w:p>
    <w:p w14:paraId="4B72DDDC">
      <w:pPr>
        <w:spacing w:line="580" w:lineRule="exact"/>
        <w:ind w:firstLine="640"/>
        <w:jc w:val="both"/>
      </w:pPr>
      <w:r>
        <w:rPr>
          <w:rFonts w:ascii="仿宋_GB2312" w:hAnsi="仿宋_GB2312" w:eastAsia="仿宋_GB2312"/>
          <w:sz w:val="32"/>
        </w:rPr>
        <w:t>（七）宣传国家、自治区关于人口</w:t>
      </w:r>
      <w:r>
        <w:rPr>
          <w:rFonts w:hint="eastAsia" w:ascii="仿宋_GB2312" w:hAnsi="仿宋_GB2312" w:eastAsia="仿宋_GB2312"/>
          <w:sz w:val="32"/>
          <w:lang w:eastAsia="zh-CN"/>
        </w:rPr>
        <w:t>JHSY</w:t>
      </w:r>
      <w:r>
        <w:rPr>
          <w:rFonts w:ascii="仿宋_GB2312" w:hAnsi="仿宋_GB2312" w:eastAsia="仿宋_GB2312"/>
          <w:sz w:val="32"/>
        </w:rPr>
        <w:t>政策，普及人口理论和避孕节育、优生优育科学知识，不断推进社会主义新型生育文化</w:t>
      </w:r>
      <w:r>
        <w:rPr>
          <w:rFonts w:hint="eastAsia" w:ascii="仿宋_GB2312" w:hAnsi="仿宋_GB2312" w:eastAsia="仿宋_GB2312"/>
          <w:sz w:val="32"/>
          <w:lang w:eastAsia="zh-CN"/>
        </w:rPr>
        <w:t>建设。</w:t>
      </w:r>
    </w:p>
    <w:p w14:paraId="0397E3EB">
      <w:pPr>
        <w:spacing w:line="580" w:lineRule="exact"/>
        <w:ind w:firstLine="640"/>
        <w:jc w:val="both"/>
      </w:pPr>
      <w:r>
        <w:rPr>
          <w:rFonts w:ascii="仿宋_GB2312" w:hAnsi="仿宋_GB2312" w:eastAsia="仿宋_GB2312"/>
          <w:sz w:val="32"/>
        </w:rPr>
        <w:t>（八）执行自治州相关的避孕节育、优生优育等有关</w:t>
      </w:r>
      <w:r>
        <w:rPr>
          <w:rFonts w:hint="eastAsia" w:ascii="仿宋_GB2312" w:hAnsi="仿宋_GB2312" w:eastAsia="仿宋_GB2312"/>
          <w:sz w:val="32"/>
          <w:lang w:eastAsia="zh-CN"/>
        </w:rPr>
        <w:t>JHSY</w:t>
      </w:r>
      <w:r>
        <w:rPr>
          <w:rFonts w:ascii="仿宋_GB2312" w:hAnsi="仿宋_GB2312" w:eastAsia="仿宋_GB2312"/>
          <w:sz w:val="32"/>
        </w:rPr>
        <w:t>技术服务的政策、计划，推进人口和</w:t>
      </w:r>
      <w:r>
        <w:rPr>
          <w:rFonts w:hint="eastAsia" w:ascii="仿宋_GB2312" w:hAnsi="仿宋_GB2312" w:eastAsia="仿宋_GB2312"/>
          <w:sz w:val="32"/>
          <w:lang w:eastAsia="zh-CN"/>
        </w:rPr>
        <w:t>JHSY</w:t>
      </w:r>
      <w:r>
        <w:rPr>
          <w:rFonts w:ascii="仿宋_GB2312" w:hAnsi="仿宋_GB2312" w:eastAsia="仿宋_GB2312"/>
          <w:sz w:val="32"/>
        </w:rPr>
        <w:t>技术服务项目的开发、推广和应用。</w:t>
      </w:r>
    </w:p>
    <w:p w14:paraId="004F9400">
      <w:pPr>
        <w:spacing w:line="580" w:lineRule="exact"/>
        <w:ind w:firstLine="640"/>
        <w:jc w:val="both"/>
      </w:pPr>
      <w:r>
        <w:rPr>
          <w:rFonts w:ascii="仿宋_GB2312" w:hAnsi="仿宋_GB2312" w:eastAsia="仿宋_GB2312"/>
          <w:sz w:val="32"/>
        </w:rPr>
        <w:t>（九）开展避孕节育、优生优育等技术咨询和服务。</w:t>
      </w:r>
    </w:p>
    <w:p w14:paraId="72DECF17">
      <w:pPr>
        <w:spacing w:line="580" w:lineRule="exact"/>
        <w:ind w:firstLine="640"/>
        <w:jc w:val="both"/>
      </w:pPr>
      <w:r>
        <w:rPr>
          <w:rFonts w:ascii="仿宋_GB2312" w:hAnsi="仿宋_GB2312" w:eastAsia="仿宋_GB2312"/>
          <w:sz w:val="32"/>
        </w:rPr>
        <w:t>（十）完成自治州卫生健康委员会交办的其他任务。</w:t>
      </w:r>
    </w:p>
    <w:p w14:paraId="16CC76CA">
      <w:pPr>
        <w:spacing w:line="640" w:lineRule="exact"/>
        <w:ind w:firstLine="640"/>
        <w:jc w:val="both"/>
        <w:outlineLvl w:val="2"/>
      </w:pPr>
      <w:r>
        <w:rPr>
          <w:rFonts w:ascii="黑体" w:hAnsi="黑体" w:eastAsia="黑体"/>
          <w:sz w:val="32"/>
        </w:rPr>
        <w:t>二、机构设置及人员情况</w:t>
      </w:r>
    </w:p>
    <w:p w14:paraId="5454A388">
      <w:pPr>
        <w:spacing w:line="580" w:lineRule="exact"/>
        <w:ind w:firstLine="640"/>
        <w:jc w:val="both"/>
      </w:pPr>
      <w:r>
        <w:rPr>
          <w:rFonts w:ascii="仿宋_GB2312" w:hAnsi="仿宋_GB2312" w:eastAsia="仿宋_GB2312"/>
          <w:sz w:val="32"/>
        </w:rPr>
        <w:t>巴音郭楞蒙古自治州妇幼保健计划生育服务中心2024年度，实有人数93人，其中：在职人员43人，增加0人；离休人员0人，增加0人；退休人员50人,减少1人。</w:t>
      </w:r>
    </w:p>
    <w:p w14:paraId="7B7CEFE6">
      <w:pPr>
        <w:spacing w:line="580" w:lineRule="exact"/>
        <w:ind w:firstLine="640"/>
        <w:jc w:val="both"/>
      </w:pPr>
      <w:r>
        <w:rPr>
          <w:rFonts w:ascii="仿宋_GB2312" w:hAnsi="仿宋_GB2312" w:eastAsia="仿宋_GB2312"/>
          <w:sz w:val="32"/>
        </w:rPr>
        <w:t>巴音郭楞蒙古自治州妇幼保健计划生育服务中心无下属预算单位，下设8个科室，分别是：办公室、保健部、医务护理部、药品器械科、医技科、院感科、宣传培训科、技术服务科。</w:t>
      </w:r>
    </w:p>
    <w:p w14:paraId="2CB40B7C">
      <w:r>
        <w:br w:type="page"/>
      </w:r>
    </w:p>
    <w:p w14:paraId="5AE77B40">
      <w:pPr>
        <w:spacing w:line="240" w:lineRule="auto"/>
        <w:jc w:val="center"/>
        <w:outlineLvl w:val="1"/>
      </w:pPr>
      <w:r>
        <w:rPr>
          <w:rFonts w:ascii="黑体" w:hAnsi="黑体" w:eastAsia="黑体"/>
          <w:sz w:val="32"/>
        </w:rPr>
        <w:t>第二部分 部门决算情况说明</w:t>
      </w:r>
    </w:p>
    <w:p w14:paraId="71B5D534">
      <w:pPr>
        <w:spacing w:line="640" w:lineRule="exact"/>
        <w:ind w:firstLine="640"/>
        <w:jc w:val="both"/>
        <w:outlineLvl w:val="2"/>
      </w:pPr>
      <w:r>
        <w:rPr>
          <w:rFonts w:ascii="黑体" w:hAnsi="黑体" w:eastAsia="黑体"/>
          <w:sz w:val="32"/>
        </w:rPr>
        <w:t>一、收入支出决算总体情况说明</w:t>
      </w:r>
    </w:p>
    <w:p w14:paraId="6ED80180">
      <w:pPr>
        <w:spacing w:line="580" w:lineRule="exact"/>
        <w:ind w:firstLine="640"/>
        <w:jc w:val="both"/>
      </w:pPr>
      <w:r>
        <w:rPr>
          <w:rFonts w:ascii="仿宋_GB2312" w:hAnsi="仿宋_GB2312" w:eastAsia="仿宋_GB2312"/>
          <w:b/>
          <w:sz w:val="32"/>
        </w:rPr>
        <w:t>2024年度收入总计1,155.69万元，</w:t>
      </w:r>
      <w:r>
        <w:rPr>
          <w:rFonts w:ascii="仿宋_GB2312" w:hAnsi="仿宋_GB2312" w:eastAsia="仿宋_GB2312"/>
          <w:b w:val="0"/>
          <w:sz w:val="32"/>
        </w:rPr>
        <w:t>其中：本年收入合计1,107.50万元，使用非财政拨款结余（含专用结余）0.00万元，年初结转和结余48.19万元。</w:t>
      </w:r>
    </w:p>
    <w:p w14:paraId="340C7747">
      <w:pPr>
        <w:spacing w:line="580" w:lineRule="exact"/>
        <w:ind w:firstLine="640"/>
        <w:jc w:val="both"/>
      </w:pPr>
      <w:r>
        <w:rPr>
          <w:rFonts w:ascii="仿宋_GB2312" w:hAnsi="仿宋_GB2312" w:eastAsia="仿宋_GB2312"/>
          <w:b/>
          <w:sz w:val="32"/>
        </w:rPr>
        <w:t>2024年度支出总计1,155.69万元，</w:t>
      </w:r>
      <w:r>
        <w:rPr>
          <w:rFonts w:ascii="仿宋_GB2312" w:hAnsi="仿宋_GB2312" w:eastAsia="仿宋_GB2312"/>
          <w:b w:val="0"/>
          <w:sz w:val="32"/>
        </w:rPr>
        <w:t>其中：本年支出合计1,112.86万元，结余分配0.00万元，年末结转和结余42.83万元。</w:t>
      </w:r>
    </w:p>
    <w:p w14:paraId="2F4F1A96">
      <w:pPr>
        <w:spacing w:line="580" w:lineRule="exact"/>
        <w:ind w:firstLine="640"/>
        <w:jc w:val="both"/>
      </w:pPr>
      <w:r>
        <w:rPr>
          <w:rFonts w:ascii="仿宋_GB2312" w:hAnsi="仿宋_GB2312" w:eastAsia="仿宋_GB2312"/>
          <w:b w:val="0"/>
          <w:sz w:val="32"/>
        </w:rPr>
        <w:t>收入支出总体与上年相比，增加15.32万元，增长1.34%，主要原因是：本年在职人员工资调增，社保、公积金基数调增，人员经费增加；本年增加巴州妇幼保健</w:t>
      </w:r>
      <w:r>
        <w:rPr>
          <w:rFonts w:hint="eastAsia" w:ascii="仿宋_GB2312" w:hAnsi="仿宋_GB2312" w:eastAsia="仿宋_GB2312"/>
          <w:b w:val="0"/>
          <w:sz w:val="32"/>
          <w:lang w:eastAsia="zh-CN"/>
        </w:rPr>
        <w:t>JHSY</w:t>
      </w:r>
      <w:r>
        <w:rPr>
          <w:rFonts w:ascii="仿宋_GB2312" w:hAnsi="仿宋_GB2312" w:eastAsia="仿宋_GB2312"/>
          <w:b w:val="0"/>
          <w:sz w:val="32"/>
        </w:rPr>
        <w:t>服务中心信息化建设项目。</w:t>
      </w:r>
    </w:p>
    <w:p w14:paraId="536F12C1">
      <w:pPr>
        <w:spacing w:line="640" w:lineRule="exact"/>
        <w:ind w:firstLine="640"/>
        <w:jc w:val="both"/>
        <w:outlineLvl w:val="2"/>
      </w:pPr>
      <w:r>
        <w:rPr>
          <w:rFonts w:ascii="黑体" w:hAnsi="黑体" w:eastAsia="黑体"/>
          <w:sz w:val="32"/>
        </w:rPr>
        <w:t>二、收入决算情况说明</w:t>
      </w:r>
    </w:p>
    <w:p w14:paraId="05DC2B3D">
      <w:pPr>
        <w:spacing w:line="580" w:lineRule="exact"/>
        <w:ind w:firstLine="640"/>
        <w:jc w:val="both"/>
      </w:pPr>
      <w:r>
        <w:rPr>
          <w:rFonts w:ascii="仿宋_GB2312" w:hAnsi="仿宋_GB2312" w:eastAsia="仿宋_GB2312"/>
          <w:b/>
          <w:sz w:val="32"/>
        </w:rPr>
        <w:t>本年收入1,107.50万元，</w:t>
      </w:r>
      <w:r>
        <w:rPr>
          <w:rFonts w:ascii="仿宋_GB2312" w:hAnsi="仿宋_GB2312" w:eastAsia="仿宋_GB2312"/>
          <w:b w:val="0"/>
          <w:sz w:val="32"/>
        </w:rPr>
        <w:t>其中：财政拨款收入936.12万元，占84.53%；上级补助收入0.00万元，占0.00%；事业收入168.11万元，占15.18%；经营收入0.00万元，占0.00%；附属单位上缴收入0.00万元，占0.00%；其他收入3.27万元，占0.30%。</w:t>
      </w:r>
    </w:p>
    <w:p w14:paraId="15EFD2F8">
      <w:pPr>
        <w:spacing w:line="640" w:lineRule="exact"/>
        <w:ind w:firstLine="640"/>
        <w:jc w:val="both"/>
        <w:outlineLvl w:val="2"/>
      </w:pPr>
      <w:r>
        <w:rPr>
          <w:rFonts w:ascii="黑体" w:hAnsi="黑体" w:eastAsia="黑体"/>
          <w:sz w:val="32"/>
        </w:rPr>
        <w:t>三、支出决算情况说明</w:t>
      </w:r>
    </w:p>
    <w:p w14:paraId="4136D338">
      <w:pPr>
        <w:spacing w:line="580" w:lineRule="exact"/>
        <w:ind w:firstLine="640"/>
        <w:jc w:val="both"/>
      </w:pPr>
      <w:r>
        <w:rPr>
          <w:rFonts w:ascii="仿宋_GB2312" w:hAnsi="仿宋_GB2312" w:eastAsia="仿宋_GB2312"/>
          <w:b/>
          <w:sz w:val="32"/>
        </w:rPr>
        <w:t>本年支出1,112.86万元，</w:t>
      </w:r>
      <w:r>
        <w:rPr>
          <w:rFonts w:ascii="仿宋_GB2312" w:hAnsi="仿宋_GB2312" w:eastAsia="仿宋_GB2312"/>
          <w:b w:val="0"/>
          <w:sz w:val="32"/>
        </w:rPr>
        <w:t>其中：基本支出968.19万元，占87.00%；项目支出144.67万元，占13.00%；上缴上级支出0.00万元，占0.00%；经营支出0.00万元，占0.00%；对附属单位补助支出0.00万元，占0.00%。</w:t>
      </w:r>
    </w:p>
    <w:p w14:paraId="1A47A47B">
      <w:pPr>
        <w:spacing w:line="640" w:lineRule="exact"/>
        <w:ind w:firstLine="640"/>
        <w:jc w:val="both"/>
        <w:outlineLvl w:val="2"/>
      </w:pPr>
      <w:r>
        <w:rPr>
          <w:rFonts w:ascii="黑体" w:hAnsi="黑体" w:eastAsia="黑体"/>
          <w:sz w:val="32"/>
        </w:rPr>
        <w:t>四、财政拨款收入支出决算总体情况说明</w:t>
      </w:r>
    </w:p>
    <w:p w14:paraId="15C766AC">
      <w:pPr>
        <w:spacing w:line="580" w:lineRule="exact"/>
        <w:ind w:firstLine="640"/>
        <w:jc w:val="both"/>
      </w:pPr>
      <w:r>
        <w:rPr>
          <w:rFonts w:ascii="仿宋_GB2312" w:hAnsi="仿宋_GB2312" w:eastAsia="仿宋_GB2312"/>
          <w:b/>
          <w:sz w:val="32"/>
        </w:rPr>
        <w:t>2024年度财政拨款收入总计936.12万元，</w:t>
      </w:r>
      <w:r>
        <w:rPr>
          <w:rFonts w:ascii="仿宋_GB2312" w:hAnsi="仿宋_GB2312" w:eastAsia="仿宋_GB2312"/>
          <w:b w:val="0"/>
          <w:sz w:val="32"/>
        </w:rPr>
        <w:t>其中：年初财政拨款结转和结余0.00万元，本年财政拨款收入936.12万元。</w:t>
      </w:r>
      <w:r>
        <w:rPr>
          <w:rFonts w:ascii="仿宋_GB2312" w:hAnsi="仿宋_GB2312" w:eastAsia="仿宋_GB2312"/>
          <w:b/>
          <w:sz w:val="32"/>
        </w:rPr>
        <w:t>财政拨款支出总计936.12万元，</w:t>
      </w:r>
      <w:r>
        <w:rPr>
          <w:rFonts w:ascii="仿宋_GB2312" w:hAnsi="仿宋_GB2312" w:eastAsia="仿宋_GB2312"/>
          <w:b w:val="0"/>
          <w:sz w:val="32"/>
        </w:rPr>
        <w:t>其中：年末财政拨款结转和结余0.00万元，本年财政拨款支出936.12万元。</w:t>
      </w:r>
    </w:p>
    <w:p w14:paraId="62591E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增加20.56万元，增长2.25%，主要原因是：本年在职人员工资调增，社保、公积金基数调增，人员经费增加；本年增加巴州妇幼保健</w:t>
      </w:r>
      <w:r>
        <w:rPr>
          <w:rFonts w:hint="eastAsia" w:ascii="仿宋_GB2312" w:hAnsi="仿宋_GB2312" w:eastAsia="仿宋_GB2312"/>
          <w:b w:val="0"/>
          <w:sz w:val="32"/>
          <w:lang w:eastAsia="zh-CN"/>
        </w:rPr>
        <w:t>JHSY</w:t>
      </w:r>
      <w:r>
        <w:rPr>
          <w:rFonts w:ascii="仿宋_GB2312" w:hAnsi="仿宋_GB2312" w:eastAsia="仿宋_GB2312"/>
          <w:b w:val="0"/>
          <w:sz w:val="32"/>
        </w:rPr>
        <w:t>服务中心信息化建设项目。</w:t>
      </w:r>
      <w:r>
        <w:rPr>
          <w:rFonts w:ascii="仿宋_GB2312" w:hAnsi="仿宋_GB2312" w:eastAsia="仿宋_GB2312"/>
          <w:b/>
          <w:sz w:val="32"/>
        </w:rPr>
        <w:t>与年初预算相比，</w:t>
      </w:r>
      <w:r>
        <w:rPr>
          <w:rFonts w:ascii="仿宋_GB2312" w:hAnsi="仿宋_GB2312" w:eastAsia="仿宋_GB2312"/>
          <w:b w:val="0"/>
          <w:sz w:val="32"/>
        </w:rPr>
        <w:t>年初预算数935.31万元，决算数936.12万元，预决算差异率0.09%，主要原因是：年中追加巴州妇幼保健</w:t>
      </w:r>
      <w:r>
        <w:rPr>
          <w:rFonts w:hint="eastAsia" w:ascii="仿宋_GB2312" w:hAnsi="仿宋_GB2312" w:eastAsia="仿宋_GB2312"/>
          <w:b w:val="0"/>
          <w:sz w:val="32"/>
          <w:lang w:eastAsia="zh-CN"/>
        </w:rPr>
        <w:t>JHSY</w:t>
      </w:r>
      <w:r>
        <w:rPr>
          <w:rFonts w:ascii="仿宋_GB2312" w:hAnsi="仿宋_GB2312" w:eastAsia="仿宋_GB2312"/>
          <w:b w:val="0"/>
          <w:sz w:val="32"/>
        </w:rPr>
        <w:t>服务中心信息化建设项目，导致预决算存在差异。</w:t>
      </w:r>
    </w:p>
    <w:p w14:paraId="4C2078B2">
      <w:pPr>
        <w:spacing w:line="640" w:lineRule="exact"/>
        <w:ind w:firstLine="640"/>
        <w:jc w:val="both"/>
        <w:outlineLvl w:val="2"/>
      </w:pPr>
      <w:r>
        <w:rPr>
          <w:rFonts w:ascii="黑体" w:hAnsi="黑体" w:eastAsia="黑体"/>
          <w:sz w:val="32"/>
        </w:rPr>
        <w:t>五、一般公共预算财政拨款支出决算情况说明</w:t>
      </w:r>
    </w:p>
    <w:p w14:paraId="171B3C40">
      <w:pPr>
        <w:spacing w:line="640" w:lineRule="exact"/>
        <w:ind w:firstLine="640"/>
        <w:jc w:val="both"/>
        <w:outlineLvl w:val="3"/>
      </w:pPr>
      <w:r>
        <w:rPr>
          <w:rFonts w:ascii="楷体_GB2312" w:hAnsi="楷体_GB2312" w:eastAsia="楷体_GB2312"/>
          <w:b/>
          <w:sz w:val="32"/>
        </w:rPr>
        <w:t>（一）一般公共预算财政拨款支出决算总体情况</w:t>
      </w:r>
    </w:p>
    <w:p w14:paraId="5D11DAEC">
      <w:pPr>
        <w:spacing w:line="580" w:lineRule="exact"/>
        <w:ind w:firstLine="640"/>
        <w:jc w:val="both"/>
      </w:pPr>
      <w:r>
        <w:rPr>
          <w:rFonts w:ascii="仿宋_GB2312" w:hAnsi="仿宋_GB2312" w:eastAsia="仿宋_GB2312"/>
          <w:b/>
          <w:sz w:val="32"/>
        </w:rPr>
        <w:t>2024年度一般公共预算财政拨款支出936.12万元，</w:t>
      </w:r>
      <w:r>
        <w:rPr>
          <w:rFonts w:ascii="仿宋_GB2312" w:hAnsi="仿宋_GB2312" w:eastAsia="仿宋_GB2312"/>
          <w:b w:val="0"/>
          <w:sz w:val="32"/>
        </w:rPr>
        <w:t>占本年支出合计的84.12%。</w:t>
      </w:r>
      <w:r>
        <w:rPr>
          <w:rFonts w:ascii="仿宋_GB2312" w:hAnsi="仿宋_GB2312" w:eastAsia="仿宋_GB2312"/>
          <w:b/>
          <w:sz w:val="32"/>
        </w:rPr>
        <w:t>与上年相比，</w:t>
      </w:r>
      <w:r>
        <w:rPr>
          <w:rFonts w:ascii="仿宋_GB2312" w:hAnsi="仿宋_GB2312" w:eastAsia="仿宋_GB2312"/>
          <w:b w:val="0"/>
          <w:sz w:val="32"/>
        </w:rPr>
        <w:t>增加20.56万元，增长2.25%，主要原因是：本年在职人员工资调增，社保、公积金基数调增，人员经费增加；本年增加巴州妇幼保健</w:t>
      </w:r>
      <w:r>
        <w:rPr>
          <w:rFonts w:hint="eastAsia" w:ascii="仿宋_GB2312" w:hAnsi="仿宋_GB2312" w:eastAsia="仿宋_GB2312"/>
          <w:b w:val="0"/>
          <w:sz w:val="32"/>
          <w:lang w:eastAsia="zh-CN"/>
        </w:rPr>
        <w:t>JHSY</w:t>
      </w:r>
      <w:r>
        <w:rPr>
          <w:rFonts w:ascii="仿宋_GB2312" w:hAnsi="仿宋_GB2312" w:eastAsia="仿宋_GB2312"/>
          <w:b w:val="0"/>
          <w:sz w:val="32"/>
        </w:rPr>
        <w:t>服务中心信息化建设项目。</w:t>
      </w:r>
      <w:r>
        <w:rPr>
          <w:rFonts w:ascii="仿宋_GB2312" w:hAnsi="仿宋_GB2312" w:eastAsia="仿宋_GB2312"/>
          <w:b/>
          <w:sz w:val="32"/>
        </w:rPr>
        <w:t>与年初预算相比,</w:t>
      </w:r>
      <w:r>
        <w:rPr>
          <w:rFonts w:ascii="仿宋_GB2312" w:hAnsi="仿宋_GB2312" w:eastAsia="仿宋_GB2312"/>
          <w:b w:val="0"/>
          <w:sz w:val="32"/>
        </w:rPr>
        <w:t>年初预算数935.31万元，决算数936.12万元，预决算差异率0.09%，主要原因是：年中追加巴州妇幼保健</w:t>
      </w:r>
      <w:r>
        <w:rPr>
          <w:rFonts w:hint="eastAsia" w:ascii="仿宋_GB2312" w:hAnsi="仿宋_GB2312" w:eastAsia="仿宋_GB2312"/>
          <w:b w:val="0"/>
          <w:sz w:val="32"/>
          <w:lang w:eastAsia="zh-CN"/>
        </w:rPr>
        <w:t>JHSY</w:t>
      </w:r>
      <w:r>
        <w:rPr>
          <w:rFonts w:ascii="仿宋_GB2312" w:hAnsi="仿宋_GB2312" w:eastAsia="仿宋_GB2312"/>
          <w:b w:val="0"/>
          <w:sz w:val="32"/>
        </w:rPr>
        <w:t>服务中心信息化建设项目，导致预决算存在差异。</w:t>
      </w:r>
    </w:p>
    <w:p w14:paraId="7BAC243A">
      <w:pPr>
        <w:spacing w:line="640" w:lineRule="exact"/>
        <w:ind w:firstLine="640"/>
        <w:jc w:val="both"/>
        <w:outlineLvl w:val="3"/>
      </w:pPr>
      <w:r>
        <w:rPr>
          <w:rFonts w:ascii="楷体_GB2312" w:hAnsi="楷体_GB2312" w:eastAsia="楷体_GB2312"/>
          <w:b/>
          <w:sz w:val="32"/>
        </w:rPr>
        <w:t>（二）一般公共预算财政拨款支出决算结构情况</w:t>
      </w:r>
    </w:p>
    <w:p w14:paraId="5A0C0A90">
      <w:pPr>
        <w:spacing w:line="580" w:lineRule="exact"/>
        <w:ind w:firstLine="640"/>
        <w:jc w:val="both"/>
      </w:pPr>
      <w:r>
        <w:rPr>
          <w:rFonts w:ascii="仿宋_GB2312" w:hAnsi="仿宋_GB2312" w:eastAsia="仿宋_GB2312"/>
          <w:b w:val="0"/>
          <w:sz w:val="32"/>
        </w:rPr>
        <w:t>1.教育支出(类)0.08万元,占0.009%。</w:t>
      </w:r>
    </w:p>
    <w:p w14:paraId="0F50B4A1">
      <w:pPr>
        <w:spacing w:line="580" w:lineRule="exact"/>
        <w:ind w:firstLine="640"/>
        <w:jc w:val="both"/>
      </w:pPr>
      <w:r>
        <w:rPr>
          <w:rFonts w:ascii="仿宋_GB2312" w:hAnsi="仿宋_GB2312" w:eastAsia="仿宋_GB2312"/>
          <w:b w:val="0"/>
          <w:sz w:val="32"/>
        </w:rPr>
        <w:t>2.社会保障和就业支出(类)120.87万元,占12.91%。</w:t>
      </w:r>
    </w:p>
    <w:p w14:paraId="000F353E">
      <w:pPr>
        <w:spacing w:line="580" w:lineRule="exact"/>
        <w:ind w:firstLine="640"/>
        <w:jc w:val="both"/>
      </w:pPr>
      <w:r>
        <w:rPr>
          <w:rFonts w:ascii="仿宋_GB2312" w:hAnsi="仿宋_GB2312" w:eastAsia="仿宋_GB2312"/>
          <w:b w:val="0"/>
          <w:sz w:val="32"/>
        </w:rPr>
        <w:t>3.卫生健康支出(类)759.09万元,占81.09%。</w:t>
      </w:r>
    </w:p>
    <w:p w14:paraId="5B132C88">
      <w:pPr>
        <w:spacing w:line="580" w:lineRule="exact"/>
        <w:ind w:firstLine="640"/>
        <w:jc w:val="both"/>
      </w:pPr>
      <w:r>
        <w:rPr>
          <w:rFonts w:ascii="仿宋_GB2312" w:hAnsi="仿宋_GB2312" w:eastAsia="仿宋_GB2312"/>
          <w:b w:val="0"/>
          <w:sz w:val="32"/>
        </w:rPr>
        <w:t>4.住房保障支出(类)56.07万元,占5.99%。</w:t>
      </w:r>
    </w:p>
    <w:p w14:paraId="397606F3">
      <w:pPr>
        <w:spacing w:line="640" w:lineRule="exact"/>
        <w:ind w:firstLine="640"/>
        <w:jc w:val="both"/>
        <w:outlineLvl w:val="3"/>
      </w:pPr>
      <w:r>
        <w:rPr>
          <w:rFonts w:ascii="楷体_GB2312" w:hAnsi="楷体_GB2312" w:eastAsia="楷体_GB2312"/>
          <w:b/>
          <w:sz w:val="32"/>
        </w:rPr>
        <w:t>（三）一般公共预算财政拨款支出决算具体情况</w:t>
      </w:r>
    </w:p>
    <w:p w14:paraId="56AB7DB2">
      <w:pPr>
        <w:spacing w:line="580" w:lineRule="exact"/>
        <w:ind w:firstLine="640"/>
        <w:jc w:val="both"/>
      </w:pPr>
      <w:r>
        <w:rPr>
          <w:rFonts w:ascii="仿宋_GB2312" w:hAnsi="仿宋_GB2312" w:eastAsia="仿宋_GB2312"/>
          <w:b w:val="0"/>
          <w:sz w:val="32"/>
        </w:rPr>
        <w:t>1.教育支出(类)进修及培训(款)培训支出(项):支出决算数为0.08万元，比上年决算减少1.65万元，下降95.38%,主要原因是：本年减少外出培训次数，相应</w:t>
      </w:r>
      <w:r>
        <w:rPr>
          <w:rFonts w:hint="eastAsia" w:ascii="仿宋_GB2312" w:hAnsi="仿宋_GB2312" w:eastAsia="仿宋_GB2312"/>
          <w:b w:val="0"/>
          <w:sz w:val="32"/>
          <w:lang w:val="en-US" w:eastAsia="zh-CN"/>
        </w:rPr>
        <w:t>培训费</w:t>
      </w:r>
      <w:r>
        <w:rPr>
          <w:rFonts w:ascii="仿宋_GB2312" w:hAnsi="仿宋_GB2312" w:eastAsia="仿宋_GB2312"/>
          <w:b w:val="0"/>
          <w:sz w:val="32"/>
        </w:rPr>
        <w:t>减少。</w:t>
      </w:r>
    </w:p>
    <w:p w14:paraId="45614A41">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2.社会保障和就业支出(类)行政事业单位养老支出(款)事业单位离退休(项):支出决算数为43.66万元，比上年决算增加10.18万元，增长30.41%,主要原因是：本年增加退休人员基础绩效奖，退休费支出增加。</w:t>
      </w:r>
    </w:p>
    <w:p w14:paraId="4514093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71.01万元，比上年决算增加4.87万元，增长7.36%,主要原因是：本年在职人员工资基数调增，养老缴费基数上涨，相应支出增加。</w:t>
      </w:r>
    </w:p>
    <w:p w14:paraId="084173D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6.19万元，比上年决算增加6.19万元，增长100.00%,主要原因是：本年发放上年年底退休人员的职业年金，职业年金缴费支出增加。</w:t>
      </w:r>
    </w:p>
    <w:p w14:paraId="2E75250A">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5.社会保障和就业支出(类)抚恤(款)死亡抚恤(项):支出决算数为0.00万元，比上年决算减少15.13万元，下降100.00%,主要原因是：本年死亡人员手续未办，死亡抚恤支出较上年减少。</w:t>
      </w:r>
    </w:p>
    <w:p w14:paraId="2B68E265">
      <w:pPr>
        <w:spacing w:line="580" w:lineRule="exact"/>
        <w:ind w:firstLine="640"/>
        <w:jc w:val="both"/>
      </w:pPr>
      <w:r>
        <w:rPr>
          <w:rFonts w:ascii="仿宋_GB2312" w:hAnsi="仿宋_GB2312" w:eastAsia="仿宋_GB2312"/>
          <w:b w:val="0"/>
          <w:sz w:val="32"/>
        </w:rPr>
        <w:t>6.卫生健康支出(类)公共卫生(款)妇幼保健机构(项):支出决算数为697.49万元，比上年决算增加35.34万元，增长5.34%,主要原因是：本年在职人员工资调增，导致相关人员经费较上年有所增加；本年增加中心信息化建设项目资金。</w:t>
      </w:r>
    </w:p>
    <w:p w14:paraId="73FC57CC">
      <w:pPr>
        <w:spacing w:line="580" w:lineRule="exact"/>
        <w:ind w:firstLine="640"/>
        <w:jc w:val="both"/>
      </w:pPr>
      <w:r>
        <w:rPr>
          <w:rFonts w:ascii="仿宋_GB2312" w:hAnsi="仿宋_GB2312" w:eastAsia="仿宋_GB2312"/>
          <w:b w:val="0"/>
          <w:sz w:val="32"/>
        </w:rPr>
        <w:t>7.卫生健康支出(类)公共卫生(款)基本公共卫生服务(项):支出决算数为16.94万元，比上年决算增加7.09万元，增长71.98%,主要原因是：本年中央基本公共卫生服务补助较上年增加。</w:t>
      </w:r>
    </w:p>
    <w:p w14:paraId="78C69AF2">
      <w:pPr>
        <w:spacing w:line="580" w:lineRule="exact"/>
        <w:ind w:firstLine="640"/>
        <w:jc w:val="both"/>
      </w:pPr>
      <w:r>
        <w:rPr>
          <w:rFonts w:ascii="仿宋_GB2312" w:hAnsi="仿宋_GB2312" w:eastAsia="仿宋_GB2312"/>
          <w:b w:val="0"/>
          <w:sz w:val="32"/>
        </w:rPr>
        <w:t>8.卫生健康支出(类)公共卫生(款)重大公共卫生服务(项):支出决算数为12.50万元，比上年决算减少4.51万元，下降26.51%,主要原因是：本年重大传染病防控经费较上年减少。</w:t>
      </w:r>
    </w:p>
    <w:p w14:paraId="56C9B412">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9.卫生健康支出(类)公共卫生(款)突发公共卫生事件应急处理(项):支出决算数为0.00万元，比上年决算减少30.70万元，下降100.00%,主要原因是：本年减少中央财政</w:t>
      </w:r>
      <w:r>
        <w:rPr>
          <w:rFonts w:hint="eastAsia" w:ascii="仿宋_GB2312" w:hAnsi="仿宋_GB2312" w:eastAsia="仿宋_GB2312"/>
          <w:b w:val="0"/>
          <w:sz w:val="32"/>
          <w:lang w:eastAsia="zh-CN"/>
        </w:rPr>
        <w:t>YQ</w:t>
      </w:r>
      <w:r>
        <w:rPr>
          <w:rFonts w:ascii="仿宋_GB2312" w:hAnsi="仿宋_GB2312" w:eastAsia="仿宋_GB2312"/>
          <w:b w:val="0"/>
          <w:sz w:val="32"/>
        </w:rPr>
        <w:t>防控补助资金。</w:t>
      </w:r>
    </w:p>
    <w:p w14:paraId="76EC8ABA">
      <w:pPr>
        <w:spacing w:line="580" w:lineRule="exact"/>
        <w:ind w:firstLine="640"/>
        <w:jc w:val="both"/>
      </w:pPr>
      <w:r>
        <w:rPr>
          <w:rFonts w:ascii="仿宋_GB2312" w:hAnsi="仿宋_GB2312" w:eastAsia="仿宋_GB2312"/>
          <w:b w:val="0"/>
          <w:sz w:val="32"/>
        </w:rPr>
        <w:t>10.卫生健康支出(类)行政事业单位医疗(款)事业单位医疗(项):支出决算数为31.07万元，比上年决算增加1.89万元，增长6.48%,主要原因是：本年在职人员工资基数调增，医疗缴费基数上涨，相应支出增加。</w:t>
      </w:r>
    </w:p>
    <w:p w14:paraId="30F2D617">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1.10万元，比上年决算减少1.10万元，下降50.00%,主要原因是：因退休人员医疗保险制度改革，退休人员基本医疗不再由单位缴纳，导致经费较上年减少。</w:t>
      </w:r>
    </w:p>
    <w:p w14:paraId="17102616">
      <w:pPr>
        <w:spacing w:line="580" w:lineRule="exact"/>
        <w:ind w:firstLine="640"/>
        <w:jc w:val="both"/>
      </w:pPr>
      <w:r>
        <w:rPr>
          <w:rFonts w:ascii="仿宋_GB2312" w:hAnsi="仿宋_GB2312" w:eastAsia="仿宋_GB2312"/>
          <w:b w:val="0"/>
          <w:sz w:val="32"/>
        </w:rPr>
        <w:t>12.住房保障支出(类)住房改革支出(款)住房公积金(项):支出决算数为56.07万元，比上年决算增加8.07万元，增长16.81%,主要原因是：本年在职人员工资基数调增，公积金缴费基数上涨，相应支出增加。</w:t>
      </w:r>
    </w:p>
    <w:p w14:paraId="5934261D">
      <w:pPr>
        <w:spacing w:line="640" w:lineRule="exact"/>
        <w:ind w:firstLine="640"/>
        <w:jc w:val="both"/>
        <w:outlineLvl w:val="2"/>
      </w:pPr>
      <w:r>
        <w:rPr>
          <w:rFonts w:ascii="黑体" w:hAnsi="黑体" w:eastAsia="黑体"/>
          <w:sz w:val="32"/>
        </w:rPr>
        <w:t>六、一般公共预算财政拨款基本支出决算情况说明</w:t>
      </w:r>
    </w:p>
    <w:p w14:paraId="493F8222">
      <w:pPr>
        <w:spacing w:line="580" w:lineRule="exact"/>
        <w:ind w:firstLine="640"/>
        <w:jc w:val="both"/>
      </w:pPr>
      <w:r>
        <w:rPr>
          <w:rFonts w:ascii="仿宋_GB2312" w:hAnsi="仿宋_GB2312" w:eastAsia="仿宋_GB2312"/>
          <w:b w:val="0"/>
          <w:sz w:val="32"/>
        </w:rPr>
        <w:t>2024年度一般公共预算财政拨款基本支出834.05万元，其中：</w:t>
      </w:r>
      <w:r>
        <w:rPr>
          <w:rFonts w:ascii="仿宋_GB2312" w:hAnsi="仿宋_GB2312" w:eastAsia="仿宋_GB2312"/>
          <w:b/>
          <w:sz w:val="32"/>
        </w:rPr>
        <w:t>人员经费730.09万元，</w:t>
      </w:r>
      <w:r>
        <w:rPr>
          <w:rFonts w:ascii="仿宋_GB2312" w:hAnsi="仿宋_GB2312" w:eastAsia="仿宋_GB2312"/>
          <w:b w:val="0"/>
          <w:sz w:val="32"/>
        </w:rPr>
        <w:t>包括：基本工资、津贴补贴、奖金、伙食补助费、绩效工资、机关事业单位基本养老保险缴费、职业年金缴费、职工基本医疗保险缴费、其他社会保障缴费、住房公积金、退休费、生活补助、奖励金。</w:t>
      </w:r>
    </w:p>
    <w:p w14:paraId="2214AE1D">
      <w:pPr>
        <w:spacing w:line="580" w:lineRule="exact"/>
        <w:ind w:firstLine="640"/>
        <w:jc w:val="both"/>
      </w:pPr>
      <w:r>
        <w:rPr>
          <w:rFonts w:ascii="仿宋_GB2312" w:hAnsi="仿宋_GB2312" w:eastAsia="仿宋_GB2312"/>
          <w:b/>
          <w:sz w:val="32"/>
        </w:rPr>
        <w:t>公用经费103.95万元，</w:t>
      </w:r>
      <w:r>
        <w:rPr>
          <w:rFonts w:ascii="仿宋_GB2312" w:hAnsi="仿宋_GB2312" w:eastAsia="仿宋_GB2312"/>
          <w:b w:val="0"/>
          <w:sz w:val="32"/>
        </w:rPr>
        <w:t>包括：办公费、咨询费、水费、电费、邮电费、取暖费、物业管理费、差旅费、维修（护）费、培训费、劳务费、工会经费、福利费、公务用车运行维护费、其他商品和服务支出、办公设备购置、专用设备购置、其他交通工具购置。</w:t>
      </w:r>
    </w:p>
    <w:p w14:paraId="3051E55F">
      <w:pPr>
        <w:spacing w:line="640" w:lineRule="exact"/>
        <w:ind w:firstLine="640"/>
        <w:jc w:val="both"/>
        <w:outlineLvl w:val="2"/>
      </w:pPr>
      <w:r>
        <w:rPr>
          <w:rFonts w:ascii="黑体" w:hAnsi="黑体" w:eastAsia="黑体"/>
          <w:sz w:val="32"/>
        </w:rPr>
        <w:t>七、政府性基金预算财政拨款收入支出决算情况说明</w:t>
      </w:r>
    </w:p>
    <w:p w14:paraId="7464E06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4186CD9">
      <w:pPr>
        <w:spacing w:line="640" w:lineRule="exact"/>
        <w:ind w:firstLine="640"/>
        <w:jc w:val="both"/>
        <w:outlineLvl w:val="2"/>
      </w:pPr>
      <w:r>
        <w:rPr>
          <w:rFonts w:ascii="黑体" w:hAnsi="黑体" w:eastAsia="黑体"/>
          <w:sz w:val="32"/>
        </w:rPr>
        <w:t>八、国有资本经营预算财政拨款收入支出决算情况说明</w:t>
      </w:r>
    </w:p>
    <w:p w14:paraId="7C835BD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AE8DF62">
      <w:pPr>
        <w:spacing w:line="640" w:lineRule="exact"/>
        <w:ind w:firstLine="640"/>
        <w:jc w:val="both"/>
        <w:outlineLvl w:val="2"/>
      </w:pPr>
      <w:r>
        <w:rPr>
          <w:rFonts w:ascii="黑体" w:hAnsi="黑体" w:eastAsia="黑体"/>
          <w:sz w:val="32"/>
        </w:rPr>
        <w:t>九、财政拨款“三公”经费支出决算情况说明</w:t>
      </w:r>
    </w:p>
    <w:p w14:paraId="3CB79B5C">
      <w:pPr>
        <w:spacing w:line="580" w:lineRule="exact"/>
        <w:ind w:firstLine="640"/>
        <w:jc w:val="both"/>
      </w:pPr>
      <w:r>
        <w:rPr>
          <w:rFonts w:ascii="仿宋_GB2312" w:hAnsi="仿宋_GB2312" w:eastAsia="仿宋_GB2312"/>
          <w:b/>
          <w:sz w:val="32"/>
        </w:rPr>
        <w:t>2024年度财政拨款“三公”经费支出2.77万元，</w:t>
      </w:r>
      <w:r>
        <w:rPr>
          <w:rFonts w:ascii="仿宋_GB2312" w:hAnsi="仿宋_GB2312" w:eastAsia="仿宋_GB2312"/>
          <w:b w:val="0"/>
          <w:sz w:val="32"/>
        </w:rPr>
        <w:t>比上年减少0.04万元，下降1.42%，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2.77万元，占100.00%，比上年减少0.04万元，下降1.42%，主要原因是：严格落实中央八项规定精神，厉行节约，减少公务用车运行维护费。公务接待费支出0.00万元，占0.00%，比上年增加0.00万元，增长0.00%，主要原因是：2023年与2024年均未安排公务接待费支出。</w:t>
      </w:r>
    </w:p>
    <w:p w14:paraId="2FD79DA5">
      <w:pPr>
        <w:spacing w:line="580" w:lineRule="exact"/>
        <w:ind w:firstLine="640"/>
        <w:jc w:val="both"/>
      </w:pPr>
      <w:r>
        <w:rPr>
          <w:rFonts w:ascii="仿宋_GB2312" w:hAnsi="仿宋_GB2312" w:eastAsia="仿宋_GB2312"/>
          <w:b/>
          <w:sz w:val="32"/>
        </w:rPr>
        <w:t>具体情况如下：</w:t>
      </w:r>
    </w:p>
    <w:p w14:paraId="2A3BEDB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7C972C">
      <w:pPr>
        <w:spacing w:line="580" w:lineRule="exact"/>
        <w:ind w:firstLine="640"/>
        <w:jc w:val="both"/>
      </w:pPr>
      <w:r>
        <w:rPr>
          <w:rFonts w:ascii="仿宋_GB2312" w:hAnsi="仿宋_GB2312" w:eastAsia="仿宋_GB2312"/>
          <w:b w:val="0"/>
          <w:sz w:val="32"/>
        </w:rPr>
        <w:t>公务用车购置及运行维护费2.77万元，其中：公务用车购置费0.00万元，公务用车运行维护费2.77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1482CDD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3BBE6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2.77万元，决算数2.77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2.77万元，决算数2.77万元，预决算差异率0.00%，主要原因是：严格按照预算执行，预决算无差异。公务接待费全年预算数0.00万元，决算数0.00万元，预决算差异率0.00%，主要原因是：本单位无公务接待费。</w:t>
      </w:r>
    </w:p>
    <w:p w14:paraId="37B98EF6">
      <w:pPr>
        <w:spacing w:line="640" w:lineRule="exact"/>
        <w:ind w:firstLine="640"/>
        <w:jc w:val="both"/>
        <w:outlineLvl w:val="2"/>
      </w:pPr>
      <w:r>
        <w:rPr>
          <w:rFonts w:ascii="黑体" w:hAnsi="黑体" w:eastAsia="黑体"/>
          <w:sz w:val="32"/>
        </w:rPr>
        <w:t>十、其他重要事项的情况说明</w:t>
      </w:r>
    </w:p>
    <w:p w14:paraId="06465A5F">
      <w:pPr>
        <w:spacing w:line="640" w:lineRule="exact"/>
        <w:ind w:firstLine="640"/>
        <w:jc w:val="both"/>
        <w:outlineLvl w:val="3"/>
      </w:pPr>
      <w:r>
        <w:rPr>
          <w:rFonts w:ascii="楷体_GB2312" w:hAnsi="楷体_GB2312" w:eastAsia="楷体_GB2312"/>
          <w:b/>
          <w:sz w:val="32"/>
        </w:rPr>
        <w:t>（一）机关运行经费及公用经费支出情况</w:t>
      </w:r>
    </w:p>
    <w:p w14:paraId="658F21A9">
      <w:pPr>
        <w:spacing w:line="580" w:lineRule="exact"/>
        <w:ind w:firstLine="640"/>
        <w:jc w:val="both"/>
      </w:pPr>
      <w:r>
        <w:rPr>
          <w:rFonts w:ascii="仿宋_GB2312" w:hAnsi="仿宋_GB2312" w:eastAsia="仿宋_GB2312"/>
          <w:b w:val="0"/>
          <w:sz w:val="32"/>
        </w:rPr>
        <w:t>2024年度巴音郭楞蒙古自治州妇幼保健计划生育服务中心（事业单位）公用经费支出103.95万元，比上年增加43.66万元，增长72.42%，主要原因是：本年更新、维护补充办公设备，增加办公费、劳务费、差旅费等经费，导致公用经费较上年增加。</w:t>
      </w:r>
    </w:p>
    <w:p w14:paraId="3926DE32">
      <w:pPr>
        <w:spacing w:line="640" w:lineRule="exact"/>
        <w:ind w:firstLine="640"/>
        <w:jc w:val="both"/>
        <w:outlineLvl w:val="3"/>
      </w:pPr>
      <w:r>
        <w:rPr>
          <w:rFonts w:ascii="楷体_GB2312" w:hAnsi="楷体_GB2312" w:eastAsia="楷体_GB2312"/>
          <w:b/>
          <w:sz w:val="32"/>
        </w:rPr>
        <w:t>（二）政府采购情况</w:t>
      </w:r>
    </w:p>
    <w:p w14:paraId="35C432F2">
      <w:pPr>
        <w:spacing w:line="580" w:lineRule="exact"/>
        <w:ind w:firstLine="640"/>
        <w:jc w:val="both"/>
      </w:pPr>
      <w:r>
        <w:rPr>
          <w:rFonts w:ascii="仿宋_GB2312" w:hAnsi="仿宋_GB2312" w:eastAsia="仿宋_GB2312"/>
          <w:b w:val="0"/>
          <w:sz w:val="32"/>
        </w:rPr>
        <w:t>2024年度政府采购支出总额22.46万元，其中：政府采购货物支出4.80万元、政府采购工程支出16.31万元、政府采购服务支出1.36万元。</w:t>
      </w:r>
    </w:p>
    <w:p w14:paraId="34FB7154">
      <w:pPr>
        <w:spacing w:line="580" w:lineRule="exact"/>
        <w:ind w:firstLine="640"/>
        <w:jc w:val="both"/>
      </w:pPr>
      <w:r>
        <w:rPr>
          <w:rFonts w:ascii="仿宋_GB2312" w:hAnsi="仿宋_GB2312" w:eastAsia="仿宋_GB2312"/>
          <w:b w:val="0"/>
          <w:sz w:val="32"/>
        </w:rPr>
        <w:t>授予中小企业合同金额21.86万元，占政府采购支出总额的97.33%，其中：授予小微企业合同金额13.07万元，占政府采购支出总额的58.19%。</w:t>
      </w:r>
    </w:p>
    <w:p w14:paraId="4EE1EA04">
      <w:pPr>
        <w:spacing w:line="640" w:lineRule="exact"/>
        <w:ind w:firstLine="640"/>
        <w:jc w:val="both"/>
        <w:outlineLvl w:val="3"/>
      </w:pPr>
      <w:r>
        <w:rPr>
          <w:rFonts w:ascii="楷体_GB2312" w:hAnsi="楷体_GB2312" w:eastAsia="楷体_GB2312"/>
          <w:b/>
          <w:sz w:val="32"/>
        </w:rPr>
        <w:t>（三）国有资产占用情况说明</w:t>
      </w:r>
    </w:p>
    <w:p w14:paraId="4BF6F50F">
      <w:pPr>
        <w:spacing w:line="580" w:lineRule="exact"/>
        <w:ind w:firstLine="640"/>
        <w:jc w:val="both"/>
      </w:pPr>
      <w:r>
        <w:rPr>
          <w:rFonts w:ascii="仿宋_GB2312" w:hAnsi="仿宋_GB2312" w:eastAsia="仿宋_GB2312"/>
          <w:b w:val="0"/>
          <w:sz w:val="32"/>
        </w:rPr>
        <w:t>截至2024年12月31日，房屋9,184.59平方米，价值2,882.80万元。车辆2辆，价值45.63万元，其中：副部（省）级及以上领导用车0辆、主要负责人用车0辆、机要通信用车0辆、应急保障用车0辆、执法执勤用车0辆、特种专业技术用车0辆、离退休干部服务用车0辆、其他用车2辆，其他用车主要是：其他用车是救护车，用于开展</w:t>
      </w:r>
      <w:r>
        <w:rPr>
          <w:rFonts w:hint="eastAsia" w:ascii="仿宋_GB2312" w:hAnsi="仿宋_GB2312" w:eastAsia="仿宋_GB2312"/>
          <w:b w:val="0"/>
          <w:sz w:val="32"/>
          <w:lang w:eastAsia="zh-CN"/>
        </w:rPr>
        <w:t>医疗</w:t>
      </w:r>
      <w:r>
        <w:rPr>
          <w:rFonts w:ascii="仿宋_GB2312" w:hAnsi="仿宋_GB2312" w:eastAsia="仿宋_GB2312"/>
          <w:b w:val="0"/>
          <w:sz w:val="32"/>
        </w:rPr>
        <w:t>救护业务用车等。单价100万元（含）以上设备（不含车辆）3台（套）。</w:t>
      </w:r>
    </w:p>
    <w:p w14:paraId="61896708">
      <w:pPr>
        <w:spacing w:line="640" w:lineRule="exact"/>
        <w:ind w:firstLine="640"/>
        <w:jc w:val="both"/>
        <w:outlineLvl w:val="2"/>
      </w:pPr>
      <w:r>
        <w:rPr>
          <w:rFonts w:ascii="黑体" w:hAnsi="黑体" w:eastAsia="黑体"/>
          <w:sz w:val="32"/>
        </w:rPr>
        <w:t>十一、预算绩效的情况说明</w:t>
      </w:r>
    </w:p>
    <w:p w14:paraId="37EAAFDC">
      <w:pPr>
        <w:spacing w:line="580" w:lineRule="exact"/>
        <w:ind w:firstLine="640"/>
        <w:jc w:val="both"/>
      </w:pPr>
      <w:r>
        <w:rPr>
          <w:rFonts w:ascii="仿宋_GB2312" w:hAnsi="仿宋_GB2312" w:eastAsia="仿宋_GB2312"/>
          <w:b w:val="0"/>
          <w:sz w:val="32"/>
        </w:rPr>
        <w:t>根据预算绩效管理要求，本单位预算绩效评价项目5个，全年预算数182.99万元，全年执行数150.53万元。预算绩效管理取得的成效：提高了项目资金使用的绩效意识，以便项目实施完成，对项目进行跟踪问效评价，对下一年此类项目预算编制提供参考。提高了绩效工作管理水平，科学制定目标，促进了绩效目标顺利实现，提高了项目资金使用的绩效意识。发现的问题及原因：一是存在的主要问题单位各部门对项目资金的绩效意识还有待加强，负责项目人员对预算绩效管理理解不够；二是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w:t>
      </w:r>
    </w:p>
    <w:p w14:paraId="58D7D7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A81F847">
        <w:tblPrEx>
          <w:tblCellMar>
            <w:top w:w="0" w:type="dxa"/>
            <w:left w:w="108" w:type="dxa"/>
            <w:bottom w:w="0" w:type="dxa"/>
            <w:right w:w="108" w:type="dxa"/>
          </w:tblCellMar>
        </w:tblPrEx>
        <w:tc>
          <w:tcPr>
            <w:tcW w:w="8848" w:type="dxa"/>
            <w:gridSpan w:val="14"/>
            <w:vAlign w:val="center"/>
          </w:tcPr>
          <w:p w14:paraId="19701154">
            <w:pPr>
              <w:jc w:val="center"/>
            </w:pPr>
            <w:r>
              <w:rPr>
                <w:rFonts w:ascii="宋体" w:hAnsi="宋体" w:eastAsia="宋体"/>
                <w:sz w:val="24"/>
              </w:rPr>
              <w:t>项目支出绩效自评表</w:t>
            </w:r>
          </w:p>
        </w:tc>
      </w:tr>
      <w:tr w14:paraId="034013E4">
        <w:tblPrEx>
          <w:tblCellMar>
            <w:top w:w="0" w:type="dxa"/>
            <w:left w:w="108" w:type="dxa"/>
            <w:bottom w:w="0" w:type="dxa"/>
            <w:right w:w="108" w:type="dxa"/>
          </w:tblCellMar>
        </w:tblPrEx>
        <w:tc>
          <w:tcPr>
            <w:tcW w:w="8848" w:type="dxa"/>
            <w:gridSpan w:val="14"/>
            <w:vAlign w:val="center"/>
          </w:tcPr>
          <w:p w14:paraId="6DCB2E59">
            <w:pPr>
              <w:jc w:val="center"/>
            </w:pPr>
            <w:r>
              <w:rPr>
                <w:rFonts w:ascii="宋体" w:hAnsi="宋体" w:eastAsia="宋体"/>
                <w:sz w:val="24"/>
              </w:rPr>
              <w:t>(2024年度)</w:t>
            </w:r>
          </w:p>
        </w:tc>
      </w:tr>
      <w:tr w14:paraId="4EEE09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73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A1DF41">
            <w:pPr>
              <w:jc w:val="center"/>
            </w:pPr>
            <w:r>
              <w:rPr>
                <w:rFonts w:ascii="宋体" w:hAnsi="宋体" w:eastAsia="宋体"/>
                <w:sz w:val="16"/>
              </w:rPr>
              <w:t>2024年提前下达中央基本公共卫生服务项目、2023中央基本公共卫生服务补助资金第二批（上年结转）</w:t>
            </w:r>
          </w:p>
        </w:tc>
      </w:tr>
      <w:tr w14:paraId="43D602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28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A0C84">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88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1B12F7">
            <w:pPr>
              <w:jc w:val="center"/>
            </w:pPr>
            <w:r>
              <w:rPr>
                <w:rFonts w:ascii="宋体" w:hAnsi="宋体" w:eastAsia="宋体"/>
                <w:sz w:val="16"/>
              </w:rPr>
              <w:t>巴音郭楞蒙古自治州妇幼保健计划生育服务中心</w:t>
            </w:r>
          </w:p>
        </w:tc>
      </w:tr>
      <w:tr w14:paraId="69684D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4F67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94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76F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70C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12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FAC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84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71BA">
            <w:pPr>
              <w:jc w:val="center"/>
            </w:pPr>
            <w:r>
              <w:rPr>
                <w:rFonts w:ascii="宋体" w:hAnsi="宋体" w:eastAsia="宋体"/>
                <w:sz w:val="16"/>
              </w:rPr>
              <w:t>得分</w:t>
            </w:r>
          </w:p>
        </w:tc>
      </w:tr>
      <w:tr w14:paraId="435C68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950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54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9C46">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DF88E">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5C2C">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876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69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5462">
            <w:pPr>
              <w:jc w:val="center"/>
            </w:pPr>
            <w:r>
              <w:rPr>
                <w:rFonts w:ascii="宋体" w:hAnsi="宋体" w:eastAsia="宋体"/>
                <w:sz w:val="16"/>
              </w:rPr>
              <w:t>10.00</w:t>
            </w:r>
          </w:p>
        </w:tc>
      </w:tr>
      <w:tr w14:paraId="415FC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E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F0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DA1D">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423B8">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4601">
            <w:pPr>
              <w:jc w:val="center"/>
            </w:pPr>
            <w:r>
              <w:rPr>
                <w:rFonts w:ascii="宋体" w:hAnsi="宋体" w:eastAsia="宋体"/>
                <w:sz w:val="16"/>
              </w:rPr>
              <w:t>16.94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A0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5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1939">
            <w:pPr>
              <w:jc w:val="center"/>
            </w:pPr>
            <w:r>
              <w:rPr>
                <w:rFonts w:ascii="宋体" w:hAnsi="宋体" w:eastAsia="宋体"/>
                <w:sz w:val="16"/>
              </w:rPr>
              <w:t>-</w:t>
            </w:r>
          </w:p>
        </w:tc>
      </w:tr>
      <w:tr w14:paraId="5C5E7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9AF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65B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85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4B5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89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39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9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A4A8">
            <w:pPr>
              <w:jc w:val="center"/>
            </w:pPr>
            <w:r>
              <w:rPr>
                <w:rFonts w:ascii="宋体" w:hAnsi="宋体" w:eastAsia="宋体"/>
                <w:sz w:val="16"/>
              </w:rPr>
              <w:t>-</w:t>
            </w:r>
          </w:p>
        </w:tc>
      </w:tr>
      <w:tr w14:paraId="4837ED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9BD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4A08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E0481C">
            <w:pPr>
              <w:jc w:val="center"/>
            </w:pPr>
            <w:r>
              <w:rPr>
                <w:rFonts w:ascii="宋体" w:hAnsi="宋体" w:eastAsia="宋体"/>
                <w:sz w:val="16"/>
              </w:rPr>
              <w:t>总体目标完成情况</w:t>
            </w:r>
          </w:p>
        </w:tc>
      </w:tr>
      <w:tr w14:paraId="58A63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BFD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EECC9">
            <w:pPr>
              <w:jc w:val="both"/>
            </w:pPr>
            <w:r>
              <w:rPr>
                <w:rFonts w:ascii="宋体" w:hAnsi="宋体" w:eastAsia="宋体"/>
                <w:sz w:val="16"/>
              </w:rPr>
              <w:t>根据《关于提前下达2024年中央基本公共卫生服务补助资金预算的通知》（巴财社</w:t>
            </w:r>
            <w:r>
              <w:rPr>
                <w:rFonts w:hint="eastAsia" w:ascii="宋体" w:hAnsi="宋体"/>
                <w:sz w:val="16"/>
                <w:lang w:eastAsia="zh-CN"/>
              </w:rPr>
              <w:t>〔2023〕101号</w:t>
            </w:r>
            <w:r>
              <w:rPr>
                <w:rFonts w:ascii="宋体" w:hAnsi="宋体" w:eastAsia="宋体"/>
                <w:sz w:val="16"/>
              </w:rPr>
              <w:t>），2023中央基本公共卫生服务补助资金第二批（上年结转），共计16.94万元。通过下县督导检查3次，对各县市培训2次，购买医疗模具2套。达到提高医疗技术水平，深入落实母婴安全五项制度，提高优质医疗服务能力，保障母婴安全，减少孕产妇及婴儿死亡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C0366">
            <w:pPr>
              <w:jc w:val="both"/>
            </w:pPr>
            <w:r>
              <w:rPr>
                <w:rFonts w:ascii="宋体" w:hAnsi="宋体" w:eastAsia="宋体"/>
                <w:sz w:val="16"/>
              </w:rPr>
              <w:t>完成下县督导检查3次；对八县一市的妇幼工作人员培训2次,共计参加培训人数123人,培训4天；购买医疗模具5套。通过项目的实施有效提升基本公卫服务质量,不断提高妇女儿童健康水平和生活质量。</w:t>
            </w:r>
          </w:p>
        </w:tc>
      </w:tr>
      <w:tr w14:paraId="4F854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4886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FB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6D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DC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0CA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33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8F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119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2E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4B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B5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96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33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4B3E">
            <w:pPr>
              <w:jc w:val="center"/>
            </w:pPr>
            <w:r>
              <w:rPr>
                <w:rFonts w:ascii="宋体" w:hAnsi="宋体" w:eastAsia="宋体"/>
                <w:sz w:val="16"/>
              </w:rPr>
              <w:t>偏差原因分析及改进措施</w:t>
            </w:r>
          </w:p>
        </w:tc>
      </w:tr>
      <w:tr w14:paraId="2D35D3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9AE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787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A85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AF71">
            <w:pPr>
              <w:jc w:val="center"/>
            </w:pPr>
            <w:r>
              <w:rPr>
                <w:rFonts w:ascii="宋体" w:hAnsi="宋体" w:eastAsia="宋体"/>
                <w:sz w:val="16"/>
              </w:rPr>
              <w:t>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A08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F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78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94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5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70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403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8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51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DAB5">
            <w:pPr>
              <w:jc w:val="center"/>
            </w:pPr>
          </w:p>
        </w:tc>
      </w:tr>
      <w:tr w14:paraId="1F025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5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85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A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7F8C">
            <w:pPr>
              <w:jc w:val="center"/>
            </w:pPr>
            <w:r>
              <w:rPr>
                <w:rFonts w:ascii="宋体" w:hAnsi="宋体" w:eastAsia="宋体"/>
                <w:sz w:val="16"/>
              </w:rPr>
              <w:t>组织培训次数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62A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6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CB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8F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8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13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D02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B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E1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750E">
            <w:pPr>
              <w:jc w:val="center"/>
            </w:pPr>
          </w:p>
        </w:tc>
      </w:tr>
      <w:tr w14:paraId="47287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02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CA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1B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4456">
            <w:pPr>
              <w:jc w:val="center"/>
            </w:pPr>
            <w:r>
              <w:rPr>
                <w:rFonts w:ascii="宋体" w:hAnsi="宋体" w:eastAsia="宋体"/>
                <w:sz w:val="16"/>
              </w:rPr>
              <w:t>组织培训天数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678F">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37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8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B8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5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9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55A8">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6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33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92C0">
            <w:pPr>
              <w:jc w:val="center"/>
            </w:pPr>
          </w:p>
        </w:tc>
      </w:tr>
      <w:tr w14:paraId="27E51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93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2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12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DFC9">
            <w:pPr>
              <w:jc w:val="center"/>
            </w:pPr>
            <w:r>
              <w:rPr>
                <w:rFonts w:ascii="宋体" w:hAnsi="宋体" w:eastAsia="宋体"/>
                <w:sz w:val="16"/>
              </w:rPr>
              <w:t>组织培训人数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C4C3">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9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D7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DA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C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7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EA00">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F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56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57E7">
            <w:pPr>
              <w:jc w:val="center"/>
            </w:pPr>
          </w:p>
        </w:tc>
      </w:tr>
      <w:tr w14:paraId="49BA7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57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5D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97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D587">
            <w:pPr>
              <w:jc w:val="center"/>
            </w:pPr>
            <w:r>
              <w:rPr>
                <w:rFonts w:ascii="宋体" w:hAnsi="宋体" w:eastAsia="宋体"/>
                <w:sz w:val="16"/>
              </w:rPr>
              <w:t>购置模具数量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0526">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1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B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DD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A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8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D412">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4EB6">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E7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56F6">
            <w:pPr>
              <w:jc w:val="center"/>
            </w:pPr>
            <w:r>
              <w:rPr>
                <w:rFonts w:ascii="宋体" w:hAnsi="宋体" w:eastAsia="宋体"/>
                <w:sz w:val="16"/>
              </w:rPr>
              <w:t>偏差原因：购买模具有相应的附属配套材料，未统计在内。整改措施：在以后工作中，尽可能按照预算计划完成。</w:t>
            </w:r>
          </w:p>
        </w:tc>
      </w:tr>
      <w:tr w14:paraId="7D6D5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A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49C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26F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39A0">
            <w:pPr>
              <w:jc w:val="center"/>
            </w:pPr>
            <w:r>
              <w:rPr>
                <w:rFonts w:ascii="宋体" w:hAnsi="宋体" w:eastAsia="宋体"/>
                <w:sz w:val="16"/>
              </w:rPr>
              <w:t>技术指导检查覆盖率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73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4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D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83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A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F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3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4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1D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74E6">
            <w:pPr>
              <w:jc w:val="center"/>
            </w:pPr>
          </w:p>
        </w:tc>
      </w:tr>
      <w:tr w14:paraId="11DA1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37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53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5C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1DAC">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DA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9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3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A9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0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5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9159">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1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11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6B37">
            <w:pPr>
              <w:jc w:val="center"/>
            </w:pPr>
          </w:p>
        </w:tc>
      </w:tr>
      <w:tr w14:paraId="5ECE6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D8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17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59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971D">
            <w:pPr>
              <w:jc w:val="center"/>
            </w:pPr>
            <w:r>
              <w:rPr>
                <w:rFonts w:ascii="宋体" w:hAnsi="宋体" w:eastAsia="宋体"/>
                <w:sz w:val="16"/>
              </w:rPr>
              <w:t>购置模具质量合格率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5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B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A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A3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8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C1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F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4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A7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588E">
            <w:pPr>
              <w:jc w:val="center"/>
            </w:pPr>
          </w:p>
        </w:tc>
      </w:tr>
      <w:tr w14:paraId="22570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B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620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4C9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5EAB">
            <w:pPr>
              <w:jc w:val="center"/>
            </w:pPr>
            <w:r>
              <w:rPr>
                <w:rFonts w:ascii="宋体" w:hAnsi="宋体" w:eastAsia="宋体"/>
                <w:sz w:val="16"/>
              </w:rPr>
              <w:t>技术指导按时完成率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07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84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1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BE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4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D8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7C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6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A2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2D72">
            <w:pPr>
              <w:jc w:val="center"/>
            </w:pPr>
          </w:p>
        </w:tc>
      </w:tr>
      <w:tr w14:paraId="63B51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86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F5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63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4D9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66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F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37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E3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4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A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3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7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E0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0C12">
            <w:pPr>
              <w:jc w:val="center"/>
            </w:pPr>
          </w:p>
        </w:tc>
      </w:tr>
      <w:tr w14:paraId="23659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8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00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1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4E78">
            <w:pPr>
              <w:jc w:val="center"/>
            </w:pPr>
            <w:r>
              <w:rPr>
                <w:rFonts w:ascii="宋体" w:hAnsi="宋体" w:eastAsia="宋体"/>
                <w:sz w:val="16"/>
              </w:rPr>
              <w:t>购置模具按时完成率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96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2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D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A5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2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2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6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5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BD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76BC">
            <w:pPr>
              <w:jc w:val="center"/>
            </w:pPr>
          </w:p>
        </w:tc>
      </w:tr>
      <w:tr w14:paraId="0A129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927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CE4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582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91C2">
            <w:pPr>
              <w:jc w:val="center"/>
            </w:pPr>
            <w:r>
              <w:rPr>
                <w:rFonts w:ascii="宋体" w:hAnsi="宋体" w:eastAsia="宋体"/>
                <w:sz w:val="16"/>
              </w:rPr>
              <w:t>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E20D">
            <w:pPr>
              <w:jc w:val="center"/>
            </w:pPr>
            <w:r>
              <w:rPr>
                <w:rFonts w:ascii="宋体" w:hAnsi="宋体" w:eastAsia="宋体"/>
                <w:sz w:val="16"/>
              </w:rPr>
              <w:t>&lt;=7.27万元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E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4C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3A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A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48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EC0">
            <w:pPr>
              <w:jc w:val="center"/>
            </w:pPr>
            <w:r>
              <w:rPr>
                <w:rFonts w:ascii="宋体" w:hAnsi="宋体" w:eastAsia="宋体"/>
                <w:sz w:val="16"/>
              </w:rPr>
              <w:t>=7.27万元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9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CE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6C62">
            <w:pPr>
              <w:jc w:val="center"/>
            </w:pPr>
          </w:p>
        </w:tc>
      </w:tr>
      <w:tr w14:paraId="51552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50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CC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F5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240E">
            <w:pPr>
              <w:jc w:val="center"/>
            </w:pPr>
            <w:r>
              <w:rPr>
                <w:rFonts w:ascii="宋体" w:hAnsi="宋体" w:eastAsia="宋体"/>
                <w:sz w:val="16"/>
              </w:rPr>
              <w:t>培训人员人均支出标准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A7DE">
            <w:pPr>
              <w:jc w:val="center"/>
            </w:pPr>
            <w:r>
              <w:rPr>
                <w:rFonts w:ascii="宋体" w:hAnsi="宋体" w:eastAsia="宋体"/>
                <w:sz w:val="16"/>
              </w:rPr>
              <w:t>&lt;=127.1元/人/天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D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9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F9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6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CD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B186">
            <w:pPr>
              <w:jc w:val="center"/>
            </w:pPr>
            <w:r>
              <w:rPr>
                <w:rFonts w:ascii="宋体" w:hAnsi="宋体" w:eastAsia="宋体"/>
                <w:sz w:val="16"/>
              </w:rPr>
              <w:t>=127.1元/人/天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B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57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4CEC">
            <w:pPr>
              <w:jc w:val="center"/>
            </w:pPr>
          </w:p>
        </w:tc>
      </w:tr>
      <w:tr w14:paraId="7CDB5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E8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FB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EB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D4ED">
            <w:pPr>
              <w:jc w:val="center"/>
            </w:pPr>
            <w:r>
              <w:rPr>
                <w:rFonts w:ascii="宋体" w:hAnsi="宋体" w:eastAsia="宋体"/>
                <w:sz w:val="16"/>
              </w:rPr>
              <w:t>购置模具成本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9FB8">
            <w:pPr>
              <w:jc w:val="center"/>
            </w:pPr>
            <w:r>
              <w:rPr>
                <w:rFonts w:ascii="宋体" w:hAnsi="宋体" w:eastAsia="宋体"/>
                <w:sz w:val="16"/>
              </w:rPr>
              <w:t>&lt;=3.37万元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7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E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FB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A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1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5225">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2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F1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5A6D">
            <w:pPr>
              <w:jc w:val="center"/>
            </w:pPr>
          </w:p>
        </w:tc>
      </w:tr>
      <w:tr w14:paraId="0A71E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99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55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D3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B1B9">
            <w:pPr>
              <w:jc w:val="center"/>
            </w:pPr>
            <w:r>
              <w:rPr>
                <w:rFonts w:ascii="宋体" w:hAnsi="宋体" w:eastAsia="宋体"/>
                <w:sz w:val="16"/>
              </w:rPr>
              <w:t>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E52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E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0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2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EC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0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8E7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C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4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1386">
            <w:pPr>
              <w:jc w:val="center"/>
            </w:pPr>
          </w:p>
        </w:tc>
      </w:tr>
      <w:tr w14:paraId="746EB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72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D3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89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1A5E">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74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2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72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D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E2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9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D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4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F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F6F8">
            <w:pPr>
              <w:jc w:val="center"/>
            </w:pPr>
          </w:p>
        </w:tc>
      </w:tr>
      <w:tr w14:paraId="59C216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443C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CA4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E2E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3E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6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B7B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6A7C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A25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99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54CE">
            <w:pPr>
              <w:jc w:val="center"/>
            </w:pPr>
            <w:r>
              <w:rPr>
                <w:rFonts w:ascii="宋体" w:hAnsi="宋体" w:eastAsia="宋体"/>
                <w:sz w:val="16"/>
              </w:rPr>
              <w:t>96.00分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58424"/>
        </w:tc>
      </w:tr>
    </w:tbl>
    <w:p w14:paraId="2A73C6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46D1467E">
        <w:tblPrEx>
          <w:tblCellMar>
            <w:top w:w="0" w:type="dxa"/>
            <w:left w:w="108" w:type="dxa"/>
            <w:bottom w:w="0" w:type="dxa"/>
            <w:right w:w="108" w:type="dxa"/>
          </w:tblCellMar>
        </w:tblPrEx>
        <w:tc>
          <w:tcPr>
            <w:tcW w:w="8848" w:type="dxa"/>
            <w:gridSpan w:val="14"/>
            <w:vAlign w:val="center"/>
          </w:tcPr>
          <w:p w14:paraId="08D52E4E">
            <w:pPr>
              <w:jc w:val="center"/>
            </w:pPr>
            <w:r>
              <w:rPr>
                <w:rFonts w:ascii="宋体" w:hAnsi="宋体" w:eastAsia="宋体"/>
                <w:sz w:val="24"/>
              </w:rPr>
              <w:t>项目支出绩效自评表</w:t>
            </w:r>
          </w:p>
        </w:tc>
      </w:tr>
      <w:tr w14:paraId="25942DE0">
        <w:tblPrEx>
          <w:tblCellMar>
            <w:top w:w="0" w:type="dxa"/>
            <w:left w:w="108" w:type="dxa"/>
            <w:bottom w:w="0" w:type="dxa"/>
            <w:right w:w="108" w:type="dxa"/>
          </w:tblCellMar>
        </w:tblPrEx>
        <w:tc>
          <w:tcPr>
            <w:tcW w:w="8848" w:type="dxa"/>
            <w:gridSpan w:val="14"/>
            <w:vAlign w:val="center"/>
          </w:tcPr>
          <w:p w14:paraId="0C2C442C">
            <w:pPr>
              <w:jc w:val="center"/>
            </w:pPr>
            <w:r>
              <w:rPr>
                <w:rFonts w:ascii="宋体" w:hAnsi="宋体" w:eastAsia="宋体"/>
                <w:sz w:val="24"/>
              </w:rPr>
              <w:t>(2024年度)</w:t>
            </w:r>
          </w:p>
        </w:tc>
      </w:tr>
      <w:tr w14:paraId="6AD55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B2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91EEC5">
            <w:pPr>
              <w:jc w:val="center"/>
            </w:pPr>
            <w:r>
              <w:rPr>
                <w:rFonts w:ascii="宋体" w:hAnsi="宋体" w:eastAsia="宋体"/>
                <w:sz w:val="16"/>
              </w:rPr>
              <w:t>2024年提前下达重大传染病防控项目</w:t>
            </w:r>
          </w:p>
        </w:tc>
      </w:tr>
      <w:tr w14:paraId="4E9F10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BC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5D3D8">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B9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A47E86">
            <w:pPr>
              <w:jc w:val="center"/>
            </w:pPr>
            <w:r>
              <w:rPr>
                <w:rFonts w:ascii="宋体" w:hAnsi="宋体" w:eastAsia="宋体"/>
                <w:sz w:val="16"/>
              </w:rPr>
              <w:t>巴音郭楞蒙古自治州妇幼保健计划生育服务中心</w:t>
            </w:r>
          </w:p>
        </w:tc>
      </w:tr>
      <w:tr w14:paraId="014CFF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2EA9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CC8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2F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1C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3D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910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7C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94ED">
            <w:pPr>
              <w:jc w:val="center"/>
            </w:pPr>
            <w:r>
              <w:rPr>
                <w:rFonts w:ascii="宋体" w:hAnsi="宋体" w:eastAsia="宋体"/>
                <w:sz w:val="16"/>
              </w:rPr>
              <w:t>得分</w:t>
            </w:r>
          </w:p>
        </w:tc>
      </w:tr>
      <w:tr w14:paraId="2B229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89A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F7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DCC91">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4FB5">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A37C">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A5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59B1D">
            <w:pPr>
              <w:jc w:val="center"/>
            </w:pPr>
            <w:r>
              <w:rPr>
                <w:rFonts w:ascii="宋体" w:hAnsi="宋体" w:eastAsia="宋体"/>
                <w:sz w:val="16"/>
              </w:rPr>
              <w:t>96.15%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F2BA">
            <w:pPr>
              <w:jc w:val="center"/>
            </w:pPr>
            <w:r>
              <w:rPr>
                <w:rFonts w:ascii="宋体" w:hAnsi="宋体" w:eastAsia="宋体"/>
                <w:sz w:val="16"/>
              </w:rPr>
              <w:t>10.00</w:t>
            </w:r>
          </w:p>
        </w:tc>
      </w:tr>
      <w:tr w14:paraId="12DAB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214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B6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4EC0">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8B5F">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A74E1">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A7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5D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F641">
            <w:pPr>
              <w:jc w:val="center"/>
            </w:pPr>
            <w:r>
              <w:rPr>
                <w:rFonts w:ascii="宋体" w:hAnsi="宋体" w:eastAsia="宋体"/>
                <w:sz w:val="16"/>
              </w:rPr>
              <w:t>-</w:t>
            </w:r>
          </w:p>
        </w:tc>
      </w:tr>
      <w:tr w14:paraId="1D9B6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1C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936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37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255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A7C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96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36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9099">
            <w:pPr>
              <w:jc w:val="center"/>
            </w:pPr>
            <w:r>
              <w:rPr>
                <w:rFonts w:ascii="宋体" w:hAnsi="宋体" w:eastAsia="宋体"/>
                <w:sz w:val="16"/>
              </w:rPr>
              <w:t>-</w:t>
            </w:r>
          </w:p>
        </w:tc>
      </w:tr>
      <w:tr w14:paraId="75222A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AE9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46E2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A527A3">
            <w:pPr>
              <w:jc w:val="center"/>
            </w:pPr>
            <w:r>
              <w:rPr>
                <w:rFonts w:ascii="宋体" w:hAnsi="宋体" w:eastAsia="宋体"/>
                <w:sz w:val="16"/>
              </w:rPr>
              <w:t>总体目标完成情况</w:t>
            </w:r>
          </w:p>
        </w:tc>
      </w:tr>
      <w:tr w14:paraId="3CFEB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4D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CAB03">
            <w:pPr>
              <w:jc w:val="both"/>
            </w:pPr>
            <w:r>
              <w:rPr>
                <w:rFonts w:ascii="宋体" w:hAnsi="宋体" w:eastAsia="宋体"/>
                <w:sz w:val="16"/>
              </w:rPr>
              <w:t>根据《关于提前下达2024年重大传染病防控经费</w:t>
            </w:r>
            <w:r>
              <w:rPr>
                <w:rFonts w:hint="eastAsia" w:ascii="宋体" w:hAnsi="宋体"/>
                <w:sz w:val="16"/>
                <w:lang w:eastAsia="zh-CN"/>
              </w:rPr>
              <w:t>预算</w:t>
            </w:r>
            <w:r>
              <w:rPr>
                <w:rFonts w:ascii="宋体" w:hAnsi="宋体" w:eastAsia="宋体"/>
                <w:sz w:val="16"/>
              </w:rPr>
              <w:t>通知》（巴财社</w:t>
            </w:r>
            <w:r>
              <w:rPr>
                <w:rFonts w:hint="eastAsia" w:ascii="宋体" w:hAnsi="宋体"/>
                <w:sz w:val="16"/>
                <w:lang w:eastAsia="zh-CN"/>
              </w:rPr>
              <w:t>〔2023〕100号</w:t>
            </w:r>
            <w:r>
              <w:rPr>
                <w:rFonts w:ascii="宋体" w:hAnsi="宋体" w:eastAsia="宋体"/>
                <w:sz w:val="16"/>
              </w:rPr>
              <w:t>），通过组织各县市的妇幼医疗机构进行技术培训1次，购置办公设备2台，购买试剂3批，实验室建设1个，健康教育宣传品制作2批，达到全面落实、规范预防母婴传播综合干预、减少相关疾病母婴传播，不断提高妇女儿童健康水平和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0F7851">
            <w:pPr>
              <w:jc w:val="both"/>
            </w:pPr>
            <w:r>
              <w:rPr>
                <w:rFonts w:ascii="宋体" w:hAnsi="宋体" w:eastAsia="宋体"/>
                <w:sz w:val="16"/>
              </w:rPr>
              <w:t>完成对八县一市从事妇幼技术人员培训2次,共计参加培训人数144人,培训3天；为项目管理科室购买办公设备2台；购买试剂3批；实验室修缮1个；健康宣传品制作2批。通过项目的实施有效减少母婴传播,不断提高妇女儿童健康水平和生活质量。</w:t>
            </w:r>
          </w:p>
        </w:tc>
      </w:tr>
      <w:tr w14:paraId="2D8E4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CF5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82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6B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E0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BE7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6B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30C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50D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6B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BD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C6F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F2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A98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40AA">
            <w:pPr>
              <w:jc w:val="center"/>
            </w:pPr>
            <w:r>
              <w:rPr>
                <w:rFonts w:ascii="宋体" w:hAnsi="宋体" w:eastAsia="宋体"/>
                <w:sz w:val="16"/>
              </w:rPr>
              <w:t>偏差原因分析及改进措施</w:t>
            </w:r>
          </w:p>
        </w:tc>
      </w:tr>
      <w:tr w14:paraId="7343A3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A59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F9B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38B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7BA0">
            <w:pPr>
              <w:jc w:val="center"/>
            </w:pPr>
            <w:r>
              <w:rPr>
                <w:rFonts w:ascii="宋体" w:hAnsi="宋体" w:eastAsia="宋体"/>
                <w:sz w:val="16"/>
              </w:rPr>
              <w:t>购置试剂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AEA9">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1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B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53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D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E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9BF2">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C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D3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EBD9">
            <w:pPr>
              <w:jc w:val="center"/>
            </w:pPr>
          </w:p>
        </w:tc>
      </w:tr>
      <w:tr w14:paraId="3314D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C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FF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C4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A5C9">
            <w:pPr>
              <w:jc w:val="center"/>
            </w:pPr>
            <w:r>
              <w:rPr>
                <w:rFonts w:ascii="宋体" w:hAnsi="宋体" w:eastAsia="宋体"/>
                <w:sz w:val="16"/>
              </w:rPr>
              <w:t>组织培训人数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BE35">
            <w:pPr>
              <w:jc w:val="center"/>
            </w:pPr>
            <w:r>
              <w:rPr>
                <w:rFonts w:ascii="宋体" w:hAnsi="宋体" w:eastAsia="宋体"/>
                <w:sz w:val="16"/>
              </w:rPr>
              <w:t>&gt;=75人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F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3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48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C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7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6CBD">
            <w:pPr>
              <w:jc w:val="center"/>
            </w:pPr>
            <w:r>
              <w:rPr>
                <w:rFonts w:ascii="宋体" w:hAnsi="宋体" w:eastAsia="宋体"/>
                <w:sz w:val="16"/>
              </w:rPr>
              <w:t>=144人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6F7A">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575C">
            <w:pPr>
              <w:jc w:val="center"/>
            </w:pPr>
            <w:r>
              <w:rPr>
                <w:rFonts w:ascii="宋体" w:hAnsi="宋体" w:eastAsia="宋体"/>
                <w:sz w:val="16"/>
              </w:rPr>
              <w:t>0.24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2F59">
            <w:pPr>
              <w:jc w:val="center"/>
            </w:pPr>
            <w:r>
              <w:rPr>
                <w:rFonts w:ascii="宋体" w:hAnsi="宋体" w:eastAsia="宋体"/>
                <w:sz w:val="16"/>
              </w:rPr>
              <w:t>偏差原因：因工作要求年底进行危重孕产妇进行评审，故增加1次培训。</w:t>
            </w:r>
          </w:p>
        </w:tc>
      </w:tr>
      <w:tr w14:paraId="2687F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A3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14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10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49ED">
            <w:pPr>
              <w:jc w:val="center"/>
            </w:pPr>
            <w:r>
              <w:rPr>
                <w:rFonts w:ascii="宋体" w:hAnsi="宋体" w:eastAsia="宋体"/>
                <w:sz w:val="16"/>
              </w:rPr>
              <w:t>组织培训天数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B7A9">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1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F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47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3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65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C1EB">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7016">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619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C7D5">
            <w:pPr>
              <w:jc w:val="center"/>
            </w:pPr>
            <w:r>
              <w:rPr>
                <w:rFonts w:ascii="宋体" w:hAnsi="宋体" w:eastAsia="宋体"/>
                <w:sz w:val="16"/>
              </w:rPr>
              <w:t>偏差原因：因工作要求年底进行危重孕产妇进行评审，故增加1次培训。</w:t>
            </w:r>
          </w:p>
        </w:tc>
      </w:tr>
      <w:tr w14:paraId="1CA00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BB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2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35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47CF">
            <w:pPr>
              <w:jc w:val="center"/>
            </w:pPr>
            <w:r>
              <w:rPr>
                <w:rFonts w:ascii="宋体" w:hAnsi="宋体" w:eastAsia="宋体"/>
                <w:sz w:val="16"/>
              </w:rPr>
              <w:t>组织培训次数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FEF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1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5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25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2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4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6D2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BAB0">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8D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4BE0">
            <w:pPr>
              <w:jc w:val="center"/>
            </w:pPr>
            <w:r>
              <w:rPr>
                <w:rFonts w:ascii="宋体" w:hAnsi="宋体" w:eastAsia="宋体"/>
                <w:sz w:val="16"/>
              </w:rPr>
              <w:t>偏差原因：因工作要求年底进行危重孕产妇进行评审，故增加1次培训。</w:t>
            </w:r>
          </w:p>
        </w:tc>
      </w:tr>
      <w:tr w14:paraId="608DD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D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37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7F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BCA8">
            <w:pPr>
              <w:jc w:val="center"/>
            </w:pPr>
            <w:r>
              <w:rPr>
                <w:rFonts w:ascii="宋体" w:hAnsi="宋体" w:eastAsia="宋体"/>
                <w:sz w:val="16"/>
              </w:rPr>
              <w:t>实验室修缮数量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13A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C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1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EC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D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E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C88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D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F2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CBD0">
            <w:pPr>
              <w:jc w:val="center"/>
            </w:pPr>
          </w:p>
        </w:tc>
      </w:tr>
      <w:tr w14:paraId="61353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81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0C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04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1E0">
            <w:pPr>
              <w:jc w:val="center"/>
            </w:pPr>
            <w:r>
              <w:rPr>
                <w:rFonts w:ascii="宋体" w:hAnsi="宋体" w:eastAsia="宋体"/>
                <w:sz w:val="16"/>
              </w:rPr>
              <w:t>办公设备购置数量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CDBA">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8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B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79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A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7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089F">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D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36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5A22">
            <w:pPr>
              <w:jc w:val="center"/>
            </w:pPr>
          </w:p>
        </w:tc>
      </w:tr>
      <w:tr w14:paraId="62ED7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AE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BC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26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9E9E">
            <w:pPr>
              <w:jc w:val="center"/>
            </w:pPr>
            <w:r>
              <w:rPr>
                <w:rFonts w:ascii="宋体" w:hAnsi="宋体" w:eastAsia="宋体"/>
                <w:sz w:val="16"/>
              </w:rPr>
              <w:t>健康宣传品制作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1BDE">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1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C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25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F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B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1409">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45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CC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3F82">
            <w:pPr>
              <w:jc w:val="center"/>
            </w:pPr>
          </w:p>
        </w:tc>
      </w:tr>
      <w:tr w14:paraId="0865E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82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7F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B11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5567">
            <w:pPr>
              <w:jc w:val="center"/>
            </w:pPr>
            <w:r>
              <w:rPr>
                <w:rFonts w:ascii="宋体" w:hAnsi="宋体" w:eastAsia="宋体"/>
                <w:sz w:val="16"/>
              </w:rPr>
              <w:t>购置试剂质量合格率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D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4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B8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84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3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9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8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B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CD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E594">
            <w:pPr>
              <w:jc w:val="center"/>
            </w:pPr>
          </w:p>
        </w:tc>
      </w:tr>
      <w:tr w14:paraId="2597A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80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2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78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7B1F">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E0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B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8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76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B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8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2D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9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08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436E">
            <w:pPr>
              <w:jc w:val="center"/>
            </w:pPr>
          </w:p>
        </w:tc>
      </w:tr>
      <w:tr w14:paraId="0688D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F3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3B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BED0">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5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B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F2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BE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B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F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4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0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7A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0862">
            <w:pPr>
              <w:jc w:val="center"/>
            </w:pPr>
          </w:p>
        </w:tc>
      </w:tr>
      <w:tr w14:paraId="6A623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F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A6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12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32D0">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B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1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B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35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D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71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F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D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26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5F9C">
            <w:pPr>
              <w:jc w:val="center"/>
            </w:pPr>
          </w:p>
        </w:tc>
      </w:tr>
      <w:tr w14:paraId="1F5B8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21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C6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F4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9B0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C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0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1A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F4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9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E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6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0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87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DE14">
            <w:pPr>
              <w:jc w:val="center"/>
            </w:pPr>
          </w:p>
        </w:tc>
      </w:tr>
      <w:tr w14:paraId="0B1C5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E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59F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FF1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BBBC">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42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F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4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C0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D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2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E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8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90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AC11">
            <w:pPr>
              <w:jc w:val="center"/>
            </w:pPr>
          </w:p>
        </w:tc>
      </w:tr>
      <w:tr w14:paraId="48A64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E3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6A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F1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5DBB">
            <w:pPr>
              <w:jc w:val="center"/>
            </w:pPr>
            <w:r>
              <w:rPr>
                <w:rFonts w:ascii="宋体" w:hAnsi="宋体" w:eastAsia="宋体"/>
                <w:sz w:val="16"/>
              </w:rPr>
              <w:t>实验室修缮按时完成率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52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1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ED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8D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4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F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7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D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B2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A6DA">
            <w:pPr>
              <w:jc w:val="center"/>
            </w:pPr>
          </w:p>
        </w:tc>
      </w:tr>
      <w:tr w14:paraId="48AD8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65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D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5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DB81">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DA12">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3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8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DD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05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86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313C">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5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E4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F156">
            <w:pPr>
              <w:jc w:val="center"/>
            </w:pPr>
          </w:p>
        </w:tc>
      </w:tr>
      <w:tr w14:paraId="06384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3C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2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D1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B37A">
            <w:pPr>
              <w:jc w:val="center"/>
            </w:pPr>
            <w:r>
              <w:rPr>
                <w:rFonts w:ascii="宋体" w:hAnsi="宋体" w:eastAsia="宋体"/>
                <w:sz w:val="16"/>
              </w:rPr>
              <w:t>健康宣传品制作按时完成率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4E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4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9E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1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4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7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8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87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C516">
            <w:pPr>
              <w:jc w:val="center"/>
            </w:pPr>
          </w:p>
        </w:tc>
      </w:tr>
      <w:tr w14:paraId="2DDDA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B6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6F3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00B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D3E1">
            <w:pPr>
              <w:jc w:val="center"/>
            </w:pPr>
            <w:r>
              <w:rPr>
                <w:rFonts w:ascii="宋体" w:hAnsi="宋体" w:eastAsia="宋体"/>
                <w:sz w:val="16"/>
              </w:rPr>
              <w:t>试剂购置成本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15F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4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9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00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B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BB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6BF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0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64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6EFE">
            <w:pPr>
              <w:jc w:val="center"/>
            </w:pPr>
          </w:p>
        </w:tc>
      </w:tr>
      <w:tr w14:paraId="5EDC3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C3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2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2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5BA5">
            <w:pPr>
              <w:jc w:val="center"/>
            </w:pPr>
            <w:r>
              <w:rPr>
                <w:rFonts w:ascii="宋体" w:hAnsi="宋体" w:eastAsia="宋体"/>
                <w:sz w:val="16"/>
              </w:rPr>
              <w:t>组织培训成本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0C22">
            <w:pPr>
              <w:jc w:val="center"/>
            </w:pPr>
            <w:r>
              <w:rPr>
                <w:rFonts w:ascii="宋体" w:hAnsi="宋体" w:eastAsia="宋体"/>
                <w:sz w:val="16"/>
              </w:rPr>
              <w:t>&lt;=200元/天/人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4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8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7F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D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38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FE67">
            <w:pPr>
              <w:jc w:val="center"/>
            </w:pPr>
            <w:r>
              <w:rPr>
                <w:rFonts w:ascii="宋体" w:hAnsi="宋体" w:eastAsia="宋体"/>
                <w:sz w:val="16"/>
              </w:rPr>
              <w:t>=63.61元/天/人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627C">
            <w:pPr>
              <w:jc w:val="center"/>
            </w:pPr>
            <w:r>
              <w:rPr>
                <w:rFonts w:ascii="宋体" w:hAnsi="宋体" w:eastAsia="宋体"/>
                <w:sz w:val="16"/>
              </w:rPr>
              <w:t>31.81%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0E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A40C">
            <w:pPr>
              <w:jc w:val="center"/>
            </w:pPr>
            <w:r>
              <w:rPr>
                <w:rFonts w:ascii="宋体" w:hAnsi="宋体" w:eastAsia="宋体"/>
                <w:sz w:val="16"/>
              </w:rPr>
              <w:t>偏差原因：厉行节约，减少培训成本，培训人数上升，人均成本降低；整改措施：合理安排资金，将资金使用率最大化。</w:t>
            </w:r>
          </w:p>
        </w:tc>
      </w:tr>
      <w:tr w14:paraId="54F6B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8F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C3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66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8C3D">
            <w:pPr>
              <w:jc w:val="center"/>
            </w:pPr>
            <w:r>
              <w:rPr>
                <w:rFonts w:ascii="宋体" w:hAnsi="宋体" w:eastAsia="宋体"/>
                <w:sz w:val="16"/>
              </w:rPr>
              <w:t>实验室修缮成本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3A85">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D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A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BA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6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97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2BBE">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4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DE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5BFD">
            <w:pPr>
              <w:jc w:val="center"/>
            </w:pPr>
          </w:p>
        </w:tc>
      </w:tr>
      <w:tr w14:paraId="6B647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89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F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AF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6A06">
            <w:pPr>
              <w:jc w:val="center"/>
            </w:pPr>
            <w:r>
              <w:rPr>
                <w:rFonts w:ascii="宋体" w:hAnsi="宋体" w:eastAsia="宋体"/>
                <w:sz w:val="16"/>
              </w:rPr>
              <w:t>办公设备购置成本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C854">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0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3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AC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7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1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E4C7">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E74B">
            <w:pPr>
              <w:jc w:val="center"/>
            </w:pPr>
            <w:r>
              <w:rPr>
                <w:rFonts w:ascii="宋体" w:hAnsi="宋体" w:eastAsia="宋体"/>
                <w:sz w:val="16"/>
              </w:rPr>
              <w:t>77.64%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C08D">
            <w:pPr>
              <w:jc w:val="center"/>
            </w:pPr>
            <w:r>
              <w:rPr>
                <w:rFonts w:ascii="宋体" w:hAnsi="宋体" w:eastAsia="宋体"/>
                <w:sz w:val="16"/>
              </w:rPr>
              <w:t>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3348">
            <w:pPr>
              <w:jc w:val="center"/>
            </w:pPr>
            <w:r>
              <w:rPr>
                <w:rFonts w:ascii="宋体" w:hAnsi="宋体" w:eastAsia="宋体"/>
                <w:sz w:val="16"/>
              </w:rPr>
              <w:t>偏差原因：经三方询价按照报价低的供应商进行采购；整改措施：合理利用资金，避免浪费。</w:t>
            </w:r>
          </w:p>
        </w:tc>
      </w:tr>
      <w:tr w14:paraId="52458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0AF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9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E0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E265">
            <w:pPr>
              <w:jc w:val="center"/>
            </w:pPr>
            <w:r>
              <w:rPr>
                <w:rFonts w:ascii="宋体" w:hAnsi="宋体" w:eastAsia="宋体"/>
                <w:sz w:val="16"/>
              </w:rPr>
              <w:t>健康宣传品制作成本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6E3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9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A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A4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6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2B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9A9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2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CC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E9AB">
            <w:pPr>
              <w:jc w:val="center"/>
            </w:pPr>
          </w:p>
        </w:tc>
      </w:tr>
      <w:tr w14:paraId="4CB6B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7F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4B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F1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DC64">
            <w:pPr>
              <w:jc w:val="center"/>
            </w:pPr>
            <w:r>
              <w:rPr>
                <w:rFonts w:ascii="宋体" w:hAnsi="宋体" w:eastAsia="宋体"/>
                <w:sz w:val="16"/>
              </w:rPr>
              <w:t>妇女儿童健康水平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4D71">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3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2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5A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0F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F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229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B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1E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6E1D">
            <w:pPr>
              <w:jc w:val="center"/>
            </w:pPr>
          </w:p>
        </w:tc>
      </w:tr>
      <w:tr w14:paraId="2EA80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8F9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0545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178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1FA2">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C3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8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1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20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91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35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5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E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D2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C120">
            <w:pPr>
              <w:jc w:val="center"/>
            </w:pPr>
          </w:p>
        </w:tc>
      </w:tr>
      <w:tr w14:paraId="653B2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0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A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78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B497">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17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0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C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A0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96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5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B1B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A690">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9C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B4DF">
            <w:pPr>
              <w:jc w:val="center"/>
            </w:pPr>
            <w:r>
              <w:rPr>
                <w:rFonts w:ascii="宋体" w:hAnsi="宋体" w:eastAsia="宋体"/>
                <w:sz w:val="16"/>
              </w:rPr>
              <w:t>偏差原因：办公设备国产化替代，有待适应；整改措施：加强学习，提高办公设备利用率。</w:t>
            </w:r>
          </w:p>
        </w:tc>
      </w:tr>
      <w:tr w14:paraId="661F3D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EE63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C99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EC8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46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07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381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D32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A2D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69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C547">
            <w:pPr>
              <w:jc w:val="center"/>
            </w:pPr>
            <w:r>
              <w:rPr>
                <w:rFonts w:ascii="宋体" w:hAnsi="宋体" w:eastAsia="宋体"/>
                <w:sz w:val="16"/>
              </w:rPr>
              <w:t>86.50分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B87DF"/>
        </w:tc>
      </w:tr>
    </w:tbl>
    <w:p w14:paraId="07F6A6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30AFC036">
        <w:tblPrEx>
          <w:tblCellMar>
            <w:top w:w="0" w:type="dxa"/>
            <w:left w:w="108" w:type="dxa"/>
            <w:bottom w:w="0" w:type="dxa"/>
            <w:right w:w="108" w:type="dxa"/>
          </w:tblCellMar>
        </w:tblPrEx>
        <w:tc>
          <w:tcPr>
            <w:tcW w:w="8848" w:type="dxa"/>
            <w:gridSpan w:val="14"/>
            <w:vAlign w:val="center"/>
          </w:tcPr>
          <w:p w14:paraId="06B52639">
            <w:pPr>
              <w:jc w:val="center"/>
            </w:pPr>
            <w:r>
              <w:rPr>
                <w:rFonts w:ascii="宋体" w:hAnsi="宋体" w:eastAsia="宋体"/>
                <w:sz w:val="24"/>
              </w:rPr>
              <w:t>项目支出绩效自评表</w:t>
            </w:r>
          </w:p>
        </w:tc>
      </w:tr>
      <w:tr w14:paraId="722718E2">
        <w:tblPrEx>
          <w:tblCellMar>
            <w:top w:w="0" w:type="dxa"/>
            <w:left w:w="108" w:type="dxa"/>
            <w:bottom w:w="0" w:type="dxa"/>
            <w:right w:w="108" w:type="dxa"/>
          </w:tblCellMar>
        </w:tblPrEx>
        <w:tc>
          <w:tcPr>
            <w:tcW w:w="8848" w:type="dxa"/>
            <w:gridSpan w:val="14"/>
            <w:vAlign w:val="center"/>
          </w:tcPr>
          <w:p w14:paraId="29169EA8">
            <w:pPr>
              <w:jc w:val="center"/>
            </w:pPr>
            <w:r>
              <w:rPr>
                <w:rFonts w:ascii="宋体" w:hAnsi="宋体" w:eastAsia="宋体"/>
                <w:sz w:val="24"/>
              </w:rPr>
              <w:t>(2024年度)</w:t>
            </w:r>
          </w:p>
        </w:tc>
      </w:tr>
      <w:tr w14:paraId="3AA86B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98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115003">
            <w:pPr>
              <w:jc w:val="center"/>
            </w:pPr>
            <w:r>
              <w:rPr>
                <w:rFonts w:ascii="宋体" w:hAnsi="宋体" w:eastAsia="宋体"/>
                <w:sz w:val="16"/>
              </w:rPr>
              <w:t>为民办实事工作费用</w:t>
            </w:r>
          </w:p>
        </w:tc>
      </w:tr>
      <w:tr w14:paraId="16060C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3C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8FE4F">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1D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0AD45">
            <w:pPr>
              <w:jc w:val="center"/>
            </w:pPr>
            <w:r>
              <w:rPr>
                <w:rFonts w:ascii="宋体" w:hAnsi="宋体" w:eastAsia="宋体"/>
                <w:sz w:val="16"/>
              </w:rPr>
              <w:t>巴音郭楞蒙古自治州妇幼保健计划生育服务中心</w:t>
            </w:r>
          </w:p>
        </w:tc>
      </w:tr>
      <w:tr w14:paraId="311467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CA47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0A4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14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5BE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6B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32A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57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9A1F">
            <w:pPr>
              <w:jc w:val="center"/>
            </w:pPr>
            <w:r>
              <w:rPr>
                <w:rFonts w:ascii="宋体" w:hAnsi="宋体" w:eastAsia="宋体"/>
                <w:sz w:val="16"/>
              </w:rPr>
              <w:t>得分</w:t>
            </w:r>
          </w:p>
        </w:tc>
      </w:tr>
      <w:tr w14:paraId="1B5BEC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FC6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552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A90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59B0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4CDD9">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15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5CBED">
            <w:pPr>
              <w:jc w:val="center"/>
            </w:pPr>
            <w:r>
              <w:rPr>
                <w:rFonts w:ascii="宋体" w:hAnsi="宋体" w:eastAsia="宋体"/>
                <w:sz w:val="16"/>
              </w:rPr>
              <w:t>63.87%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06A0">
            <w:pPr>
              <w:jc w:val="center"/>
            </w:pPr>
            <w:r>
              <w:rPr>
                <w:rFonts w:ascii="宋体" w:hAnsi="宋体" w:eastAsia="宋体"/>
                <w:sz w:val="16"/>
              </w:rPr>
              <w:t>0.97</w:t>
            </w:r>
          </w:p>
        </w:tc>
      </w:tr>
      <w:tr w14:paraId="5361E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B5F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BFD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D447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54BB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80C5">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BD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5C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D126">
            <w:pPr>
              <w:jc w:val="center"/>
            </w:pPr>
            <w:r>
              <w:rPr>
                <w:rFonts w:ascii="宋体" w:hAnsi="宋体" w:eastAsia="宋体"/>
                <w:sz w:val="16"/>
              </w:rPr>
              <w:t>-</w:t>
            </w:r>
          </w:p>
        </w:tc>
      </w:tr>
      <w:tr w14:paraId="23814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3F0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E863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809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77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83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93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6B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7804">
            <w:pPr>
              <w:jc w:val="center"/>
            </w:pPr>
            <w:r>
              <w:rPr>
                <w:rFonts w:ascii="宋体" w:hAnsi="宋体" w:eastAsia="宋体"/>
                <w:sz w:val="16"/>
              </w:rPr>
              <w:t>-</w:t>
            </w:r>
          </w:p>
        </w:tc>
      </w:tr>
      <w:tr w14:paraId="1C0EFE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C63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B2A0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6A8C1">
            <w:pPr>
              <w:jc w:val="center"/>
            </w:pPr>
            <w:r>
              <w:rPr>
                <w:rFonts w:ascii="宋体" w:hAnsi="宋体" w:eastAsia="宋体"/>
                <w:sz w:val="16"/>
              </w:rPr>
              <w:t>总体目标完成情况</w:t>
            </w:r>
          </w:p>
        </w:tc>
      </w:tr>
      <w:tr w14:paraId="500F0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51F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D6438">
            <w:pPr>
              <w:jc w:val="both"/>
            </w:pPr>
            <w:r>
              <w:rPr>
                <w:rFonts w:ascii="宋体" w:hAnsi="宋体" w:eastAsia="宋体"/>
                <w:sz w:val="16"/>
              </w:rPr>
              <w:t>我中心为社区委派</w:t>
            </w:r>
            <w:r>
              <w:rPr>
                <w:rFonts w:hint="eastAsia" w:ascii="宋体" w:hAnsi="宋体"/>
                <w:sz w:val="16"/>
                <w:lang w:eastAsia="zh-CN"/>
              </w:rPr>
              <w:t>一支</w:t>
            </w:r>
            <w:r>
              <w:rPr>
                <w:rFonts w:ascii="宋体" w:hAnsi="宋体" w:eastAsia="宋体"/>
                <w:sz w:val="16"/>
              </w:rPr>
              <w:t>工作队帮助社区组织开展各类活动。为民办实事经费主要用于做好社区群众工作，补充社区组织工作经费，项目资金为各项活动的顺利开展提供了资金保障。2024年全年至少为居民办6件好事实事。为居民营造一个良好的生活环境，提升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8DAE4D">
            <w:pPr>
              <w:jc w:val="both"/>
            </w:pPr>
            <w:r>
              <w:rPr>
                <w:rFonts w:ascii="宋体" w:hAnsi="宋体" w:eastAsia="宋体"/>
                <w:sz w:val="16"/>
              </w:rPr>
              <w:t>我中心为社区委派</w:t>
            </w:r>
            <w:r>
              <w:rPr>
                <w:rFonts w:hint="eastAsia" w:ascii="宋体" w:hAnsi="宋体"/>
                <w:sz w:val="16"/>
                <w:lang w:eastAsia="zh-CN"/>
              </w:rPr>
              <w:t>一支</w:t>
            </w:r>
            <w:r>
              <w:rPr>
                <w:rFonts w:ascii="宋体" w:hAnsi="宋体" w:eastAsia="宋体"/>
                <w:sz w:val="16"/>
              </w:rPr>
              <w:t>工作队帮助社区组织开展各类活动,2024年全年为居民办5件好事实事。为居民营造一个良好的生活环境，提升群众满意度。</w:t>
            </w:r>
          </w:p>
        </w:tc>
      </w:tr>
      <w:tr w14:paraId="18BD76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D51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81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7B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E1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F2F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8B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63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E9D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6ED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9C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0ED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17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732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F1BA">
            <w:pPr>
              <w:jc w:val="center"/>
            </w:pPr>
            <w:r>
              <w:rPr>
                <w:rFonts w:ascii="宋体" w:hAnsi="宋体" w:eastAsia="宋体"/>
                <w:sz w:val="16"/>
              </w:rPr>
              <w:t>偏差原因分析及改进措施</w:t>
            </w:r>
          </w:p>
        </w:tc>
      </w:tr>
      <w:tr w14:paraId="1F7EC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F90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B75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2BC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1DEC">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BF9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2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E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9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D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8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303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E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3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165C">
            <w:pPr>
              <w:jc w:val="center"/>
            </w:pPr>
          </w:p>
        </w:tc>
      </w:tr>
      <w:tr w14:paraId="1A48C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2B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E7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4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8C6F">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232B">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8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0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F9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4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E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448A">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2373">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F045">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61C5">
            <w:pPr>
              <w:jc w:val="center"/>
            </w:pPr>
            <w:r>
              <w:rPr>
                <w:rFonts w:ascii="宋体" w:hAnsi="宋体" w:eastAsia="宋体"/>
                <w:sz w:val="16"/>
              </w:rPr>
              <w:t>偏差原因：资金下达已是9月份，至年底工作未完成；整改措施：在以后工作中，提早规划，尽快完成各项工作。</w:t>
            </w:r>
          </w:p>
        </w:tc>
      </w:tr>
      <w:tr w14:paraId="7E172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6E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5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B5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DC6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C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4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C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8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2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1C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5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2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7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5F8C">
            <w:pPr>
              <w:jc w:val="center"/>
            </w:pPr>
          </w:p>
        </w:tc>
      </w:tr>
      <w:tr w14:paraId="12B33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A1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94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E7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B10A">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2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9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0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7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D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A3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01BE">
            <w:pPr>
              <w:jc w:val="center"/>
            </w:pPr>
            <w:r>
              <w:rPr>
                <w:rFonts w:ascii="宋体" w:hAnsi="宋体" w:eastAsia="宋体"/>
                <w:sz w:val="16"/>
              </w:rPr>
              <w:t>=63.87%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8128">
            <w:pPr>
              <w:jc w:val="center"/>
            </w:pPr>
            <w:r>
              <w:rPr>
                <w:rFonts w:ascii="宋体" w:hAnsi="宋体" w:eastAsia="宋体"/>
                <w:sz w:val="16"/>
              </w:rPr>
              <w:t>63.87%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C62B">
            <w:pPr>
              <w:jc w:val="center"/>
            </w:pPr>
            <w:r>
              <w:rPr>
                <w:rFonts w:ascii="宋体" w:hAnsi="宋体" w:eastAsia="宋体"/>
                <w:sz w:val="16"/>
              </w:rPr>
              <w:t>0.97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AE2">
            <w:pPr>
              <w:jc w:val="center"/>
            </w:pPr>
            <w:r>
              <w:rPr>
                <w:rFonts w:ascii="宋体" w:hAnsi="宋体" w:eastAsia="宋体"/>
                <w:sz w:val="16"/>
              </w:rPr>
              <w:t>偏差原因：资金下达已是9月份，至年底工作未完成，资金未全部使用完；整改措施：在以后工作中，提早规划，尽快完成各项工作。</w:t>
            </w:r>
          </w:p>
        </w:tc>
      </w:tr>
      <w:tr w14:paraId="46348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DF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AE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F1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698F">
            <w:pPr>
              <w:jc w:val="center"/>
            </w:pPr>
            <w:r>
              <w:rPr>
                <w:rFonts w:ascii="宋体" w:hAnsi="宋体" w:eastAsia="宋体"/>
                <w:sz w:val="16"/>
              </w:rPr>
              <w:t>平均每件为民办实事费用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D9F8">
            <w:pPr>
              <w:jc w:val="center"/>
            </w:pPr>
            <w:r>
              <w:rPr>
                <w:rFonts w:ascii="宋体" w:hAnsi="宋体" w:eastAsia="宋体"/>
                <w:sz w:val="16"/>
              </w:rPr>
              <w:t>&lt;=2.5万元/件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B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0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DB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E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43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EBC8">
            <w:pPr>
              <w:jc w:val="center"/>
            </w:pPr>
            <w:r>
              <w:rPr>
                <w:rFonts w:ascii="宋体" w:hAnsi="宋体" w:eastAsia="宋体"/>
                <w:sz w:val="16"/>
              </w:rPr>
              <w:t>=1.91万元/件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091C">
            <w:pPr>
              <w:jc w:val="center"/>
            </w:pPr>
            <w:r>
              <w:rPr>
                <w:rFonts w:ascii="宋体" w:hAnsi="宋体" w:eastAsia="宋体"/>
                <w:sz w:val="16"/>
              </w:rPr>
              <w:t>63.66%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1740">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D932">
            <w:pPr>
              <w:jc w:val="center"/>
            </w:pPr>
            <w:r>
              <w:rPr>
                <w:rFonts w:ascii="宋体" w:hAnsi="宋体" w:eastAsia="宋体"/>
                <w:sz w:val="16"/>
              </w:rPr>
              <w:t>偏差原因：按照年初预算完成6件实事，只完成5件；整改措施：在以后工作中，预算尽可能准确，将实事全部完成。</w:t>
            </w:r>
          </w:p>
        </w:tc>
      </w:tr>
      <w:tr w14:paraId="3019A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4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4D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F7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D710">
            <w:pPr>
              <w:jc w:val="center"/>
            </w:pPr>
            <w:r>
              <w:rPr>
                <w:rFonts w:ascii="宋体" w:hAnsi="宋体" w:eastAsia="宋体"/>
                <w:sz w:val="16"/>
              </w:rPr>
              <w:t>提升居民生活幸福感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08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6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7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9E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72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D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3F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F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A1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2D67">
            <w:pPr>
              <w:jc w:val="center"/>
            </w:pPr>
          </w:p>
        </w:tc>
      </w:tr>
      <w:tr w14:paraId="7E36F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0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97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37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4C7C">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DC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C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5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F6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8B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8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705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2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CB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40C1">
            <w:pPr>
              <w:jc w:val="center"/>
            </w:pPr>
          </w:p>
        </w:tc>
      </w:tr>
      <w:tr w14:paraId="481151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3D77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FFD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5B6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70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1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BAD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8B2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6C6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2A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0896">
            <w:pPr>
              <w:jc w:val="center"/>
            </w:pPr>
            <w:r>
              <w:rPr>
                <w:rFonts w:ascii="宋体" w:hAnsi="宋体" w:eastAsia="宋体"/>
                <w:sz w:val="16"/>
              </w:rPr>
              <w:t>59.60分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4278B"/>
        </w:tc>
      </w:tr>
    </w:tbl>
    <w:p w14:paraId="18C3F9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5D48A815">
        <w:tblPrEx>
          <w:tblCellMar>
            <w:top w:w="0" w:type="dxa"/>
            <w:left w:w="108" w:type="dxa"/>
            <w:bottom w:w="0" w:type="dxa"/>
            <w:right w:w="108" w:type="dxa"/>
          </w:tblCellMar>
        </w:tblPrEx>
        <w:tc>
          <w:tcPr>
            <w:tcW w:w="8848" w:type="dxa"/>
            <w:gridSpan w:val="14"/>
            <w:vAlign w:val="center"/>
          </w:tcPr>
          <w:p w14:paraId="0212CE40">
            <w:pPr>
              <w:jc w:val="center"/>
            </w:pPr>
            <w:r>
              <w:rPr>
                <w:rFonts w:ascii="宋体" w:hAnsi="宋体" w:eastAsia="宋体"/>
                <w:sz w:val="24"/>
              </w:rPr>
              <w:t>项目支出绩效自评表</w:t>
            </w:r>
          </w:p>
        </w:tc>
      </w:tr>
      <w:tr w14:paraId="019D8CB3">
        <w:tblPrEx>
          <w:tblCellMar>
            <w:top w:w="0" w:type="dxa"/>
            <w:left w:w="108" w:type="dxa"/>
            <w:bottom w:w="0" w:type="dxa"/>
            <w:right w:w="108" w:type="dxa"/>
          </w:tblCellMar>
        </w:tblPrEx>
        <w:tc>
          <w:tcPr>
            <w:tcW w:w="8848" w:type="dxa"/>
            <w:gridSpan w:val="14"/>
            <w:vAlign w:val="center"/>
          </w:tcPr>
          <w:p w14:paraId="55630973">
            <w:pPr>
              <w:jc w:val="center"/>
            </w:pPr>
            <w:r>
              <w:rPr>
                <w:rFonts w:ascii="宋体" w:hAnsi="宋体" w:eastAsia="宋体"/>
                <w:sz w:val="24"/>
              </w:rPr>
              <w:t>(2024年度)</w:t>
            </w:r>
          </w:p>
        </w:tc>
      </w:tr>
      <w:tr w14:paraId="7AB01E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28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831BC8">
            <w:pPr>
              <w:jc w:val="center"/>
            </w:pPr>
            <w:r>
              <w:rPr>
                <w:rFonts w:ascii="宋体" w:hAnsi="宋体" w:eastAsia="宋体"/>
                <w:sz w:val="16"/>
              </w:rPr>
              <w:t>巴州妇幼保健计划生育服务中心业务项目</w:t>
            </w:r>
          </w:p>
        </w:tc>
      </w:tr>
      <w:tr w14:paraId="63CC33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5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9810B">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91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9F241">
            <w:pPr>
              <w:jc w:val="center"/>
            </w:pPr>
            <w:r>
              <w:rPr>
                <w:rFonts w:ascii="宋体" w:hAnsi="宋体" w:eastAsia="宋体"/>
                <w:sz w:val="16"/>
              </w:rPr>
              <w:t>巴音郭楞蒙古自治州妇幼保健计划生育服务中心</w:t>
            </w:r>
          </w:p>
        </w:tc>
      </w:tr>
      <w:tr w14:paraId="3BAC6C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721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4F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B78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DE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BC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0DE9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8C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751B">
            <w:pPr>
              <w:jc w:val="center"/>
            </w:pPr>
            <w:r>
              <w:rPr>
                <w:rFonts w:ascii="宋体" w:hAnsi="宋体" w:eastAsia="宋体"/>
                <w:sz w:val="16"/>
              </w:rPr>
              <w:t>得分</w:t>
            </w:r>
          </w:p>
        </w:tc>
      </w:tr>
      <w:tr w14:paraId="7BDE03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0EF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1B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4B0A">
            <w:pPr>
              <w:jc w:val="center"/>
            </w:pPr>
            <w:r>
              <w:rPr>
                <w:rFonts w:ascii="宋体" w:hAnsi="宋体" w:eastAsia="宋体"/>
                <w:sz w:val="16"/>
              </w:rPr>
              <w:t>144.22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52C2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0A4ED">
            <w:pPr>
              <w:jc w:val="center"/>
            </w:pPr>
            <w:r>
              <w:rPr>
                <w:rFonts w:ascii="宋体" w:hAnsi="宋体" w:eastAsia="宋体"/>
                <w:sz w:val="16"/>
              </w:rPr>
              <w:t>48.46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961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3D8D">
            <w:pPr>
              <w:jc w:val="center"/>
            </w:pPr>
            <w:r>
              <w:rPr>
                <w:rFonts w:ascii="宋体" w:hAnsi="宋体" w:eastAsia="宋体"/>
                <w:sz w:val="16"/>
              </w:rPr>
              <w:t>64.61%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FD53">
            <w:pPr>
              <w:jc w:val="center"/>
            </w:pPr>
            <w:r>
              <w:rPr>
                <w:rFonts w:ascii="宋体" w:hAnsi="宋体" w:eastAsia="宋体"/>
                <w:sz w:val="16"/>
              </w:rPr>
              <w:t>1.15</w:t>
            </w:r>
          </w:p>
        </w:tc>
      </w:tr>
      <w:tr w14:paraId="4A37A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439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68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9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F6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7A9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A2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9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97B3">
            <w:pPr>
              <w:jc w:val="center"/>
            </w:pPr>
            <w:r>
              <w:rPr>
                <w:rFonts w:ascii="宋体" w:hAnsi="宋体" w:eastAsia="宋体"/>
                <w:sz w:val="16"/>
              </w:rPr>
              <w:t>-</w:t>
            </w:r>
          </w:p>
        </w:tc>
      </w:tr>
      <w:tr w14:paraId="429B5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D07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861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8C56C">
            <w:pPr>
              <w:jc w:val="center"/>
            </w:pPr>
            <w:r>
              <w:rPr>
                <w:rFonts w:ascii="宋体" w:hAnsi="宋体" w:eastAsia="宋体"/>
                <w:sz w:val="16"/>
              </w:rPr>
              <w:t>144.22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A405A">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B1671">
            <w:pPr>
              <w:jc w:val="center"/>
            </w:pPr>
            <w:r>
              <w:rPr>
                <w:rFonts w:ascii="宋体" w:hAnsi="宋体" w:eastAsia="宋体"/>
                <w:sz w:val="16"/>
              </w:rPr>
              <w:t>48.46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6C4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2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8DFD">
            <w:pPr>
              <w:jc w:val="center"/>
            </w:pPr>
            <w:r>
              <w:rPr>
                <w:rFonts w:ascii="宋体" w:hAnsi="宋体" w:eastAsia="宋体"/>
                <w:sz w:val="16"/>
              </w:rPr>
              <w:t>-</w:t>
            </w:r>
          </w:p>
        </w:tc>
      </w:tr>
      <w:tr w14:paraId="1C3E5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6D1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F61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F70942">
            <w:pPr>
              <w:jc w:val="center"/>
            </w:pPr>
            <w:r>
              <w:rPr>
                <w:rFonts w:ascii="宋体" w:hAnsi="宋体" w:eastAsia="宋体"/>
                <w:sz w:val="16"/>
              </w:rPr>
              <w:t>总体目标完成情况</w:t>
            </w:r>
          </w:p>
        </w:tc>
      </w:tr>
      <w:tr w14:paraId="073A1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570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D846D">
            <w:pPr>
              <w:jc w:val="both"/>
            </w:pPr>
            <w:r>
              <w:rPr>
                <w:rFonts w:ascii="宋体" w:hAnsi="宋体" w:eastAsia="宋体"/>
                <w:sz w:val="16"/>
              </w:rPr>
              <w:t>为做好中心妇幼保健工作，购置信息网络及软件购置更新、支付应付账款，提高医疗技术及提升公共服务能力，有效保障医疗业务的正常开展，为全州妇女儿童健康提供服务。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21C47">
            <w:pPr>
              <w:jc w:val="both"/>
            </w:pPr>
            <w:r>
              <w:rPr>
                <w:rFonts w:ascii="宋体" w:hAnsi="宋体" w:eastAsia="宋体"/>
                <w:sz w:val="16"/>
              </w:rPr>
              <w:t>2024年全年购置信息网络及软件购置更新2套，共支付6.86万元；支付应付账款14次，共支付41.6万元，提高医疗技术及提升公共服务能力，有效保障医疗业务的正常开展，为全州妇女儿童健康提供服务。</w:t>
            </w:r>
          </w:p>
        </w:tc>
      </w:tr>
      <w:tr w14:paraId="7364E3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CBC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1E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B0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C8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25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18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DB9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30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C18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3A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B1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13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20B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6544">
            <w:pPr>
              <w:jc w:val="center"/>
            </w:pPr>
            <w:r>
              <w:rPr>
                <w:rFonts w:ascii="宋体" w:hAnsi="宋体" w:eastAsia="宋体"/>
                <w:sz w:val="16"/>
              </w:rPr>
              <w:t>偏差原因分析及改进措施</w:t>
            </w:r>
          </w:p>
        </w:tc>
      </w:tr>
      <w:tr w14:paraId="791A4F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482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C6A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4E6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B260">
            <w:pPr>
              <w:jc w:val="center"/>
            </w:pPr>
            <w:r>
              <w:rPr>
                <w:rFonts w:ascii="宋体" w:hAnsi="宋体" w:eastAsia="宋体"/>
                <w:sz w:val="16"/>
              </w:rPr>
              <w:t>应付款次数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A5C5">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0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5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40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E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4E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B7DF">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024">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8B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B30">
            <w:pPr>
              <w:jc w:val="center"/>
            </w:pPr>
            <w:r>
              <w:rPr>
                <w:rFonts w:ascii="宋体" w:hAnsi="宋体" w:eastAsia="宋体"/>
                <w:sz w:val="16"/>
              </w:rPr>
              <w:t>偏差原因：因单位资金受限，无法进行支付；整改措施：加强医疗业务服务，增加收入，尽快支付应付款</w:t>
            </w:r>
          </w:p>
        </w:tc>
      </w:tr>
      <w:tr w14:paraId="0899B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BF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1B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51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2E42">
            <w:pPr>
              <w:jc w:val="center"/>
            </w:pPr>
            <w:r>
              <w:rPr>
                <w:rFonts w:ascii="宋体" w:hAnsi="宋体" w:eastAsia="宋体"/>
                <w:sz w:val="16"/>
              </w:rPr>
              <w:t>信息网络及软件购置更新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BEF7">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9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7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94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9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4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6F86">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F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9C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FA07">
            <w:pPr>
              <w:jc w:val="center"/>
            </w:pPr>
          </w:p>
        </w:tc>
      </w:tr>
      <w:tr w14:paraId="28C7C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0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DA5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B86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7014">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84DB">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7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0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08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0AD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8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3F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F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8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6C59">
            <w:pPr>
              <w:jc w:val="center"/>
            </w:pPr>
          </w:p>
        </w:tc>
      </w:tr>
      <w:tr w14:paraId="76A85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1E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23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E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6DCE">
            <w:pPr>
              <w:jc w:val="center"/>
            </w:pPr>
            <w:r>
              <w:rPr>
                <w:rFonts w:hint="eastAsia" w:ascii="宋体" w:hAnsi="宋体"/>
                <w:sz w:val="16"/>
                <w:lang w:eastAsia="zh-CN"/>
              </w:rPr>
              <w:t>应付账</w:t>
            </w:r>
            <w:r>
              <w:rPr>
                <w:rFonts w:ascii="宋体" w:hAnsi="宋体" w:eastAsia="宋体"/>
                <w:sz w:val="16"/>
              </w:rPr>
              <w:t>款支付准确率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B4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C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4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37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B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1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4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D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1D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33ED">
            <w:pPr>
              <w:jc w:val="center"/>
            </w:pPr>
          </w:p>
        </w:tc>
      </w:tr>
      <w:tr w14:paraId="1DEF7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4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A58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946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E901">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07C5">
            <w:pPr>
              <w:jc w:val="center"/>
            </w:pPr>
            <w:r>
              <w:rPr>
                <w:rFonts w:ascii="宋体" w:hAnsi="宋体" w:eastAsia="宋体"/>
                <w:sz w:val="16"/>
              </w:rPr>
              <w:t>&lt;=4小时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3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F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F0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2A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5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C346">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1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43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0CF9">
            <w:pPr>
              <w:jc w:val="center"/>
            </w:pPr>
          </w:p>
        </w:tc>
      </w:tr>
      <w:tr w14:paraId="2AB7A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61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93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F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9FB4">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5FAE">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9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E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3E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27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7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F17E">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7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C0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7A13">
            <w:pPr>
              <w:jc w:val="center"/>
            </w:pPr>
          </w:p>
        </w:tc>
      </w:tr>
      <w:tr w14:paraId="6B135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33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D6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9A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3CA9">
            <w:pPr>
              <w:jc w:val="center"/>
            </w:pPr>
            <w:r>
              <w:rPr>
                <w:rFonts w:hint="eastAsia" w:ascii="宋体" w:hAnsi="宋体"/>
                <w:sz w:val="16"/>
                <w:lang w:eastAsia="zh-CN"/>
              </w:rPr>
              <w:t>应付账</w:t>
            </w:r>
            <w:r>
              <w:rPr>
                <w:rFonts w:ascii="宋体" w:hAnsi="宋体" w:eastAsia="宋体"/>
                <w:sz w:val="16"/>
              </w:rPr>
              <w:t>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4F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8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9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4B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5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8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E653">
            <w:pPr>
              <w:jc w:val="center"/>
            </w:pPr>
            <w:r>
              <w:rPr>
                <w:rFonts w:ascii="宋体" w:hAnsi="宋体" w:eastAsia="宋体"/>
                <w:sz w:val="16"/>
              </w:rPr>
              <w:t>=61.18%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59F4">
            <w:pPr>
              <w:jc w:val="center"/>
            </w:pPr>
            <w:r>
              <w:rPr>
                <w:rFonts w:ascii="宋体" w:hAnsi="宋体" w:eastAsia="宋体"/>
                <w:sz w:val="16"/>
              </w:rPr>
              <w:t>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90B0">
            <w:pPr>
              <w:jc w:val="center"/>
            </w:pPr>
            <w:r>
              <w:rPr>
                <w:rFonts w:ascii="宋体" w:hAnsi="宋体" w:eastAsia="宋体"/>
                <w:sz w:val="16"/>
              </w:rPr>
              <w:t>0.55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B2FB">
            <w:pPr>
              <w:jc w:val="center"/>
            </w:pPr>
            <w:r>
              <w:rPr>
                <w:rFonts w:ascii="宋体" w:hAnsi="宋体" w:eastAsia="宋体"/>
                <w:sz w:val="16"/>
              </w:rPr>
              <w:t>偏差原因：因医疗业务收入较少，无法全额支付；整改措施：加强医疗服务质量，提高医疗收入，尽快完成支付。</w:t>
            </w:r>
          </w:p>
        </w:tc>
      </w:tr>
      <w:tr w14:paraId="6D8A1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E98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472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668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BF1C">
            <w:pPr>
              <w:jc w:val="center"/>
            </w:pPr>
            <w:r>
              <w:rPr>
                <w:rFonts w:ascii="宋体" w:hAnsi="宋体" w:eastAsia="宋体"/>
                <w:sz w:val="16"/>
              </w:rPr>
              <w:t>应付款成本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449D">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C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A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0B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9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BC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7A93">
            <w:pPr>
              <w:jc w:val="center"/>
            </w:pPr>
            <w:r>
              <w:rPr>
                <w:rFonts w:ascii="宋体" w:hAnsi="宋体" w:eastAsia="宋体"/>
                <w:sz w:val="16"/>
              </w:rPr>
              <w: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9208">
            <w:pPr>
              <w:jc w:val="center"/>
            </w:pPr>
            <w:r>
              <w:rPr>
                <w:rFonts w:ascii="宋体" w:hAnsi="宋体" w:eastAsia="宋体"/>
                <w:sz w:val="16"/>
              </w:rPr>
              <w:t>61.18%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BFF4">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8EFA">
            <w:pPr>
              <w:jc w:val="center"/>
            </w:pPr>
            <w:r>
              <w:rPr>
                <w:rFonts w:ascii="宋体" w:hAnsi="宋体" w:eastAsia="宋体"/>
                <w:sz w:val="16"/>
              </w:rPr>
              <w:t>偏差原因：因单位资金受限，无法进行支付；整改措施：加强医疗业务服务，增加收入，尽快支付应付款</w:t>
            </w:r>
          </w:p>
        </w:tc>
      </w:tr>
      <w:tr w14:paraId="46E56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4E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F1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9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BCD8">
            <w:pPr>
              <w:jc w:val="center"/>
            </w:pPr>
            <w:r>
              <w:rPr>
                <w:rFonts w:ascii="宋体" w:hAnsi="宋体" w:eastAsia="宋体"/>
                <w:sz w:val="16"/>
              </w:rPr>
              <w:t>购置更新信息网络及软件成本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9219">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C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B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6B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A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20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FFF6">
            <w:pPr>
              <w:jc w:val="center"/>
            </w:pPr>
            <w:r>
              <w:rPr>
                <w:rFonts w:ascii="宋体" w:hAnsi="宋体" w:eastAsia="宋体"/>
                <w:sz w:val="16"/>
              </w:rPr>
              <w:t>=6.86万元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4AE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C2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A418">
            <w:pPr>
              <w:jc w:val="center"/>
            </w:pPr>
            <w:r>
              <w:rPr>
                <w:rFonts w:ascii="宋体" w:hAnsi="宋体" w:eastAsia="宋体"/>
                <w:sz w:val="16"/>
              </w:rPr>
              <w:t>偏差原因：多方询价后，以最低价采购，故节约成本1400元；整改措施：尽可能做到预算与实际采购相符。</w:t>
            </w:r>
          </w:p>
        </w:tc>
      </w:tr>
      <w:tr w14:paraId="5407D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0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2C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49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C28D">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E1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2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5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33D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9F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32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045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4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82C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D83B">
            <w:pPr>
              <w:jc w:val="center"/>
            </w:pPr>
          </w:p>
        </w:tc>
      </w:tr>
      <w:tr w14:paraId="056762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20E7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010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595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48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2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FD53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8CE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CC6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B1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40A9">
            <w:pPr>
              <w:jc w:val="center"/>
            </w:pPr>
            <w:r>
              <w:rPr>
                <w:rFonts w:ascii="宋体" w:hAnsi="宋体" w:eastAsia="宋体"/>
                <w:sz w:val="16"/>
              </w:rPr>
              <w:t>75.49分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B4F68"/>
        </w:tc>
      </w:tr>
    </w:tbl>
    <w:p w14:paraId="5EA0D00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464C7B5D">
        <w:tc>
          <w:tcPr>
            <w:tcW w:w="8848" w:type="dxa"/>
            <w:gridSpan w:val="14"/>
            <w:vAlign w:val="center"/>
          </w:tcPr>
          <w:p w14:paraId="57370370">
            <w:pPr>
              <w:jc w:val="center"/>
            </w:pPr>
            <w:r>
              <w:rPr>
                <w:rFonts w:ascii="宋体" w:hAnsi="宋体" w:eastAsia="宋体"/>
                <w:sz w:val="24"/>
              </w:rPr>
              <w:t>项目支出绩效自评表</w:t>
            </w:r>
          </w:p>
        </w:tc>
      </w:tr>
      <w:tr w14:paraId="0B539BA1">
        <w:tblPrEx>
          <w:tblCellMar>
            <w:top w:w="0" w:type="dxa"/>
            <w:left w:w="108" w:type="dxa"/>
            <w:bottom w:w="0" w:type="dxa"/>
            <w:right w:w="108" w:type="dxa"/>
          </w:tblCellMar>
        </w:tblPrEx>
        <w:tc>
          <w:tcPr>
            <w:tcW w:w="8848" w:type="dxa"/>
            <w:gridSpan w:val="14"/>
            <w:vAlign w:val="center"/>
          </w:tcPr>
          <w:p w14:paraId="219E5E6A">
            <w:pPr>
              <w:jc w:val="center"/>
            </w:pPr>
            <w:r>
              <w:rPr>
                <w:rFonts w:ascii="宋体" w:hAnsi="宋体" w:eastAsia="宋体"/>
                <w:sz w:val="24"/>
              </w:rPr>
              <w:t>(2024年度)</w:t>
            </w:r>
          </w:p>
        </w:tc>
      </w:tr>
      <w:tr w14:paraId="59944C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C6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8B9BCE">
            <w:pPr>
              <w:jc w:val="center"/>
            </w:pPr>
            <w:r>
              <w:rPr>
                <w:rFonts w:ascii="宋体" w:hAnsi="宋体" w:eastAsia="宋体"/>
                <w:sz w:val="16"/>
              </w:rPr>
              <w:t>巴州妇幼保健计划生育服务中心信息化建设项目</w:t>
            </w:r>
          </w:p>
        </w:tc>
      </w:tr>
      <w:tr w14:paraId="278700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5F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1C04F">
            <w:pPr>
              <w:jc w:val="center"/>
            </w:pPr>
            <w:r>
              <w:rPr>
                <w:rFonts w:ascii="宋体" w:hAnsi="宋体" w:eastAsia="宋体"/>
                <w:sz w:val="16"/>
              </w:rPr>
              <w:t>巴音郭楞蒙古自治州妇幼保健计划生育服务中心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60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486AA">
            <w:pPr>
              <w:jc w:val="center"/>
            </w:pPr>
            <w:r>
              <w:rPr>
                <w:rFonts w:ascii="宋体" w:hAnsi="宋体" w:eastAsia="宋体"/>
                <w:sz w:val="16"/>
              </w:rPr>
              <w:t>巴音郭楞蒙古自治州妇幼保健</w:t>
            </w:r>
            <w:bookmarkStart w:id="0" w:name="_GoBack"/>
            <w:r>
              <w:rPr>
                <w:rFonts w:ascii="宋体" w:hAnsi="宋体" w:eastAsia="宋体"/>
                <w:sz w:val="16"/>
              </w:rPr>
              <w:t>计划生育</w:t>
            </w:r>
            <w:bookmarkEnd w:id="0"/>
            <w:r>
              <w:rPr>
                <w:rFonts w:ascii="宋体" w:hAnsi="宋体" w:eastAsia="宋体"/>
                <w:sz w:val="16"/>
              </w:rPr>
              <w:t>服务中心</w:t>
            </w:r>
          </w:p>
        </w:tc>
      </w:tr>
      <w:tr w14:paraId="5DBCA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3195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4BB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53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C11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B22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B3A0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7C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1E21">
            <w:pPr>
              <w:jc w:val="center"/>
            </w:pPr>
            <w:r>
              <w:rPr>
                <w:rFonts w:ascii="宋体" w:hAnsi="宋体" w:eastAsia="宋体"/>
                <w:sz w:val="16"/>
              </w:rPr>
              <w:t>得分</w:t>
            </w:r>
          </w:p>
        </w:tc>
      </w:tr>
      <w:tr w14:paraId="2547B7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270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D6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F20A">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C458">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1C5E">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B03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73B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8BAF">
            <w:pPr>
              <w:jc w:val="center"/>
            </w:pPr>
            <w:r>
              <w:rPr>
                <w:rFonts w:ascii="宋体" w:hAnsi="宋体" w:eastAsia="宋体"/>
                <w:sz w:val="16"/>
              </w:rPr>
              <w:t>10.00</w:t>
            </w:r>
          </w:p>
        </w:tc>
      </w:tr>
      <w:tr w14:paraId="5C417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46E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52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A319">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563D">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729E">
            <w:pPr>
              <w:jc w:val="center"/>
            </w:pPr>
            <w:r>
              <w:rPr>
                <w:rFonts w:ascii="宋体" w:hAnsi="宋体" w:eastAsia="宋体"/>
                <w:sz w:val="16"/>
              </w:rPr>
              <w:t>63.05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A5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87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38D8">
            <w:pPr>
              <w:jc w:val="center"/>
            </w:pPr>
            <w:r>
              <w:rPr>
                <w:rFonts w:ascii="宋体" w:hAnsi="宋体" w:eastAsia="宋体"/>
                <w:sz w:val="16"/>
              </w:rPr>
              <w:t>-</w:t>
            </w:r>
          </w:p>
        </w:tc>
      </w:tr>
      <w:tr w14:paraId="43DD5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3F3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130B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94C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D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C2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C1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7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69F0">
            <w:pPr>
              <w:jc w:val="center"/>
            </w:pPr>
            <w:r>
              <w:rPr>
                <w:rFonts w:ascii="宋体" w:hAnsi="宋体" w:eastAsia="宋体"/>
                <w:sz w:val="16"/>
              </w:rPr>
              <w:t>-</w:t>
            </w:r>
          </w:p>
        </w:tc>
      </w:tr>
      <w:tr w14:paraId="702A8A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396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55237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6CE4B1">
            <w:pPr>
              <w:jc w:val="center"/>
            </w:pPr>
            <w:r>
              <w:rPr>
                <w:rFonts w:ascii="宋体" w:hAnsi="宋体" w:eastAsia="宋体"/>
                <w:sz w:val="16"/>
              </w:rPr>
              <w:t>总体目标完成情况</w:t>
            </w:r>
          </w:p>
        </w:tc>
      </w:tr>
      <w:tr w14:paraId="17C69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541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40393">
            <w:pPr>
              <w:jc w:val="both"/>
            </w:pPr>
            <w:r>
              <w:rPr>
                <w:rFonts w:ascii="宋体" w:hAnsi="宋体" w:eastAsia="宋体"/>
                <w:sz w:val="16"/>
              </w:rPr>
              <w:t>根据巴财预追</w:t>
            </w:r>
            <w:r>
              <w:rPr>
                <w:rFonts w:hint="eastAsia" w:ascii="宋体" w:hAnsi="宋体"/>
                <w:sz w:val="16"/>
                <w:lang w:eastAsia="zh-CN"/>
              </w:rPr>
              <w:t>〔2024〕45号</w:t>
            </w:r>
            <w:r>
              <w:rPr>
                <w:rFonts w:ascii="宋体" w:hAnsi="宋体" w:eastAsia="宋体"/>
                <w:sz w:val="16"/>
              </w:rPr>
              <w:t>文件精神，拨付剩余63.05万元，用于支付信息系统技术服务成本10.37万元，硬件设备成本52.68万元。达到提高公共卫生信息系统运行能力，从而增强防疫监控、应急处置和救治能力。有利于改进医院管理，统筹规划电子病历，有助于促进医疗、医药和医保机构的信息共享和业务协同，最终支撑中心整体业务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4798E">
            <w:pPr>
              <w:jc w:val="both"/>
            </w:pPr>
            <w:r>
              <w:rPr>
                <w:rFonts w:ascii="宋体" w:hAnsi="宋体" w:eastAsia="宋体"/>
                <w:sz w:val="16"/>
              </w:rPr>
              <w:t>完成</w:t>
            </w:r>
            <w:r>
              <w:rPr>
                <w:rFonts w:hint="eastAsia" w:ascii="宋体" w:hAnsi="宋体"/>
                <w:sz w:val="16"/>
                <w:lang w:eastAsia="zh-CN"/>
              </w:rPr>
              <w:t>信息技术服务</w:t>
            </w:r>
            <w:r>
              <w:rPr>
                <w:rFonts w:ascii="宋体" w:hAnsi="宋体" w:eastAsia="宋体"/>
                <w:sz w:val="16"/>
              </w:rPr>
              <w:t>及硬件设备采购一套，有利于改进医院管理，统筹规划电子病历，有助于促进医疗、医药和医保机构的信息共享和业务协同，最终支撑中心整体业务发展。</w:t>
            </w:r>
          </w:p>
        </w:tc>
      </w:tr>
      <w:tr w14:paraId="3AA0D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54F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F7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F4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A9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93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BD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8E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ABA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93C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6C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EDC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42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19D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DED2">
            <w:pPr>
              <w:jc w:val="center"/>
            </w:pPr>
            <w:r>
              <w:rPr>
                <w:rFonts w:ascii="宋体" w:hAnsi="宋体" w:eastAsia="宋体"/>
                <w:sz w:val="16"/>
              </w:rPr>
              <w:t>偏差原因分析及改进措施</w:t>
            </w:r>
          </w:p>
        </w:tc>
      </w:tr>
      <w:tr w14:paraId="12D49C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D1F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1FF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2F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5F3A">
            <w:pPr>
              <w:jc w:val="center"/>
            </w:pPr>
            <w:r>
              <w:rPr>
                <w:rFonts w:ascii="宋体" w:hAnsi="宋体" w:eastAsia="宋体"/>
                <w:sz w:val="16"/>
              </w:rPr>
              <w:t>购买软硬件套数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14E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7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3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7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F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3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EB5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F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A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E911">
            <w:pPr>
              <w:jc w:val="center"/>
            </w:pPr>
          </w:p>
        </w:tc>
      </w:tr>
      <w:tr w14:paraId="69DA8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D8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4C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39D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5C4A">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D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B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A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3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0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5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9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4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9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187E">
            <w:pPr>
              <w:jc w:val="center"/>
            </w:pPr>
          </w:p>
        </w:tc>
      </w:tr>
      <w:tr w14:paraId="6CE8E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C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DD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A4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486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B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D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F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8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4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B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C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2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2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DD4D">
            <w:pPr>
              <w:jc w:val="center"/>
            </w:pPr>
          </w:p>
        </w:tc>
      </w:tr>
      <w:tr w14:paraId="3B45A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D0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28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26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B448">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8C8F">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A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3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C6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DE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59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E0D7">
            <w:pPr>
              <w:jc w:val="center"/>
            </w:pPr>
            <w:r>
              <w:rPr>
                <w:rFonts w:ascii="宋体" w:hAnsi="宋体" w:eastAsia="宋体"/>
                <w:sz w:val="16"/>
              </w:rPr>
              <w:t>2024年7月17日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D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2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D6D3">
            <w:pPr>
              <w:jc w:val="center"/>
            </w:pPr>
          </w:p>
        </w:tc>
      </w:tr>
      <w:tr w14:paraId="44A83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FE8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56A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BAE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D8A4">
            <w:pPr>
              <w:jc w:val="center"/>
            </w:pPr>
            <w:r>
              <w:rPr>
                <w:rFonts w:ascii="宋体" w:hAnsi="宋体" w:eastAsia="宋体"/>
                <w:sz w:val="16"/>
              </w:rPr>
              <w:t>信息系统技术服务成本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F215">
            <w:pPr>
              <w:jc w:val="center"/>
            </w:pPr>
            <w:r>
              <w:rPr>
                <w:rFonts w:ascii="宋体" w:hAnsi="宋体" w:eastAsia="宋体"/>
                <w:sz w:val="16"/>
              </w:rPr>
              <w:t>&lt;=10.37万元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2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8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9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E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87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1965">
            <w:pPr>
              <w:jc w:val="center"/>
            </w:pPr>
            <w:r>
              <w:rPr>
                <w:rFonts w:ascii="宋体" w:hAnsi="宋体" w:eastAsia="宋体"/>
                <w:sz w:val="16"/>
              </w:rPr>
              <w:t>=10.37万元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9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8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9335">
            <w:pPr>
              <w:jc w:val="center"/>
            </w:pPr>
          </w:p>
        </w:tc>
      </w:tr>
      <w:tr w14:paraId="4A0E1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8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D5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48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36FA">
            <w:pPr>
              <w:jc w:val="center"/>
            </w:pPr>
            <w:r>
              <w:rPr>
                <w:rFonts w:ascii="宋体" w:hAnsi="宋体" w:eastAsia="宋体"/>
                <w:sz w:val="16"/>
              </w:rPr>
              <w:t>购置硬件设备成本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5086">
            <w:pPr>
              <w:jc w:val="center"/>
            </w:pPr>
            <w:r>
              <w:rPr>
                <w:rFonts w:ascii="宋体" w:hAnsi="宋体" w:eastAsia="宋体"/>
                <w:sz w:val="16"/>
              </w:rPr>
              <w:t>&lt;=52.68万元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4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A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A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9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14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BA69">
            <w:pPr>
              <w:jc w:val="center"/>
            </w:pPr>
            <w:r>
              <w:rPr>
                <w:rFonts w:ascii="宋体" w:hAnsi="宋体" w:eastAsia="宋体"/>
                <w:sz w:val="16"/>
              </w:rPr>
              <w:t>=52.68万元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E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7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0A4F">
            <w:pPr>
              <w:jc w:val="center"/>
            </w:pPr>
          </w:p>
        </w:tc>
      </w:tr>
      <w:tr w14:paraId="1B4B9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74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F0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A4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76A2">
            <w:pPr>
              <w:jc w:val="center"/>
            </w:pPr>
            <w:r>
              <w:rPr>
                <w:rFonts w:ascii="宋体" w:hAnsi="宋体" w:eastAsia="宋体"/>
                <w:sz w:val="16"/>
              </w:rPr>
              <w:t>项目使用人数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0CED">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6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8B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6EC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A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4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39D9">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4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E90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2C1D">
            <w:pPr>
              <w:jc w:val="center"/>
            </w:pPr>
          </w:p>
        </w:tc>
      </w:tr>
      <w:tr w14:paraId="20A030B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795B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71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CA45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88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4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ECD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900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D3C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0A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394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4F497"/>
        </w:tc>
      </w:tr>
    </w:tbl>
    <w:p w14:paraId="4A72EEB0">
      <w:r>
        <w:br w:type="page"/>
      </w:r>
    </w:p>
    <w:p w14:paraId="320AEC38">
      <w:pPr>
        <w:spacing w:line="640" w:lineRule="exact"/>
        <w:ind w:firstLine="640"/>
        <w:jc w:val="both"/>
        <w:outlineLvl w:val="2"/>
      </w:pPr>
      <w:r>
        <w:rPr>
          <w:rFonts w:ascii="黑体" w:hAnsi="黑体" w:eastAsia="黑体"/>
          <w:sz w:val="32"/>
        </w:rPr>
        <w:t>十二、其他需说明的事项</w:t>
      </w:r>
    </w:p>
    <w:p w14:paraId="1BC10FA3">
      <w:pPr>
        <w:spacing w:line="580" w:lineRule="exact"/>
        <w:ind w:firstLine="640"/>
        <w:jc w:val="both"/>
      </w:pPr>
      <w:r>
        <w:rPr>
          <w:rFonts w:ascii="仿宋_GB2312" w:hAnsi="仿宋_GB2312" w:eastAsia="仿宋_GB2312"/>
          <w:b w:val="0"/>
          <w:sz w:val="32"/>
        </w:rPr>
        <w:t>本年度本单位整体绩效自评表由主管部门编报并公开。</w:t>
      </w:r>
    </w:p>
    <w:p w14:paraId="6691AF46">
      <w:r>
        <w:br w:type="page"/>
      </w:r>
    </w:p>
    <w:p w14:paraId="24BB3842">
      <w:pPr>
        <w:spacing w:line="240" w:lineRule="auto"/>
        <w:jc w:val="center"/>
        <w:outlineLvl w:val="1"/>
      </w:pPr>
      <w:r>
        <w:rPr>
          <w:rFonts w:ascii="黑体" w:hAnsi="黑体" w:eastAsia="黑体"/>
          <w:sz w:val="32"/>
        </w:rPr>
        <w:t>第三部分 专业名词解释</w:t>
      </w:r>
    </w:p>
    <w:p w14:paraId="1F57CC9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7C765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0A2CE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FC9C08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02303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8A0E6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63FBF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752F0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C60C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546C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DBABF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C005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06C9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4169C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67C60F5">
      <w:r>
        <w:br w:type="page"/>
      </w:r>
    </w:p>
    <w:p w14:paraId="20092276">
      <w:pPr>
        <w:spacing w:line="240" w:lineRule="auto"/>
        <w:jc w:val="center"/>
        <w:outlineLvl w:val="1"/>
      </w:pPr>
      <w:r>
        <w:rPr>
          <w:rFonts w:ascii="黑体" w:hAnsi="黑体" w:eastAsia="黑体"/>
          <w:sz w:val="32"/>
        </w:rPr>
        <w:t>第四部分 部门决算报表（见附表）</w:t>
      </w:r>
    </w:p>
    <w:p w14:paraId="2AA61DE8">
      <w:pPr>
        <w:spacing w:line="240" w:lineRule="auto"/>
        <w:ind w:firstLine="640"/>
        <w:jc w:val="both"/>
      </w:pPr>
      <w:r>
        <w:rPr>
          <w:rFonts w:ascii="仿宋_GB2312" w:hAnsi="仿宋_GB2312" w:eastAsia="仿宋_GB2312"/>
          <w:b w:val="0"/>
          <w:sz w:val="32"/>
        </w:rPr>
        <w:t>一、《收入支出决算总表》</w:t>
      </w:r>
    </w:p>
    <w:p w14:paraId="0C694BB0">
      <w:pPr>
        <w:spacing w:line="240" w:lineRule="auto"/>
        <w:ind w:firstLine="640"/>
        <w:jc w:val="both"/>
      </w:pPr>
      <w:r>
        <w:rPr>
          <w:rFonts w:ascii="仿宋_GB2312" w:hAnsi="仿宋_GB2312" w:eastAsia="仿宋_GB2312"/>
          <w:b w:val="0"/>
          <w:sz w:val="32"/>
        </w:rPr>
        <w:t>二、《收入决算表》</w:t>
      </w:r>
    </w:p>
    <w:p w14:paraId="068892F0">
      <w:pPr>
        <w:spacing w:line="240" w:lineRule="auto"/>
        <w:ind w:firstLine="640"/>
        <w:jc w:val="both"/>
      </w:pPr>
      <w:r>
        <w:rPr>
          <w:rFonts w:ascii="仿宋_GB2312" w:hAnsi="仿宋_GB2312" w:eastAsia="仿宋_GB2312"/>
          <w:b w:val="0"/>
          <w:sz w:val="32"/>
        </w:rPr>
        <w:t>三、《支出决算表》</w:t>
      </w:r>
    </w:p>
    <w:p w14:paraId="5D404BFA">
      <w:pPr>
        <w:spacing w:line="240" w:lineRule="auto"/>
        <w:ind w:firstLine="640"/>
        <w:jc w:val="both"/>
      </w:pPr>
      <w:r>
        <w:rPr>
          <w:rFonts w:ascii="仿宋_GB2312" w:hAnsi="仿宋_GB2312" w:eastAsia="仿宋_GB2312"/>
          <w:b w:val="0"/>
          <w:sz w:val="32"/>
        </w:rPr>
        <w:t>四、《财政拨款收入支出决算总表》</w:t>
      </w:r>
    </w:p>
    <w:p w14:paraId="04140D49">
      <w:pPr>
        <w:spacing w:line="240" w:lineRule="auto"/>
        <w:ind w:firstLine="640"/>
        <w:jc w:val="both"/>
      </w:pPr>
      <w:r>
        <w:rPr>
          <w:rFonts w:ascii="仿宋_GB2312" w:hAnsi="仿宋_GB2312" w:eastAsia="仿宋_GB2312"/>
          <w:b w:val="0"/>
          <w:sz w:val="32"/>
        </w:rPr>
        <w:t>五、《一般公共预算财政拨款支出决算表》</w:t>
      </w:r>
    </w:p>
    <w:p w14:paraId="6D11DAB1">
      <w:pPr>
        <w:spacing w:line="240" w:lineRule="auto"/>
        <w:ind w:firstLine="640"/>
        <w:jc w:val="both"/>
      </w:pPr>
      <w:r>
        <w:rPr>
          <w:rFonts w:ascii="仿宋_GB2312" w:hAnsi="仿宋_GB2312" w:eastAsia="仿宋_GB2312"/>
          <w:b w:val="0"/>
          <w:sz w:val="32"/>
        </w:rPr>
        <w:t>六、《一般公共预算财政拨款基本支出决算表》</w:t>
      </w:r>
    </w:p>
    <w:p w14:paraId="79DA30DB">
      <w:pPr>
        <w:spacing w:line="240" w:lineRule="auto"/>
        <w:ind w:firstLine="640"/>
        <w:jc w:val="both"/>
      </w:pPr>
      <w:r>
        <w:rPr>
          <w:rFonts w:ascii="仿宋_GB2312" w:hAnsi="仿宋_GB2312" w:eastAsia="仿宋_GB2312"/>
          <w:b w:val="0"/>
          <w:sz w:val="32"/>
        </w:rPr>
        <w:t>七、《政府性基金预算财政拨款收入支出决算表》</w:t>
      </w:r>
    </w:p>
    <w:p w14:paraId="76817732">
      <w:pPr>
        <w:spacing w:line="240" w:lineRule="auto"/>
        <w:ind w:firstLine="640"/>
        <w:jc w:val="both"/>
      </w:pPr>
      <w:r>
        <w:rPr>
          <w:rFonts w:ascii="仿宋_GB2312" w:hAnsi="仿宋_GB2312" w:eastAsia="仿宋_GB2312"/>
          <w:b w:val="0"/>
          <w:sz w:val="32"/>
        </w:rPr>
        <w:t>八、《国有资本经营预算财政拨款收入支出决算表》</w:t>
      </w:r>
    </w:p>
    <w:p w14:paraId="3F7D111B">
      <w:pPr>
        <w:spacing w:line="240" w:lineRule="auto"/>
        <w:ind w:firstLine="640"/>
        <w:jc w:val="both"/>
      </w:pPr>
      <w:r>
        <w:rPr>
          <w:rFonts w:ascii="仿宋_GB2312" w:hAnsi="仿宋_GB2312" w:eastAsia="仿宋_GB2312"/>
          <w:b w:val="0"/>
          <w:sz w:val="32"/>
        </w:rPr>
        <w:t>九、《财政拨款“三公”经费支出决算表》</w:t>
      </w:r>
    </w:p>
    <w:p w14:paraId="323EFAEE">
      <w:pPr>
        <w:spacing w:line="240" w:lineRule="auto"/>
        <w:ind w:firstLine="640"/>
        <w:jc w:val="both"/>
      </w:pPr>
    </w:p>
    <w:p w14:paraId="1E7AD145">
      <w:pPr>
        <w:spacing w:line="240" w:lineRule="auto"/>
        <w:ind w:firstLine="640"/>
        <w:jc w:val="both"/>
      </w:pPr>
    </w:p>
    <w:p w14:paraId="6393A20F">
      <w:pPr>
        <w:spacing w:line="240" w:lineRule="auto"/>
        <w:ind w:firstLine="640"/>
        <w:jc w:val="both"/>
      </w:pPr>
    </w:p>
    <w:p w14:paraId="487D62B8">
      <w:pPr>
        <w:spacing w:line="240" w:lineRule="auto"/>
        <w:ind w:firstLine="640"/>
        <w:jc w:val="both"/>
      </w:pPr>
    </w:p>
    <w:p w14:paraId="444C19B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3702C4-BB0F-4AD3-8A55-24D4735C2B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586E9E2-BE17-4C0D-9D3E-9CA9776999CD}"/>
  </w:font>
  <w:font w:name="仿宋_GB2312">
    <w:panose1 w:val="02010609030101010101"/>
    <w:charset w:val="86"/>
    <w:family w:val="modern"/>
    <w:pitch w:val="default"/>
    <w:sig w:usb0="00000001" w:usb1="080E0000" w:usb2="00000000" w:usb3="00000000" w:csb0="00040000" w:csb1="00000000"/>
    <w:embedRegular r:id="rId3" w:fontKey="{23218BDC-AF85-4EA3-BB96-A5C0EFFAC78B}"/>
  </w:font>
  <w:font w:name="楷体_GB2312">
    <w:panose1 w:val="02010609030101010101"/>
    <w:charset w:val="86"/>
    <w:family w:val="auto"/>
    <w:pitch w:val="default"/>
    <w:sig w:usb0="00000001" w:usb1="080E0000" w:usb2="00000000" w:usb3="00000000" w:csb0="00040000" w:csb1="00000000"/>
    <w:embedRegular r:id="rId4" w:fontKey="{394F37AF-E331-4E05-8D56-3560EC2804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C16924"/>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CC3325"/>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5445</Words>
  <Characters>6197</Characters>
  <Lines>0</Lines>
  <Paragraphs>0</Paragraphs>
  <TotalTime>8</TotalTime>
  <ScaleCrop>false</ScaleCrop>
  <LinksUpToDate>false</LinksUpToDate>
  <CharactersWithSpaces>6205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2025-09-11T07:45:57Z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