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巴音郭楞蒙古自治州中心血站2024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E35191">
      <w:r>
        <w:br w:type="page"/>
      </w:r>
    </w:p>
    <w:p w14:paraId="6F42E2B8">
      <w:pPr>
        <w:spacing w:line="640" w:lineRule="exact"/>
        <w:jc w:val="center"/>
        <w:outlineLvl w:val="1"/>
      </w:pPr>
      <w:r>
        <w:rPr>
          <w:rFonts w:ascii="黑体" w:hAnsi="黑体" w:eastAsia="黑体"/>
          <w:sz w:val="32"/>
        </w:rPr>
        <w:t>第一部分 单位概况</w:t>
      </w:r>
    </w:p>
    <w:p w14:paraId="305744D7">
      <w:pPr>
        <w:spacing w:line="640" w:lineRule="exact"/>
        <w:ind w:firstLine="640"/>
        <w:jc w:val="both"/>
        <w:outlineLvl w:val="2"/>
      </w:pPr>
      <w:r>
        <w:rPr>
          <w:rFonts w:ascii="黑体" w:hAnsi="黑体" w:eastAsia="黑体"/>
          <w:sz w:val="32"/>
        </w:rPr>
        <w:t>一、主要职能</w:t>
      </w:r>
    </w:p>
    <w:p w14:paraId="0E213A93">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中心血站承担自治州范围内无偿献血者的招募、血液的采集与制备、临床用血供应及医疗用血的业务指导；负责供血区域范围内的血液储存和所在</w:t>
      </w:r>
      <w:r>
        <w:rPr>
          <w:rFonts w:hint="eastAsia" w:ascii="仿宋_GB2312" w:hAnsi="仿宋_GB2312" w:eastAsia="仿宋_GB2312"/>
          <w:sz w:val="32"/>
          <w:lang w:eastAsia="zh-CN"/>
        </w:rPr>
        <w:t>行政区域</w:t>
      </w:r>
      <w:r>
        <w:rPr>
          <w:rFonts w:ascii="仿宋_GB2312" w:hAnsi="仿宋_GB2312" w:eastAsia="仿宋_GB2312"/>
          <w:sz w:val="32"/>
        </w:rPr>
        <w:t>内的中心血库的质量控制等工作。</w:t>
      </w:r>
    </w:p>
    <w:p w14:paraId="7FCC6541">
      <w:pPr>
        <w:spacing w:line="640" w:lineRule="exact"/>
        <w:ind w:firstLine="640"/>
        <w:jc w:val="both"/>
        <w:outlineLvl w:val="2"/>
      </w:pPr>
      <w:r>
        <w:rPr>
          <w:rFonts w:ascii="黑体" w:hAnsi="黑体" w:eastAsia="黑体"/>
          <w:sz w:val="32"/>
        </w:rPr>
        <w:t>二、机构设置及人员情况</w:t>
      </w:r>
    </w:p>
    <w:p w14:paraId="61825A4E">
      <w:pPr>
        <w:spacing w:line="580" w:lineRule="exact"/>
        <w:ind w:firstLine="640"/>
        <w:jc w:val="both"/>
      </w:pPr>
      <w:r>
        <w:rPr>
          <w:rFonts w:ascii="仿宋_GB2312" w:hAnsi="仿宋_GB2312" w:eastAsia="仿宋_GB2312"/>
          <w:sz w:val="32"/>
        </w:rPr>
        <w:t>巴音郭楞蒙古自治州中心血站2024年度，实有人数47人，其中：在职人员28人，增加0人；离休人员0人，增加0人；退休人员19人,增加0人。</w:t>
      </w:r>
    </w:p>
    <w:p w14:paraId="649C9F54">
      <w:pPr>
        <w:spacing w:line="580" w:lineRule="exact"/>
        <w:ind w:firstLine="640"/>
        <w:jc w:val="both"/>
      </w:pPr>
      <w:r>
        <w:rPr>
          <w:rFonts w:ascii="仿宋_GB2312" w:hAnsi="仿宋_GB2312" w:eastAsia="仿宋_GB2312"/>
          <w:sz w:val="32"/>
        </w:rPr>
        <w:t>巴音郭楞蒙古自治州中心血站无下属预算单位，下设7个科室，分别是：办公室、财务科、供血服务科、体采科、质量控制科、血源管理科、检验科。</w:t>
      </w:r>
    </w:p>
    <w:p w14:paraId="290963CA">
      <w:r>
        <w:br w:type="page"/>
      </w:r>
    </w:p>
    <w:p w14:paraId="7D0AF152">
      <w:pPr>
        <w:spacing w:line="240" w:lineRule="auto"/>
        <w:jc w:val="center"/>
        <w:outlineLvl w:val="1"/>
      </w:pPr>
      <w:r>
        <w:rPr>
          <w:rFonts w:ascii="黑体" w:hAnsi="黑体" w:eastAsia="黑体"/>
          <w:sz w:val="32"/>
        </w:rPr>
        <w:t>第二部分 部门决算情况说明</w:t>
      </w:r>
    </w:p>
    <w:p w14:paraId="2978547F">
      <w:pPr>
        <w:spacing w:line="640" w:lineRule="exact"/>
        <w:ind w:firstLine="640"/>
        <w:jc w:val="both"/>
        <w:outlineLvl w:val="2"/>
      </w:pPr>
      <w:r>
        <w:rPr>
          <w:rFonts w:ascii="黑体" w:hAnsi="黑体" w:eastAsia="黑体"/>
          <w:sz w:val="32"/>
        </w:rPr>
        <w:t>一、收入支出决算总体情况说明</w:t>
      </w:r>
    </w:p>
    <w:p w14:paraId="5CE82970">
      <w:pPr>
        <w:spacing w:line="580" w:lineRule="exact"/>
        <w:ind w:firstLine="640"/>
        <w:jc w:val="both"/>
      </w:pPr>
      <w:r>
        <w:rPr>
          <w:rFonts w:ascii="仿宋_GB2312" w:hAnsi="仿宋_GB2312" w:eastAsia="仿宋_GB2312"/>
          <w:b/>
          <w:sz w:val="32"/>
        </w:rPr>
        <w:t>2024年度收入总计1,477.27万元，</w:t>
      </w:r>
      <w:r>
        <w:rPr>
          <w:rFonts w:ascii="仿宋_GB2312" w:hAnsi="仿宋_GB2312" w:eastAsia="仿宋_GB2312"/>
          <w:b w:val="0"/>
          <w:sz w:val="32"/>
        </w:rPr>
        <w:t>其中：本年收入合计1,112.42万元，使用非财政拨款结余（含专用结余）0.00万元，年初结转和结余364.84万元。</w:t>
      </w:r>
    </w:p>
    <w:p w14:paraId="7477A0DC">
      <w:pPr>
        <w:spacing w:line="580" w:lineRule="exact"/>
        <w:ind w:firstLine="640"/>
        <w:jc w:val="both"/>
      </w:pPr>
      <w:r>
        <w:rPr>
          <w:rFonts w:ascii="仿宋_GB2312" w:hAnsi="仿宋_GB2312" w:eastAsia="仿宋_GB2312"/>
          <w:b/>
          <w:sz w:val="32"/>
        </w:rPr>
        <w:t>2024年度支出总计1,477.27万元，</w:t>
      </w:r>
      <w:r>
        <w:rPr>
          <w:rFonts w:ascii="仿宋_GB2312" w:hAnsi="仿宋_GB2312" w:eastAsia="仿宋_GB2312"/>
          <w:b w:val="0"/>
          <w:sz w:val="32"/>
        </w:rPr>
        <w:t>其中：本年支出合计1,126.07万元，结余分配0.00万元，年末结转和结余351.19万元。</w:t>
      </w:r>
    </w:p>
    <w:p w14:paraId="3A96F200">
      <w:pPr>
        <w:spacing w:line="580" w:lineRule="exact"/>
        <w:ind w:firstLine="640"/>
        <w:jc w:val="both"/>
      </w:pPr>
      <w:r>
        <w:rPr>
          <w:rFonts w:ascii="仿宋_GB2312" w:hAnsi="仿宋_GB2312" w:eastAsia="仿宋_GB2312"/>
          <w:b w:val="0"/>
          <w:sz w:val="32"/>
        </w:rPr>
        <w:t>收入支出总体与上年相比，增加77.68万元，增长5.55%，主要原因是：本年增加人防易地建设费，导致经费较上年增加。</w:t>
      </w:r>
    </w:p>
    <w:p w14:paraId="195A299A">
      <w:pPr>
        <w:spacing w:line="640" w:lineRule="exact"/>
        <w:ind w:firstLine="640"/>
        <w:jc w:val="both"/>
        <w:outlineLvl w:val="2"/>
      </w:pPr>
      <w:r>
        <w:rPr>
          <w:rFonts w:ascii="黑体" w:hAnsi="黑体" w:eastAsia="黑体"/>
          <w:sz w:val="32"/>
        </w:rPr>
        <w:t>二、收入决算情况说明</w:t>
      </w:r>
    </w:p>
    <w:p w14:paraId="1F69FA27">
      <w:pPr>
        <w:spacing w:line="580" w:lineRule="exact"/>
        <w:ind w:firstLine="640"/>
        <w:jc w:val="both"/>
      </w:pPr>
      <w:r>
        <w:rPr>
          <w:rFonts w:ascii="仿宋_GB2312" w:hAnsi="仿宋_GB2312" w:eastAsia="仿宋_GB2312"/>
          <w:b/>
          <w:sz w:val="32"/>
        </w:rPr>
        <w:t>本年收入1,112.42万元，</w:t>
      </w:r>
      <w:r>
        <w:rPr>
          <w:rFonts w:ascii="仿宋_GB2312" w:hAnsi="仿宋_GB2312" w:eastAsia="仿宋_GB2312"/>
          <w:b w:val="0"/>
          <w:sz w:val="32"/>
        </w:rPr>
        <w:t>其中：财政拨款收入111.00万元，占9.98%；上级补助收入0.00万元，占0.00%；事业收入992.17万元，占89.19%；经营收入0.00万元，占0.00%；附属单位上缴收入0.00万元，占0.00%；其他收入9.25万元，占0.83%。</w:t>
      </w:r>
    </w:p>
    <w:p w14:paraId="0F1BE8D7">
      <w:pPr>
        <w:spacing w:line="640" w:lineRule="exact"/>
        <w:ind w:firstLine="640"/>
        <w:jc w:val="both"/>
        <w:outlineLvl w:val="2"/>
      </w:pPr>
      <w:r>
        <w:rPr>
          <w:rFonts w:ascii="黑体" w:hAnsi="黑体" w:eastAsia="黑体"/>
          <w:sz w:val="32"/>
        </w:rPr>
        <w:t>三、支出决算情况说明</w:t>
      </w:r>
    </w:p>
    <w:p w14:paraId="1E6EF4EB">
      <w:pPr>
        <w:spacing w:line="580" w:lineRule="exact"/>
        <w:ind w:firstLine="640"/>
        <w:jc w:val="both"/>
      </w:pPr>
      <w:r>
        <w:rPr>
          <w:rFonts w:ascii="仿宋_GB2312" w:hAnsi="仿宋_GB2312" w:eastAsia="仿宋_GB2312"/>
          <w:b/>
          <w:sz w:val="32"/>
        </w:rPr>
        <w:t>本年支出1,126.07万元，</w:t>
      </w:r>
      <w:r>
        <w:rPr>
          <w:rFonts w:ascii="仿宋_GB2312" w:hAnsi="仿宋_GB2312" w:eastAsia="仿宋_GB2312"/>
          <w:b w:val="0"/>
          <w:sz w:val="32"/>
        </w:rPr>
        <w:t>其中：基本支出1,011.48万元，占89.82%；项目支出114.59万元，占10.18%；上缴上级支出0.00万元，占0.00%；经营支出0.00万元，占0.00%；对附属单位补助支出0.00万元，占0.00%。</w:t>
      </w:r>
    </w:p>
    <w:p w14:paraId="2845763A">
      <w:pPr>
        <w:spacing w:line="640" w:lineRule="exact"/>
        <w:ind w:firstLine="640"/>
        <w:jc w:val="both"/>
        <w:outlineLvl w:val="2"/>
      </w:pPr>
      <w:r>
        <w:rPr>
          <w:rFonts w:ascii="黑体" w:hAnsi="黑体" w:eastAsia="黑体"/>
          <w:sz w:val="32"/>
        </w:rPr>
        <w:t>四、财政拨款收入支出决算总体情况说明</w:t>
      </w:r>
    </w:p>
    <w:p w14:paraId="55A1ABFF">
      <w:pPr>
        <w:spacing w:line="580" w:lineRule="exact"/>
        <w:ind w:firstLine="640"/>
        <w:jc w:val="both"/>
      </w:pPr>
      <w:r>
        <w:rPr>
          <w:rFonts w:ascii="仿宋_GB2312" w:hAnsi="仿宋_GB2312" w:eastAsia="仿宋_GB2312"/>
          <w:b/>
          <w:sz w:val="32"/>
        </w:rPr>
        <w:t>2024年度财政拨款收入总计111.00万元，</w:t>
      </w:r>
      <w:r>
        <w:rPr>
          <w:rFonts w:ascii="仿宋_GB2312" w:hAnsi="仿宋_GB2312" w:eastAsia="仿宋_GB2312"/>
          <w:b w:val="0"/>
          <w:sz w:val="32"/>
        </w:rPr>
        <w:t>其中：年初财政拨款结转和结余0.00万元，本年财政拨款收入111.00万元。</w:t>
      </w:r>
      <w:r>
        <w:rPr>
          <w:rFonts w:ascii="仿宋_GB2312" w:hAnsi="仿宋_GB2312" w:eastAsia="仿宋_GB2312"/>
          <w:b/>
          <w:sz w:val="32"/>
        </w:rPr>
        <w:t>财政拨款支出总计111.00万元，</w:t>
      </w:r>
      <w:r>
        <w:rPr>
          <w:rFonts w:ascii="仿宋_GB2312" w:hAnsi="仿宋_GB2312" w:eastAsia="仿宋_GB2312"/>
          <w:b w:val="0"/>
          <w:sz w:val="32"/>
        </w:rPr>
        <w:t>其中：年末财政拨款结转和结余0.00万元，本年财政拨款支出111.00万元。</w:t>
      </w:r>
    </w:p>
    <w:p w14:paraId="23E71E8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减少80.40万元，下降42.01%，主要原因是：本年减少州本级医护人员第一批临时性补助、医务人员临时性工作补助资金、州中心血站采血及康复浆采集工作经费。</w:t>
      </w:r>
      <w:r>
        <w:rPr>
          <w:rFonts w:ascii="仿宋_GB2312" w:hAnsi="仿宋_GB2312" w:eastAsia="仿宋_GB2312"/>
          <w:b/>
          <w:sz w:val="32"/>
        </w:rPr>
        <w:t>与年初预算相比，</w:t>
      </w:r>
      <w:r>
        <w:rPr>
          <w:rFonts w:ascii="仿宋_GB2312" w:hAnsi="仿宋_GB2312" w:eastAsia="仿宋_GB2312"/>
          <w:b w:val="0"/>
          <w:sz w:val="32"/>
        </w:rPr>
        <w:t>年初预算数111.00万元，决算数111.00万元，预决算差异率0.00%，主要原因是：严格按照预算执行，预决算无差异。</w:t>
      </w:r>
    </w:p>
    <w:p w14:paraId="3283D5A3">
      <w:pPr>
        <w:spacing w:line="640" w:lineRule="exact"/>
        <w:ind w:firstLine="640"/>
        <w:jc w:val="both"/>
        <w:outlineLvl w:val="2"/>
      </w:pPr>
      <w:r>
        <w:rPr>
          <w:rFonts w:ascii="黑体" w:hAnsi="黑体" w:eastAsia="黑体"/>
          <w:sz w:val="32"/>
        </w:rPr>
        <w:t>五、一般公共预算财政拨款支出决算情况说明</w:t>
      </w:r>
    </w:p>
    <w:p w14:paraId="70AC1031">
      <w:pPr>
        <w:spacing w:line="640" w:lineRule="exact"/>
        <w:ind w:firstLine="640"/>
        <w:jc w:val="both"/>
        <w:outlineLvl w:val="3"/>
      </w:pPr>
      <w:r>
        <w:rPr>
          <w:rFonts w:ascii="楷体_GB2312" w:hAnsi="楷体_GB2312" w:eastAsia="楷体_GB2312"/>
          <w:b/>
          <w:sz w:val="32"/>
        </w:rPr>
        <w:t>（一）一般公共预算财政拨款支出决算总体情况</w:t>
      </w:r>
    </w:p>
    <w:p w14:paraId="38A8F15A">
      <w:pPr>
        <w:spacing w:line="580" w:lineRule="exact"/>
        <w:ind w:firstLine="640"/>
        <w:jc w:val="both"/>
      </w:pPr>
      <w:r>
        <w:rPr>
          <w:rFonts w:ascii="仿宋_GB2312" w:hAnsi="仿宋_GB2312" w:eastAsia="仿宋_GB2312"/>
          <w:b/>
          <w:sz w:val="32"/>
        </w:rPr>
        <w:t>2024年度一般公共预算财政拨款支出111.00万元，</w:t>
      </w:r>
      <w:r>
        <w:rPr>
          <w:rFonts w:ascii="仿宋_GB2312" w:hAnsi="仿宋_GB2312" w:eastAsia="仿宋_GB2312"/>
          <w:b w:val="0"/>
          <w:sz w:val="32"/>
        </w:rPr>
        <w:t>占本年支出合计的9.86%。</w:t>
      </w:r>
      <w:r>
        <w:rPr>
          <w:rFonts w:ascii="仿宋_GB2312" w:hAnsi="仿宋_GB2312" w:eastAsia="仿宋_GB2312"/>
          <w:b/>
          <w:sz w:val="32"/>
        </w:rPr>
        <w:t>与上年相比，</w:t>
      </w:r>
      <w:r>
        <w:rPr>
          <w:rFonts w:ascii="仿宋_GB2312" w:hAnsi="仿宋_GB2312" w:eastAsia="仿宋_GB2312"/>
          <w:b w:val="0"/>
          <w:sz w:val="32"/>
        </w:rPr>
        <w:t>减少80.40万元，下降42.01%，主要原因是：本年减少州本级医护人员第一批临时性补助、医务人员临时性工作补助资金、州中心血站采血及康复浆采集工作经费。</w:t>
      </w:r>
      <w:r>
        <w:rPr>
          <w:rFonts w:ascii="仿宋_GB2312" w:hAnsi="仿宋_GB2312" w:eastAsia="仿宋_GB2312"/>
          <w:b/>
          <w:sz w:val="32"/>
        </w:rPr>
        <w:t>与年初预算相比,</w:t>
      </w:r>
      <w:r>
        <w:rPr>
          <w:rFonts w:ascii="仿宋_GB2312" w:hAnsi="仿宋_GB2312" w:eastAsia="仿宋_GB2312"/>
          <w:b w:val="0"/>
          <w:sz w:val="32"/>
        </w:rPr>
        <w:t>年初预算数111.00万元，决算数111.00万元，预决算差异率0.00%，主要原因是：严格按照预算执行，预决算无差异。</w:t>
      </w:r>
    </w:p>
    <w:p w14:paraId="4118EBCD">
      <w:pPr>
        <w:spacing w:line="640" w:lineRule="exact"/>
        <w:ind w:firstLine="640"/>
        <w:jc w:val="both"/>
        <w:outlineLvl w:val="3"/>
      </w:pPr>
      <w:r>
        <w:rPr>
          <w:rFonts w:ascii="楷体_GB2312" w:hAnsi="楷体_GB2312" w:eastAsia="楷体_GB2312"/>
          <w:b/>
          <w:sz w:val="32"/>
        </w:rPr>
        <w:t>（二）一般公共预算财政拨款支出决算结构情况</w:t>
      </w:r>
    </w:p>
    <w:p w14:paraId="1F6F865B">
      <w:pPr>
        <w:spacing w:line="580" w:lineRule="exact"/>
        <w:ind w:firstLine="640"/>
        <w:jc w:val="both"/>
      </w:pPr>
      <w:r>
        <w:rPr>
          <w:rFonts w:ascii="仿宋_GB2312" w:hAnsi="仿宋_GB2312" w:eastAsia="仿宋_GB2312"/>
          <w:b w:val="0"/>
          <w:sz w:val="32"/>
        </w:rPr>
        <w:t>1.卫生健康支出(类)111.00万元,占100.00%。</w:t>
      </w:r>
    </w:p>
    <w:p w14:paraId="5975C0CA">
      <w:pPr>
        <w:spacing w:line="640" w:lineRule="exact"/>
        <w:ind w:firstLine="640"/>
        <w:jc w:val="both"/>
        <w:outlineLvl w:val="3"/>
      </w:pPr>
      <w:r>
        <w:rPr>
          <w:rFonts w:ascii="楷体_GB2312" w:hAnsi="楷体_GB2312" w:eastAsia="楷体_GB2312"/>
          <w:b/>
          <w:sz w:val="32"/>
        </w:rPr>
        <w:t>（三）一般公共预算财政拨款支出决算具体情况</w:t>
      </w:r>
    </w:p>
    <w:p w14:paraId="2E4BFF80">
      <w:pPr>
        <w:spacing w:line="580" w:lineRule="exact"/>
        <w:ind w:firstLine="640"/>
        <w:jc w:val="both"/>
      </w:pPr>
      <w:r>
        <w:rPr>
          <w:rFonts w:ascii="仿宋_GB2312" w:hAnsi="仿宋_GB2312" w:eastAsia="仿宋_GB2312"/>
          <w:b w:val="0"/>
          <w:sz w:val="32"/>
        </w:rPr>
        <w:t>1.卫生健康支出(类)公共卫生(款)采供血机构(项):支出决算数为0.00万元，比上年决算减少76.00万元，下降100.00%,主要原因是：本年减少州中心血站采血及康复浆采集工作经费。</w:t>
      </w:r>
    </w:p>
    <w:p w14:paraId="7E9B9B41">
      <w:pPr>
        <w:spacing w:line="580" w:lineRule="exact"/>
        <w:ind w:firstLine="640"/>
        <w:jc w:val="both"/>
      </w:pPr>
      <w:r>
        <w:rPr>
          <w:rFonts w:ascii="仿宋_GB2312" w:hAnsi="仿宋_GB2312" w:eastAsia="仿宋_GB2312"/>
          <w:b w:val="0"/>
          <w:sz w:val="32"/>
        </w:rPr>
        <w:t>2.卫生健康支出(类)公共卫生(款)重大公共卫生服务(项):支出决算数为111.00万元，比上年决算增加4.00万元，增长3.74%,主要原因是：本年中央财政重大</w:t>
      </w:r>
      <w:bookmarkStart w:id="0" w:name="_GoBack"/>
      <w:r>
        <w:rPr>
          <w:rFonts w:ascii="仿宋_GB2312" w:hAnsi="仿宋_GB2312" w:eastAsia="仿宋_GB2312"/>
          <w:b w:val="0"/>
          <w:sz w:val="32"/>
        </w:rPr>
        <w:t>传染病</w:t>
      </w:r>
      <w:bookmarkEnd w:id="0"/>
      <w:r>
        <w:rPr>
          <w:rFonts w:ascii="仿宋_GB2312" w:hAnsi="仿宋_GB2312" w:eastAsia="仿宋_GB2312"/>
          <w:b w:val="0"/>
          <w:sz w:val="32"/>
        </w:rPr>
        <w:t>防治补助资金项目业务工作经量增加，导致经费较上年增加。</w:t>
      </w:r>
    </w:p>
    <w:p w14:paraId="4BBD2A97">
      <w:pPr>
        <w:spacing w:line="580" w:lineRule="exact"/>
        <w:ind w:firstLine="640"/>
        <w:jc w:val="both"/>
      </w:pPr>
      <w:r>
        <w:rPr>
          <w:rFonts w:ascii="仿宋_GB2312" w:hAnsi="仿宋_GB2312" w:eastAsia="仿宋_GB2312"/>
          <w:b w:val="0"/>
          <w:sz w:val="32"/>
        </w:rPr>
        <w:t>3.卫生健康支出(类)公共卫生(款)突发公共卫生事件应急处理(项):支出决算数为0.00万元，比上年决算减少8.40万元，下降100.00%,主要原因是：本年减少州本级医护人员第一批临时性补助、医务人员临时性工作补助资金。</w:t>
      </w:r>
    </w:p>
    <w:p w14:paraId="07847357">
      <w:pPr>
        <w:spacing w:line="640" w:lineRule="exact"/>
        <w:ind w:firstLine="640"/>
        <w:jc w:val="both"/>
        <w:outlineLvl w:val="2"/>
      </w:pPr>
      <w:r>
        <w:rPr>
          <w:rFonts w:ascii="黑体" w:hAnsi="黑体" w:eastAsia="黑体"/>
          <w:sz w:val="32"/>
        </w:rPr>
        <w:t>六、一般公共预算财政拨款基本支出决算情况说明</w:t>
      </w:r>
    </w:p>
    <w:p w14:paraId="0385E10E">
      <w:pPr>
        <w:spacing w:line="580" w:lineRule="exact"/>
        <w:ind w:firstLine="640"/>
        <w:jc w:val="both"/>
      </w:pPr>
      <w:r>
        <w:rPr>
          <w:rFonts w:ascii="仿宋_GB2312" w:hAnsi="仿宋_GB2312" w:eastAsia="仿宋_GB2312"/>
          <w:b w:val="0"/>
          <w:sz w:val="32"/>
        </w:rPr>
        <w:t>2024年度一般公共预算财政拨款基本支出0.00万元，其中：</w:t>
      </w:r>
      <w:r>
        <w:rPr>
          <w:rFonts w:ascii="仿宋_GB2312" w:hAnsi="仿宋_GB2312" w:eastAsia="仿宋_GB2312"/>
          <w:b/>
          <w:sz w:val="32"/>
        </w:rPr>
        <w:t>人员经费0.00万元，</w:t>
      </w:r>
      <w:r>
        <w:rPr>
          <w:rFonts w:ascii="仿宋_GB2312" w:hAnsi="仿宋_GB2312" w:eastAsia="仿宋_GB2312"/>
          <w:b w:val="0"/>
          <w:sz w:val="32"/>
        </w:rPr>
        <w:t>包括：无人员经费。</w:t>
      </w:r>
    </w:p>
    <w:p w14:paraId="697CD39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69E20D1">
      <w:pPr>
        <w:spacing w:line="640" w:lineRule="exact"/>
        <w:ind w:firstLine="640"/>
        <w:jc w:val="both"/>
        <w:outlineLvl w:val="2"/>
      </w:pPr>
      <w:r>
        <w:rPr>
          <w:rFonts w:ascii="黑体" w:hAnsi="黑体" w:eastAsia="黑体"/>
          <w:sz w:val="32"/>
        </w:rPr>
        <w:t>七、政府性基金预算财政拨款收入支出决算情况说明</w:t>
      </w:r>
    </w:p>
    <w:p w14:paraId="6166405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9B0A4E">
      <w:pPr>
        <w:spacing w:line="640" w:lineRule="exact"/>
        <w:ind w:firstLine="640"/>
        <w:jc w:val="both"/>
        <w:outlineLvl w:val="2"/>
      </w:pPr>
      <w:r>
        <w:rPr>
          <w:rFonts w:ascii="黑体" w:hAnsi="黑体" w:eastAsia="黑体"/>
          <w:sz w:val="32"/>
        </w:rPr>
        <w:t>八、国有资本经营预算财政拨款收入支出决算情况说明</w:t>
      </w:r>
    </w:p>
    <w:p w14:paraId="2AA8B54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004679">
      <w:pPr>
        <w:spacing w:line="640" w:lineRule="exact"/>
        <w:ind w:firstLine="640"/>
        <w:jc w:val="both"/>
        <w:outlineLvl w:val="2"/>
      </w:pPr>
      <w:r>
        <w:rPr>
          <w:rFonts w:ascii="黑体" w:hAnsi="黑体" w:eastAsia="黑体"/>
          <w:sz w:val="32"/>
        </w:rPr>
        <w:t>九、财政拨款“三公”经费支出决算情况说明</w:t>
      </w:r>
    </w:p>
    <w:p w14:paraId="5D939BC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CAEFB3F">
      <w:pPr>
        <w:spacing w:line="580" w:lineRule="exact"/>
        <w:ind w:firstLine="640"/>
        <w:jc w:val="both"/>
      </w:pPr>
      <w:r>
        <w:rPr>
          <w:rFonts w:ascii="仿宋_GB2312" w:hAnsi="仿宋_GB2312" w:eastAsia="仿宋_GB2312"/>
          <w:b/>
          <w:sz w:val="32"/>
        </w:rPr>
        <w:t>具体情况如下：</w:t>
      </w:r>
    </w:p>
    <w:p w14:paraId="6959FF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02DB1A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8辆，与公务用车保有量差异原因是：单位业务用车，车辆费用未使用财政拨款公务用车运行维护费支付，由单位自有经费保障。</w:t>
      </w:r>
    </w:p>
    <w:p w14:paraId="464524C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24ED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B0F1099">
      <w:pPr>
        <w:spacing w:line="640" w:lineRule="exact"/>
        <w:ind w:firstLine="640"/>
        <w:jc w:val="both"/>
        <w:outlineLvl w:val="2"/>
      </w:pPr>
      <w:r>
        <w:rPr>
          <w:rFonts w:ascii="黑体" w:hAnsi="黑体" w:eastAsia="黑体"/>
          <w:sz w:val="32"/>
        </w:rPr>
        <w:t>十、其他重要事项的情况说明</w:t>
      </w:r>
    </w:p>
    <w:p w14:paraId="3A749E29">
      <w:pPr>
        <w:spacing w:line="640" w:lineRule="exact"/>
        <w:ind w:firstLine="640"/>
        <w:jc w:val="both"/>
        <w:outlineLvl w:val="3"/>
      </w:pPr>
      <w:r>
        <w:rPr>
          <w:rFonts w:ascii="楷体_GB2312" w:hAnsi="楷体_GB2312" w:eastAsia="楷体_GB2312"/>
          <w:b/>
          <w:sz w:val="32"/>
        </w:rPr>
        <w:t>（一）机关运行经费及公用经费支出情况</w:t>
      </w:r>
    </w:p>
    <w:p w14:paraId="752FB3CC">
      <w:pPr>
        <w:spacing w:line="580" w:lineRule="exact"/>
        <w:ind w:firstLine="640"/>
        <w:jc w:val="both"/>
      </w:pPr>
      <w:r>
        <w:rPr>
          <w:rFonts w:ascii="仿宋_GB2312" w:hAnsi="仿宋_GB2312" w:eastAsia="仿宋_GB2312"/>
          <w:b w:val="0"/>
          <w:sz w:val="32"/>
        </w:rPr>
        <w:t>2024年度巴音郭楞蒙古自治州中心血站（事业单位）公用经费支出0.00万元，比上年增加0.00万元，增长0.00%，主要原因是：2023年与2024年均未安排公用经费支出。</w:t>
      </w:r>
    </w:p>
    <w:p w14:paraId="2B75622D">
      <w:pPr>
        <w:spacing w:line="640" w:lineRule="exact"/>
        <w:ind w:firstLine="640"/>
        <w:jc w:val="both"/>
        <w:outlineLvl w:val="3"/>
      </w:pPr>
      <w:r>
        <w:rPr>
          <w:rFonts w:ascii="楷体_GB2312" w:hAnsi="楷体_GB2312" w:eastAsia="楷体_GB2312"/>
          <w:b/>
          <w:sz w:val="32"/>
        </w:rPr>
        <w:t>（二）政府采购情况</w:t>
      </w:r>
    </w:p>
    <w:p w14:paraId="2AEE9E0C">
      <w:pPr>
        <w:spacing w:line="580" w:lineRule="exact"/>
        <w:ind w:firstLine="640"/>
        <w:jc w:val="both"/>
      </w:pPr>
      <w:r>
        <w:rPr>
          <w:rFonts w:ascii="仿宋_GB2312" w:hAnsi="仿宋_GB2312" w:eastAsia="仿宋_GB2312"/>
          <w:b w:val="0"/>
          <w:sz w:val="32"/>
        </w:rPr>
        <w:t>2024年度政府采购支出总额77.49万元，其中：政府采购货物支出50.55万元、政府采购工程支出15.80万元、政府采购服务支出11.14万元。</w:t>
      </w:r>
    </w:p>
    <w:p w14:paraId="60909D72">
      <w:pPr>
        <w:spacing w:line="580" w:lineRule="exact"/>
        <w:ind w:firstLine="640"/>
        <w:jc w:val="both"/>
      </w:pPr>
      <w:r>
        <w:rPr>
          <w:rFonts w:ascii="仿宋_GB2312" w:hAnsi="仿宋_GB2312" w:eastAsia="仿宋_GB2312"/>
          <w:b w:val="0"/>
          <w:sz w:val="32"/>
        </w:rPr>
        <w:t>授予中小企业合同金额31.25万元，占政府采购支出总额的40.33%，其中：授予小微企业合同金额28.54万元，占政府采购支出总额的36.83%。</w:t>
      </w:r>
    </w:p>
    <w:p w14:paraId="3D60A3AD">
      <w:pPr>
        <w:spacing w:line="640" w:lineRule="exact"/>
        <w:ind w:firstLine="640"/>
        <w:jc w:val="both"/>
        <w:outlineLvl w:val="3"/>
      </w:pPr>
      <w:r>
        <w:rPr>
          <w:rFonts w:ascii="楷体_GB2312" w:hAnsi="楷体_GB2312" w:eastAsia="楷体_GB2312"/>
          <w:b/>
          <w:sz w:val="32"/>
        </w:rPr>
        <w:t>（三）国有资产占用情况说明</w:t>
      </w:r>
    </w:p>
    <w:p w14:paraId="3554B430">
      <w:pPr>
        <w:spacing w:line="580" w:lineRule="exact"/>
        <w:ind w:firstLine="640"/>
        <w:jc w:val="both"/>
      </w:pPr>
      <w:r>
        <w:rPr>
          <w:rFonts w:ascii="仿宋_GB2312" w:hAnsi="仿宋_GB2312" w:eastAsia="仿宋_GB2312"/>
          <w:b w:val="0"/>
          <w:sz w:val="32"/>
        </w:rPr>
        <w:t>截至2024年12月31日，房屋6,349.22平方米，价值1,625.02万元。车辆8辆，价值216.33万元，其中：副部（省）级及以上领导用车0辆、主要负责人用车0辆、机要通信用车0辆、应急保障用车0辆、执法执勤用车0辆、特种专业技术用车8辆、离退休干部服务用车0辆、其他用车0辆，其他用车主要是：本单位无其他用车。单价100万元（含）以上设备（不含车辆）4台（套）。</w:t>
      </w:r>
    </w:p>
    <w:p w14:paraId="6FD3DE69">
      <w:pPr>
        <w:spacing w:line="640" w:lineRule="exact"/>
        <w:ind w:firstLine="640"/>
        <w:jc w:val="both"/>
        <w:outlineLvl w:val="2"/>
      </w:pPr>
      <w:r>
        <w:rPr>
          <w:rFonts w:ascii="黑体" w:hAnsi="黑体" w:eastAsia="黑体"/>
          <w:sz w:val="32"/>
        </w:rPr>
        <w:t>十一、预算绩效的情况说明</w:t>
      </w:r>
    </w:p>
    <w:p w14:paraId="370CEC1A">
      <w:pPr>
        <w:spacing w:line="580" w:lineRule="exact"/>
        <w:ind w:firstLine="640"/>
        <w:jc w:val="both"/>
      </w:pPr>
      <w:r>
        <w:rPr>
          <w:rFonts w:ascii="仿宋_GB2312" w:hAnsi="仿宋_GB2312" w:eastAsia="仿宋_GB2312"/>
          <w:b w:val="0"/>
          <w:sz w:val="32"/>
        </w:rPr>
        <w:t>根据预算绩效管理要求，本单位预算绩效评价项目2个，全年预算数351.00万元，全年执行数348.02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和评价报告。</w:t>
      </w:r>
    </w:p>
    <w:p w14:paraId="047D9CC8">
      <w:r>
        <w:br w:type="page"/>
      </w:r>
    </w:p>
    <w:tbl>
      <w:tblPr>
        <w:tblStyle w:val="9"/>
        <w:tblW w:w="0" w:type="auto"/>
        <w:tblInd w:w="0" w:type="dxa"/>
        <w:tblLayout w:type="fixed"/>
        <w:tblCellMar>
          <w:top w:w="0" w:type="dxa"/>
          <w:left w:w="108" w:type="dxa"/>
          <w:bottom w:w="0" w:type="dxa"/>
          <w:right w:w="108" w:type="dxa"/>
        </w:tblCellMar>
      </w:tblPr>
      <w:tblGrid>
        <w:gridCol w:w="624"/>
        <w:gridCol w:w="614"/>
        <w:gridCol w:w="614"/>
        <w:gridCol w:w="708"/>
        <w:gridCol w:w="762"/>
        <w:gridCol w:w="614"/>
        <w:gridCol w:w="614"/>
        <w:gridCol w:w="619"/>
        <w:gridCol w:w="614"/>
        <w:gridCol w:w="614"/>
        <w:gridCol w:w="776"/>
        <w:gridCol w:w="625"/>
        <w:gridCol w:w="631"/>
        <w:gridCol w:w="631"/>
      </w:tblGrid>
      <w:tr w14:paraId="34B5B3AA">
        <w:tblPrEx>
          <w:tblCellMar>
            <w:top w:w="0" w:type="dxa"/>
            <w:left w:w="108" w:type="dxa"/>
            <w:bottom w:w="0" w:type="dxa"/>
            <w:right w:w="108" w:type="dxa"/>
          </w:tblCellMar>
        </w:tblPrEx>
        <w:tc>
          <w:tcPr>
            <w:tcW w:w="9060" w:type="dxa"/>
            <w:gridSpan w:val="14"/>
            <w:vAlign w:val="center"/>
          </w:tcPr>
          <w:p w14:paraId="52FB0113">
            <w:pPr>
              <w:jc w:val="center"/>
            </w:pPr>
            <w:r>
              <w:rPr>
                <w:rFonts w:ascii="宋体" w:hAnsi="宋体" w:eastAsia="宋体"/>
                <w:sz w:val="24"/>
              </w:rPr>
              <w:t>项目支出绩效自评表</w:t>
            </w:r>
          </w:p>
        </w:tc>
      </w:tr>
      <w:tr w14:paraId="7C0594CA">
        <w:tblPrEx>
          <w:tblCellMar>
            <w:top w:w="0" w:type="dxa"/>
            <w:left w:w="108" w:type="dxa"/>
            <w:bottom w:w="0" w:type="dxa"/>
            <w:right w:w="108" w:type="dxa"/>
          </w:tblCellMar>
        </w:tblPrEx>
        <w:tc>
          <w:tcPr>
            <w:tcW w:w="9060" w:type="dxa"/>
            <w:gridSpan w:val="14"/>
            <w:vAlign w:val="center"/>
          </w:tcPr>
          <w:p w14:paraId="1259F0F6">
            <w:pPr>
              <w:jc w:val="center"/>
            </w:pPr>
            <w:r>
              <w:rPr>
                <w:rFonts w:ascii="宋体" w:hAnsi="宋体" w:eastAsia="宋体"/>
                <w:sz w:val="24"/>
              </w:rPr>
              <w:t>(2024年度)</w:t>
            </w:r>
          </w:p>
        </w:tc>
      </w:tr>
      <w:tr w14:paraId="6B2A9923">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77BBB8F">
            <w:pPr>
              <w:jc w:val="center"/>
            </w:pPr>
            <w:r>
              <w:rPr>
                <w:rFonts w:ascii="宋体" w:hAnsi="宋体" w:eastAsia="宋体"/>
                <w:sz w:val="16"/>
              </w:rPr>
              <w:t>项目名称</w:t>
            </w:r>
          </w:p>
        </w:tc>
        <w:tc>
          <w:tcPr>
            <w:tcW w:w="843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89B5A5">
            <w:pPr>
              <w:jc w:val="center"/>
            </w:pPr>
            <w:r>
              <w:rPr>
                <w:rFonts w:ascii="宋体" w:hAnsi="宋体" w:eastAsia="宋体"/>
                <w:sz w:val="16"/>
              </w:rPr>
              <w:t>2024年提前下达重大传染病防控项目</w:t>
            </w:r>
          </w:p>
        </w:tc>
      </w:tr>
      <w:tr w14:paraId="12DB29A6">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917FC06">
            <w:pPr>
              <w:jc w:val="center"/>
            </w:pPr>
            <w:r>
              <w:rPr>
                <w:rFonts w:ascii="宋体" w:hAnsi="宋体" w:eastAsia="宋体"/>
                <w:sz w:val="16"/>
              </w:rPr>
              <w:t>主管部门</w:t>
            </w:r>
          </w:p>
        </w:tc>
        <w:tc>
          <w:tcPr>
            <w:tcW w:w="45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9968D">
            <w:pPr>
              <w:jc w:val="center"/>
            </w:pPr>
            <w:r>
              <w:rPr>
                <w:rFonts w:ascii="宋体" w:hAnsi="宋体" w:eastAsia="宋体"/>
                <w:sz w:val="16"/>
              </w:rPr>
              <w:t>巴音郭楞蒙古自治州中心血站</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0CE1ED5">
            <w:pPr>
              <w:jc w:val="center"/>
            </w:pPr>
            <w:r>
              <w:rPr>
                <w:rFonts w:ascii="宋体" w:hAnsi="宋体" w:eastAsia="宋体"/>
                <w:sz w:val="16"/>
              </w:rPr>
              <w:t>实施单位</w:t>
            </w:r>
          </w:p>
        </w:tc>
        <w:tc>
          <w:tcPr>
            <w:tcW w:w="327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01FD4">
            <w:pPr>
              <w:jc w:val="center"/>
            </w:pPr>
            <w:r>
              <w:rPr>
                <w:rFonts w:ascii="宋体" w:hAnsi="宋体" w:eastAsia="宋体"/>
                <w:sz w:val="16"/>
              </w:rPr>
              <w:t>巴音郭楞蒙古自治州中心血站</w:t>
            </w:r>
          </w:p>
        </w:tc>
      </w:tr>
      <w:tr w14:paraId="69B64F6B">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tcPr>
          <w:p w14:paraId="391A4D70"/>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D44F7">
            <w:pPr>
              <w:jc w:val="center"/>
            </w:pP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04FA0">
            <w:pPr>
              <w:jc w:val="center"/>
            </w:pPr>
            <w:r>
              <w:rPr>
                <w:rFonts w:ascii="宋体" w:hAnsi="宋体" w:eastAsia="宋体"/>
                <w:sz w:val="16"/>
              </w:rPr>
              <w:t>年初预算数</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86BF">
            <w:pPr>
              <w:jc w:val="center"/>
            </w:pPr>
            <w:r>
              <w:rPr>
                <w:rFonts w:ascii="宋体" w:hAnsi="宋体" w:eastAsia="宋体"/>
                <w:sz w:val="16"/>
              </w:rPr>
              <w:t>全年预算数</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241B">
            <w:pPr>
              <w:jc w:val="center"/>
            </w:pPr>
            <w:r>
              <w:rPr>
                <w:rFonts w:ascii="宋体" w:hAnsi="宋体" w:eastAsia="宋体"/>
                <w:sz w:val="16"/>
              </w:rPr>
              <w:t>全年执行数</w:t>
            </w:r>
          </w:p>
        </w:tc>
        <w:tc>
          <w:tcPr>
            <w:tcW w:w="13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7671E">
            <w:pPr>
              <w:jc w:val="center"/>
            </w:pPr>
            <w:r>
              <w:rPr>
                <w:rFonts w:ascii="宋体" w:hAnsi="宋体" w:eastAsia="宋体"/>
                <w:sz w:val="16"/>
              </w:rPr>
              <w:t>分值权重</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F997">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D94517">
            <w:pPr>
              <w:jc w:val="center"/>
            </w:pPr>
            <w:r>
              <w:rPr>
                <w:rFonts w:ascii="宋体" w:hAnsi="宋体" w:eastAsia="宋体"/>
                <w:sz w:val="16"/>
              </w:rPr>
              <w:t>得分</w:t>
            </w:r>
          </w:p>
        </w:tc>
      </w:tr>
      <w:tr w14:paraId="3F10C145">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31795">
            <w:pPr>
              <w:jc w:val="center"/>
            </w:pPr>
            <w:r>
              <w:rPr>
                <w:rFonts w:ascii="宋体" w:hAnsi="宋体" w:eastAsia="宋体"/>
                <w:sz w:val="16"/>
              </w:rPr>
              <w:t>项目资金 （万元）</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C72D">
            <w:pPr>
              <w:jc w:val="center"/>
            </w:pPr>
            <w:r>
              <w:rPr>
                <w:rFonts w:ascii="宋体" w:hAnsi="宋体" w:eastAsia="宋体"/>
                <w:sz w:val="16"/>
              </w:rPr>
              <w:t>年度资金总额</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C79C">
            <w:pPr>
              <w:jc w:val="center"/>
            </w:pPr>
            <w:r>
              <w:rPr>
                <w:rFonts w:ascii="宋体" w:hAnsi="宋体" w:eastAsia="宋体"/>
                <w:sz w:val="16"/>
              </w:rPr>
              <w:t>111.00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7B50">
            <w:pPr>
              <w:jc w:val="center"/>
            </w:pPr>
            <w:r>
              <w:rPr>
                <w:rFonts w:ascii="宋体" w:hAnsi="宋体" w:eastAsia="宋体"/>
                <w:sz w:val="16"/>
              </w:rPr>
              <w:t>111.00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6DB69">
            <w:pPr>
              <w:jc w:val="center"/>
            </w:pPr>
            <w:r>
              <w:rPr>
                <w:rFonts w:ascii="宋体" w:hAnsi="宋体" w:eastAsia="宋体"/>
                <w:sz w:val="16"/>
              </w:rPr>
              <w:t>111.00</w:t>
            </w:r>
          </w:p>
        </w:tc>
        <w:tc>
          <w:tcPr>
            <w:tcW w:w="13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3B84">
            <w:pPr>
              <w:jc w:val="center"/>
            </w:pPr>
            <w:r>
              <w:rPr>
                <w:rFonts w:ascii="宋体" w:hAnsi="宋体" w:eastAsia="宋体"/>
                <w:sz w:val="16"/>
              </w:rPr>
              <w:t>10</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12D09">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E67E767">
            <w:pPr>
              <w:jc w:val="center"/>
            </w:pPr>
            <w:r>
              <w:rPr>
                <w:rFonts w:ascii="宋体" w:hAnsi="宋体" w:eastAsia="宋体"/>
                <w:sz w:val="16"/>
              </w:rPr>
              <w:t>10.00</w:t>
            </w:r>
          </w:p>
        </w:tc>
      </w:tr>
      <w:tr w14:paraId="6108194D">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5AB716"/>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7021">
            <w:pPr>
              <w:jc w:val="center"/>
            </w:pPr>
            <w:r>
              <w:rPr>
                <w:rFonts w:ascii="宋体" w:hAnsi="宋体" w:eastAsia="宋体"/>
                <w:sz w:val="16"/>
              </w:rPr>
              <w:t>其中：当年财政拨款</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31B7">
            <w:pPr>
              <w:jc w:val="center"/>
            </w:pPr>
            <w:r>
              <w:rPr>
                <w:rFonts w:ascii="宋体" w:hAnsi="宋体" w:eastAsia="宋体"/>
                <w:sz w:val="16"/>
              </w:rPr>
              <w:t>111.00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24BA">
            <w:pPr>
              <w:jc w:val="center"/>
            </w:pPr>
            <w:r>
              <w:rPr>
                <w:rFonts w:ascii="宋体" w:hAnsi="宋体" w:eastAsia="宋体"/>
                <w:sz w:val="16"/>
              </w:rPr>
              <w:t>111.00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F7C2B">
            <w:pPr>
              <w:jc w:val="center"/>
            </w:pPr>
            <w:r>
              <w:rPr>
                <w:rFonts w:ascii="宋体" w:hAnsi="宋体" w:eastAsia="宋体"/>
                <w:sz w:val="16"/>
              </w:rPr>
              <w:t>111.00</w:t>
            </w:r>
          </w:p>
        </w:tc>
        <w:tc>
          <w:tcPr>
            <w:tcW w:w="13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BCE4C">
            <w:pPr>
              <w:jc w:val="center"/>
            </w:pPr>
            <w:r>
              <w:rPr>
                <w:rFonts w:ascii="宋体" w:hAnsi="宋体" w:eastAsia="宋体"/>
                <w:sz w:val="16"/>
              </w:rPr>
              <w:t>-</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2E7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88D8344">
            <w:pPr>
              <w:jc w:val="center"/>
            </w:pPr>
            <w:r>
              <w:rPr>
                <w:rFonts w:ascii="宋体" w:hAnsi="宋体" w:eastAsia="宋体"/>
                <w:sz w:val="16"/>
              </w:rPr>
              <w:t>-</w:t>
            </w:r>
          </w:p>
        </w:tc>
      </w:tr>
      <w:tr w14:paraId="3E8C878C">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9E0215D"/>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864F9">
            <w:pPr>
              <w:jc w:val="center"/>
            </w:pPr>
            <w:r>
              <w:rPr>
                <w:rFonts w:ascii="宋体" w:hAnsi="宋体" w:eastAsia="宋体"/>
                <w:sz w:val="16"/>
              </w:rPr>
              <w:t>其他资金</w:t>
            </w:r>
          </w:p>
        </w:tc>
        <w:tc>
          <w:tcPr>
            <w:tcW w:w="14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9630F">
            <w:pPr>
              <w:jc w:val="center"/>
            </w:pPr>
            <w:r>
              <w:rPr>
                <w:rFonts w:ascii="宋体" w:hAnsi="宋体" w:eastAsia="宋体"/>
                <w:sz w:val="16"/>
              </w:rPr>
              <w:t>0.00</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0D31">
            <w:pPr>
              <w:jc w:val="center"/>
            </w:pPr>
            <w:r>
              <w:rPr>
                <w:rFonts w:ascii="宋体" w:hAnsi="宋体" w:eastAsia="宋体"/>
                <w:sz w:val="16"/>
              </w:rPr>
              <w:t>0.00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48F5">
            <w:pPr>
              <w:jc w:val="center"/>
            </w:pPr>
            <w:r>
              <w:rPr>
                <w:rFonts w:ascii="宋体" w:hAnsi="宋体" w:eastAsia="宋体"/>
                <w:sz w:val="16"/>
              </w:rPr>
              <w:t>0.00</w:t>
            </w:r>
          </w:p>
        </w:tc>
        <w:tc>
          <w:tcPr>
            <w:tcW w:w="13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D90B">
            <w:pPr>
              <w:jc w:val="center"/>
            </w:pPr>
            <w:r>
              <w:rPr>
                <w:rFonts w:ascii="宋体" w:hAnsi="宋体" w:eastAsia="宋体"/>
                <w:sz w:val="16"/>
              </w:rPr>
              <w:t>-</w:t>
            </w:r>
          </w:p>
        </w:tc>
        <w:tc>
          <w:tcPr>
            <w:tcW w:w="12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4F359">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6FA7405">
            <w:pPr>
              <w:jc w:val="center"/>
            </w:pPr>
            <w:r>
              <w:rPr>
                <w:rFonts w:ascii="宋体" w:hAnsi="宋体" w:eastAsia="宋体"/>
                <w:sz w:val="16"/>
              </w:rPr>
              <w:t>-</w:t>
            </w:r>
          </w:p>
        </w:tc>
      </w:tr>
      <w:tr w14:paraId="3AFBEE38">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66F0A">
            <w:pPr>
              <w:jc w:val="center"/>
            </w:pPr>
            <w:r>
              <w:rPr>
                <w:rFonts w:ascii="宋体" w:hAnsi="宋体" w:eastAsia="宋体"/>
                <w:sz w:val="16"/>
              </w:rPr>
              <w:t>年度总体目标</w:t>
            </w:r>
          </w:p>
        </w:tc>
        <w:tc>
          <w:tcPr>
            <w:tcW w:w="45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782DF">
            <w:pPr>
              <w:jc w:val="center"/>
            </w:pPr>
            <w:r>
              <w:rPr>
                <w:rFonts w:ascii="宋体" w:hAnsi="宋体" w:eastAsia="宋体"/>
                <w:sz w:val="16"/>
              </w:rPr>
              <w:t>总体目标</w:t>
            </w:r>
          </w:p>
        </w:tc>
        <w:tc>
          <w:tcPr>
            <w:tcW w:w="38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B102CC">
            <w:pPr>
              <w:jc w:val="center"/>
            </w:pPr>
            <w:r>
              <w:rPr>
                <w:rFonts w:ascii="宋体" w:hAnsi="宋体" w:eastAsia="宋体"/>
                <w:sz w:val="16"/>
              </w:rPr>
              <w:t>总体目标完成情况</w:t>
            </w:r>
          </w:p>
        </w:tc>
      </w:tr>
      <w:tr w14:paraId="705B852B">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6BA46CA"/>
        </w:tc>
        <w:tc>
          <w:tcPr>
            <w:tcW w:w="45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F7196">
            <w:pPr>
              <w:jc w:val="both"/>
            </w:pPr>
            <w:r>
              <w:rPr>
                <w:rFonts w:ascii="宋体" w:hAnsi="宋体" w:eastAsia="宋体"/>
                <w:sz w:val="16"/>
              </w:rPr>
              <w:t>根据巴财社〔2023〕100号“关于提前下达2024年重大传染病防控经费预算的通知”文件要求，项目资金用于采购血液检测耗材8000个及软件运维2套等，巴州中心血站完成</w:t>
            </w:r>
            <w:r>
              <w:rPr>
                <w:rFonts w:hint="eastAsia" w:ascii="宋体" w:hAnsi="宋体"/>
                <w:sz w:val="16"/>
                <w:lang w:eastAsia="zh-CN"/>
              </w:rPr>
              <w:t>AZB</w:t>
            </w:r>
            <w:r>
              <w:rPr>
                <w:rFonts w:ascii="宋体" w:hAnsi="宋体" w:eastAsia="宋体"/>
                <w:sz w:val="16"/>
              </w:rPr>
              <w:t>综合防治项目血液质量安全任务，提高采供血安全保障能力,有效预防经血传播疾病。</w:t>
            </w:r>
          </w:p>
        </w:tc>
        <w:tc>
          <w:tcPr>
            <w:tcW w:w="389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A9B55">
            <w:pPr>
              <w:jc w:val="both"/>
            </w:pPr>
            <w:r>
              <w:rPr>
                <w:rFonts w:ascii="宋体" w:hAnsi="宋体" w:eastAsia="宋体"/>
                <w:sz w:val="16"/>
              </w:rPr>
              <w:t>项目资金用于巴州中心血站使用项目资金已采购业务软件维护2套，耗材采购数量11140个，提升巴州中心血站采供血安全保障能力,有效预防经血传播疾病。</w:t>
            </w:r>
          </w:p>
        </w:tc>
      </w:tr>
      <w:tr w14:paraId="562CAB6A">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tcPr>
          <w:p w14:paraId="08505944"/>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7FE0EB6">
            <w:pPr>
              <w:jc w:val="center"/>
            </w:pPr>
            <w:r>
              <w:rPr>
                <w:rFonts w:ascii="宋体" w:hAnsi="宋体" w:eastAsia="宋体"/>
                <w:sz w:val="16"/>
              </w:rPr>
              <w:t>一级指标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0BCD080">
            <w:pPr>
              <w:jc w:val="center"/>
            </w:pPr>
            <w:r>
              <w:rPr>
                <w:rFonts w:ascii="宋体" w:hAnsi="宋体" w:eastAsia="宋体"/>
                <w:sz w:val="16"/>
              </w:rPr>
              <w:t>二级指标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3116E335">
            <w:pPr>
              <w:jc w:val="center"/>
            </w:pPr>
            <w:r>
              <w:rPr>
                <w:rFonts w:ascii="宋体" w:hAnsi="宋体" w:eastAsia="宋体"/>
                <w:sz w:val="16"/>
              </w:rPr>
              <w:t>三级指标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58371511">
            <w:pPr>
              <w:jc w:val="center"/>
            </w:pPr>
            <w:r>
              <w:rPr>
                <w:rFonts w:ascii="宋体" w:hAnsi="宋体" w:eastAsia="宋体"/>
                <w:sz w:val="16"/>
              </w:rPr>
              <w:t>指标值</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BD3AAB4">
            <w:pPr>
              <w:jc w:val="center"/>
            </w:pPr>
            <w:r>
              <w:rPr>
                <w:rFonts w:ascii="宋体" w:hAnsi="宋体" w:eastAsia="宋体"/>
                <w:sz w:val="16"/>
              </w:rPr>
              <w:t>指标值设定依据</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3B752F0">
            <w:pPr>
              <w:jc w:val="center"/>
            </w:pPr>
            <w:r>
              <w:rPr>
                <w:rFonts w:ascii="宋体" w:hAnsi="宋体" w:eastAsia="宋体"/>
                <w:sz w:val="16"/>
              </w:rPr>
              <w:t>上年完成值</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311A540">
            <w:pPr>
              <w:jc w:val="center"/>
            </w:pPr>
            <w:r>
              <w:rPr>
                <w:rFonts w:ascii="宋体" w:hAnsi="宋体" w:eastAsia="宋体"/>
                <w:sz w:val="16"/>
              </w:rPr>
              <w:t>指标分值权重</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DE777FA">
            <w:pPr>
              <w:jc w:val="center"/>
            </w:pPr>
            <w:r>
              <w:rPr>
                <w:rFonts w:ascii="宋体" w:hAnsi="宋体" w:eastAsia="宋体"/>
                <w:sz w:val="16"/>
              </w:rPr>
              <w:t>指标赋分规则</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A039EED">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F9AA77">
            <w:pPr>
              <w:jc w:val="center"/>
            </w:pPr>
            <w:r>
              <w:rPr>
                <w:rFonts w:ascii="宋体" w:hAnsi="宋体" w:eastAsia="宋体"/>
                <w:sz w:val="16"/>
              </w:rPr>
              <w:t>指标实际完成值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4CA3C7">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BCCBEB">
            <w:pPr>
              <w:jc w:val="center"/>
            </w:pPr>
            <w:r>
              <w:rPr>
                <w:rFonts w:ascii="宋体" w:hAnsi="宋体" w:eastAsia="宋体"/>
                <w:sz w:val="16"/>
              </w:rPr>
              <w:t>指标得分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8CA670">
            <w:pPr>
              <w:jc w:val="center"/>
            </w:pPr>
            <w:r>
              <w:rPr>
                <w:rFonts w:ascii="宋体" w:hAnsi="宋体" w:eastAsia="宋体"/>
                <w:sz w:val="16"/>
              </w:rPr>
              <w:t>偏差原因分析及改进措施</w:t>
            </w:r>
          </w:p>
        </w:tc>
      </w:tr>
      <w:tr w14:paraId="38A14D77">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ED99C">
            <w:pPr>
              <w:jc w:val="center"/>
            </w:pPr>
            <w:r>
              <w:rPr>
                <w:rFonts w:ascii="宋体" w:hAnsi="宋体" w:eastAsia="宋体"/>
                <w:sz w:val="16"/>
              </w:rPr>
              <w:t>年度绩效指标完成情况</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17C09">
            <w:pPr>
              <w:jc w:val="center"/>
            </w:pPr>
            <w:r>
              <w:rPr>
                <w:rFonts w:ascii="宋体" w:hAnsi="宋体" w:eastAsia="宋体"/>
                <w:sz w:val="16"/>
              </w:rPr>
              <w:t>产出指标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73638">
            <w:pPr>
              <w:jc w:val="center"/>
            </w:pPr>
            <w:r>
              <w:rPr>
                <w:rFonts w:ascii="宋体" w:hAnsi="宋体" w:eastAsia="宋体"/>
                <w:sz w:val="16"/>
              </w:rPr>
              <w:t>数量指标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0B0C069">
            <w:pPr>
              <w:jc w:val="center"/>
            </w:pPr>
            <w:r>
              <w:rPr>
                <w:rFonts w:ascii="宋体" w:hAnsi="宋体" w:eastAsia="宋体"/>
                <w:sz w:val="16"/>
              </w:rPr>
              <w:t>耗材采购数量</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73DB7C9C">
            <w:pPr>
              <w:jc w:val="center"/>
            </w:pPr>
            <w:r>
              <w:rPr>
                <w:rFonts w:ascii="宋体" w:hAnsi="宋体" w:eastAsia="宋体"/>
                <w:sz w:val="16"/>
              </w:rPr>
              <w:t>&gt;=8000个</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43DE6C1">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79999CC">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788B17A">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EA0EDC7">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231A3E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344F8B">
            <w:pPr>
              <w:jc w:val="center"/>
            </w:pPr>
            <w:r>
              <w:rPr>
                <w:rFonts w:ascii="宋体" w:hAnsi="宋体" w:eastAsia="宋体"/>
                <w:sz w:val="16"/>
              </w:rPr>
              <w:t>=11140个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9EE922">
            <w:pPr>
              <w:jc w:val="center"/>
            </w:pPr>
            <w:r>
              <w:rPr>
                <w:rFonts w:ascii="宋体" w:hAnsi="宋体" w:eastAsia="宋体"/>
                <w:sz w:val="16"/>
              </w:rPr>
              <w:t>139%</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9CBC31">
            <w:pPr>
              <w:jc w:val="center"/>
            </w:pPr>
            <w:r>
              <w:rPr>
                <w:rFonts w:ascii="宋体" w:hAnsi="宋体" w:eastAsia="宋体"/>
                <w:sz w:val="16"/>
              </w:rPr>
              <w:t>3.05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37A3C4">
            <w:pPr>
              <w:jc w:val="center"/>
            </w:pPr>
            <w:r>
              <w:rPr>
                <w:rFonts w:ascii="宋体" w:hAnsi="宋体" w:eastAsia="宋体"/>
                <w:sz w:val="16"/>
              </w:rPr>
              <w:t>根据业务工作需要，实际采购比计划采购多3140个</w:t>
            </w:r>
          </w:p>
        </w:tc>
      </w:tr>
      <w:tr w14:paraId="1F08BFA3">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A448AAC"/>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891CDF2"/>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3EAF38F"/>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DA51F70">
            <w:pPr>
              <w:jc w:val="center"/>
            </w:pPr>
            <w:r>
              <w:rPr>
                <w:rFonts w:ascii="宋体" w:hAnsi="宋体" w:eastAsia="宋体"/>
                <w:sz w:val="16"/>
              </w:rPr>
              <w:t>软件运维数量</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13AFAC79">
            <w:pPr>
              <w:jc w:val="center"/>
            </w:pPr>
            <w:r>
              <w:rPr>
                <w:rFonts w:ascii="宋体" w:hAnsi="宋体" w:eastAsia="宋体"/>
                <w:sz w:val="16"/>
              </w:rPr>
              <w:t>&gt;=2套</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9DBCB48">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05B4EEF">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5B5ADCD">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0E5D351">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6EF888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D9E98B">
            <w:pPr>
              <w:jc w:val="center"/>
            </w:pPr>
            <w:r>
              <w:rPr>
                <w:rFonts w:ascii="宋体" w:hAnsi="宋体" w:eastAsia="宋体"/>
                <w:sz w:val="16"/>
              </w:rPr>
              <w:t>=2套</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A7C392">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67DE9FF">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8778A74">
            <w:pPr>
              <w:jc w:val="center"/>
            </w:pPr>
          </w:p>
        </w:tc>
      </w:tr>
      <w:tr w14:paraId="55FAD6EA">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27C5EC2"/>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D495C62"/>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BBBF5">
            <w:pPr>
              <w:jc w:val="center"/>
            </w:pPr>
            <w:r>
              <w:rPr>
                <w:rFonts w:ascii="宋体" w:hAnsi="宋体" w:eastAsia="宋体"/>
                <w:sz w:val="16"/>
              </w:rPr>
              <w:t>质量指标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7DBB531">
            <w:pPr>
              <w:jc w:val="center"/>
            </w:pPr>
            <w:r>
              <w:rPr>
                <w:rFonts w:ascii="宋体" w:hAnsi="宋体" w:eastAsia="宋体"/>
                <w:sz w:val="16"/>
              </w:rPr>
              <w:t>政府采购率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604E78C">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9F05CA5">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B9EB5E2">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8AC972B">
            <w:pPr>
              <w:jc w:val="center"/>
            </w:pPr>
            <w:r>
              <w:rPr>
                <w:rFonts w:ascii="宋体" w:hAnsi="宋体" w:eastAsia="宋体"/>
                <w:sz w:val="16"/>
              </w:rPr>
              <w:t>4</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43E839D">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B5CEEB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2973EC">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34706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589811">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56B37B">
            <w:pPr>
              <w:jc w:val="center"/>
            </w:pPr>
          </w:p>
        </w:tc>
      </w:tr>
      <w:tr w14:paraId="7D7B4ABE">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84D55D0"/>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FB950FA"/>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03E7E69"/>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29A8FB3">
            <w:pPr>
              <w:jc w:val="center"/>
            </w:pPr>
            <w:r>
              <w:rPr>
                <w:rFonts w:ascii="宋体" w:hAnsi="宋体" w:eastAsia="宋体"/>
                <w:sz w:val="16"/>
              </w:rPr>
              <w:t>耗材质量合格率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235E4F4F">
            <w:pPr>
              <w:jc w:val="center"/>
            </w:pPr>
            <w:r>
              <w:rPr>
                <w:rFonts w:ascii="宋体" w:hAnsi="宋体" w:eastAsia="宋体"/>
                <w:sz w:val="16"/>
              </w:rPr>
              <w:t>&gt;=90%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8A46314">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79CB9BF">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64BF2AB">
            <w:pPr>
              <w:jc w:val="center"/>
            </w:pPr>
            <w:r>
              <w:rPr>
                <w:rFonts w:ascii="宋体" w:hAnsi="宋体" w:eastAsia="宋体"/>
                <w:sz w:val="16"/>
              </w:rPr>
              <w:t>4</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3217AA2">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15C812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011E82">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2D2D9F">
            <w:pPr>
              <w:jc w:val="center"/>
            </w:pPr>
            <w:r>
              <w:rPr>
                <w:rFonts w:ascii="宋体" w:hAnsi="宋体" w:eastAsia="宋体"/>
                <w:sz w:val="16"/>
              </w:rPr>
              <w:t>111%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B66C48">
            <w:pPr>
              <w:jc w:val="center"/>
            </w:pPr>
            <w:r>
              <w:rPr>
                <w:rFonts w:ascii="宋体" w:hAnsi="宋体" w:eastAsia="宋体"/>
                <w:sz w:val="16"/>
              </w:rPr>
              <w:t>3.56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AB465E">
            <w:pPr>
              <w:jc w:val="center"/>
            </w:pPr>
            <w:r>
              <w:rPr>
                <w:rFonts w:ascii="宋体" w:hAnsi="宋体" w:eastAsia="宋体"/>
                <w:sz w:val="16"/>
              </w:rPr>
              <w:t>单位加强采购环节管理，导致实际耗材质量合格率提升，造成偏差</w:t>
            </w:r>
          </w:p>
        </w:tc>
      </w:tr>
      <w:tr w14:paraId="3BFFDA16">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4F57BF9"/>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E0F7314"/>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1EB75D8"/>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772E8F25">
            <w:pPr>
              <w:jc w:val="center"/>
            </w:pPr>
            <w:r>
              <w:rPr>
                <w:rFonts w:ascii="宋体" w:hAnsi="宋体" w:eastAsia="宋体"/>
                <w:sz w:val="16"/>
              </w:rPr>
              <w:t>软件维护验收合格率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16037C02">
            <w:pPr>
              <w:jc w:val="center"/>
            </w:pPr>
            <w:r>
              <w:rPr>
                <w:rFonts w:ascii="宋体" w:hAnsi="宋体" w:eastAsia="宋体"/>
                <w:sz w:val="16"/>
              </w:rPr>
              <w:t>&gt;=90%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47319B3">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6E8A7DE">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8E433A8">
            <w:pPr>
              <w:jc w:val="center"/>
            </w:pPr>
            <w:r>
              <w:rPr>
                <w:rFonts w:ascii="宋体" w:hAnsi="宋体" w:eastAsia="宋体"/>
                <w:sz w:val="16"/>
              </w:rPr>
              <w:t>4</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C9E31BA">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1D1016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B66D9D">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E9CD69">
            <w:pPr>
              <w:jc w:val="center"/>
            </w:pPr>
            <w:r>
              <w:rPr>
                <w:rFonts w:ascii="宋体" w:hAnsi="宋体" w:eastAsia="宋体"/>
                <w:sz w:val="16"/>
              </w:rPr>
              <w:t>111%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2F8130">
            <w:pPr>
              <w:jc w:val="center"/>
            </w:pPr>
            <w:r>
              <w:rPr>
                <w:rFonts w:ascii="宋体" w:hAnsi="宋体" w:eastAsia="宋体"/>
                <w:sz w:val="16"/>
              </w:rPr>
              <w:t>3.56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D348C5">
            <w:pPr>
              <w:jc w:val="center"/>
            </w:pPr>
            <w:r>
              <w:rPr>
                <w:rFonts w:ascii="宋体" w:hAnsi="宋体" w:eastAsia="宋体"/>
                <w:sz w:val="16"/>
              </w:rPr>
              <w:t>单位加强采购环节管理，导致软件维护验收合格率高于计划</w:t>
            </w:r>
          </w:p>
        </w:tc>
      </w:tr>
      <w:tr w14:paraId="03B0D25A">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EE1025A"/>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764A2F0"/>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5A60435"/>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3FBDCC2E">
            <w:pPr>
              <w:jc w:val="center"/>
            </w:pPr>
            <w:r>
              <w:rPr>
                <w:rFonts w:ascii="宋体" w:hAnsi="宋体" w:eastAsia="宋体"/>
                <w:sz w:val="16"/>
              </w:rPr>
              <w:t>系统故障率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08896DE">
            <w:pPr>
              <w:jc w:val="center"/>
            </w:pPr>
            <w:r>
              <w:rPr>
                <w:rFonts w:ascii="宋体" w:hAnsi="宋体" w:eastAsia="宋体"/>
                <w:sz w:val="16"/>
              </w:rPr>
              <w:t>&lt;=10%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415E736">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BEA5270">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3A192B2">
            <w:pPr>
              <w:jc w:val="center"/>
            </w:pPr>
            <w:r>
              <w:rPr>
                <w:rFonts w:ascii="宋体" w:hAnsi="宋体" w:eastAsia="宋体"/>
                <w:sz w:val="16"/>
              </w:rPr>
              <w:t>3</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2151842">
            <w:pPr>
              <w:jc w:val="center"/>
            </w:pPr>
            <w:r>
              <w:rPr>
                <w:rFonts w:ascii="宋体" w:hAnsi="宋体" w:eastAsia="宋体"/>
                <w:sz w:val="16"/>
              </w:rPr>
              <w:t>直接赋分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3FA1AD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BE2BA7">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7BE5E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9A4817">
            <w:pPr>
              <w:jc w:val="center"/>
            </w:pPr>
            <w:r>
              <w:rPr>
                <w:rFonts w:ascii="宋体" w:hAnsi="宋体" w:eastAsia="宋体"/>
                <w:sz w:val="16"/>
              </w:rPr>
              <w:t>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70D1A1">
            <w:pPr>
              <w:jc w:val="center"/>
            </w:pPr>
          </w:p>
        </w:tc>
      </w:tr>
      <w:tr w14:paraId="2A0F49A5">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407C79B"/>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5467CB5"/>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4DD56">
            <w:pPr>
              <w:jc w:val="center"/>
            </w:pPr>
            <w:r>
              <w:rPr>
                <w:rFonts w:ascii="宋体" w:hAnsi="宋体" w:eastAsia="宋体"/>
                <w:sz w:val="16"/>
              </w:rPr>
              <w:t>时效指标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1E9918C">
            <w:pPr>
              <w:jc w:val="center"/>
            </w:pPr>
            <w:r>
              <w:rPr>
                <w:rFonts w:ascii="宋体" w:hAnsi="宋体" w:eastAsia="宋体"/>
                <w:sz w:val="16"/>
              </w:rPr>
              <w:t>采购完成时间</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6974455E">
            <w:pPr>
              <w:jc w:val="center"/>
            </w:pPr>
            <w:r>
              <w:rPr>
                <w:rFonts w:ascii="宋体" w:hAnsi="宋体" w:eastAsia="宋体"/>
                <w:sz w:val="16"/>
              </w:rPr>
              <w:t>2024年10月31日</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18A948D">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EFC5ABF">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AADC349">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647E7D0">
            <w:pPr>
              <w:jc w:val="center"/>
            </w:pPr>
            <w:r>
              <w:rPr>
                <w:rFonts w:ascii="宋体" w:hAnsi="宋体" w:eastAsia="宋体"/>
                <w:sz w:val="16"/>
              </w:rPr>
              <w:t>直接赋分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87AA1B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555C74">
            <w:pPr>
              <w:jc w:val="center"/>
            </w:pPr>
            <w:r>
              <w:rPr>
                <w:rFonts w:ascii="宋体" w:hAnsi="宋体" w:eastAsia="宋体"/>
                <w:sz w:val="16"/>
              </w:rPr>
              <w:t>=2024年10月30日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87289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AB54F00">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33F3D4">
            <w:pPr>
              <w:jc w:val="center"/>
            </w:pPr>
          </w:p>
        </w:tc>
      </w:tr>
      <w:tr w14:paraId="28E5A982">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BE50D26"/>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C639A84"/>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56C1C58"/>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C4919D6">
            <w:pPr>
              <w:jc w:val="center"/>
            </w:pPr>
            <w:r>
              <w:rPr>
                <w:rFonts w:ascii="宋体" w:hAnsi="宋体" w:eastAsia="宋体"/>
                <w:sz w:val="16"/>
              </w:rPr>
              <w:t>系统运行维护响应时间</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7A57025">
            <w:pPr>
              <w:jc w:val="center"/>
            </w:pPr>
            <w:r>
              <w:rPr>
                <w:rFonts w:ascii="宋体" w:hAnsi="宋体" w:eastAsia="宋体"/>
                <w:sz w:val="16"/>
              </w:rPr>
              <w:t>&lt;=2小时</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995663A">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9D634C2">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4715EF1">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221646E">
            <w:pPr>
              <w:jc w:val="center"/>
            </w:pPr>
            <w:r>
              <w:rPr>
                <w:rFonts w:ascii="宋体" w:hAnsi="宋体" w:eastAsia="宋体"/>
                <w:sz w:val="16"/>
              </w:rPr>
              <w:t>直接赋分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D3005F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5692DD">
            <w:pPr>
              <w:jc w:val="center"/>
            </w:pPr>
            <w:r>
              <w:rPr>
                <w:rFonts w:ascii="宋体" w:hAnsi="宋体" w:eastAsia="宋体"/>
                <w:sz w:val="16"/>
              </w:rPr>
              <w:t>=2小时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E392F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2861B31">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C219D5">
            <w:pPr>
              <w:jc w:val="center"/>
            </w:pPr>
          </w:p>
        </w:tc>
      </w:tr>
      <w:tr w14:paraId="4895DA5F">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93AF1CB"/>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6B3F87C"/>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C523459"/>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07B9932C">
            <w:pPr>
              <w:jc w:val="center"/>
            </w:pPr>
            <w:r>
              <w:rPr>
                <w:rFonts w:ascii="宋体" w:hAnsi="宋体" w:eastAsia="宋体"/>
                <w:sz w:val="16"/>
              </w:rPr>
              <w:t>系统故障修复处理时间</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2C4AE52D">
            <w:pPr>
              <w:jc w:val="center"/>
            </w:pPr>
            <w:r>
              <w:rPr>
                <w:rFonts w:ascii="宋体" w:hAnsi="宋体" w:eastAsia="宋体"/>
                <w:sz w:val="16"/>
              </w:rPr>
              <w:t>&lt;=1天</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BFEAC8">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F6AF073">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61E8314">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B5EA227">
            <w:pPr>
              <w:jc w:val="center"/>
            </w:pPr>
            <w:r>
              <w:rPr>
                <w:rFonts w:ascii="宋体" w:hAnsi="宋体" w:eastAsia="宋体"/>
                <w:sz w:val="16"/>
              </w:rPr>
              <w:t>直接赋分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FBD3AD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8F41876">
            <w:pPr>
              <w:jc w:val="center"/>
            </w:pPr>
            <w:r>
              <w:rPr>
                <w:rFonts w:ascii="宋体" w:hAnsi="宋体" w:eastAsia="宋体"/>
                <w:sz w:val="16"/>
              </w:rPr>
              <w:t>=1天</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3D17A0">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78404C9">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FA5ABDE">
            <w:pPr>
              <w:jc w:val="center"/>
            </w:pPr>
          </w:p>
        </w:tc>
      </w:tr>
      <w:tr w14:paraId="60190A85">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0186302"/>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95E0A">
            <w:pPr>
              <w:jc w:val="center"/>
            </w:pPr>
            <w:r>
              <w:rPr>
                <w:rFonts w:ascii="宋体" w:hAnsi="宋体" w:eastAsia="宋体"/>
                <w:sz w:val="16"/>
              </w:rPr>
              <w:t>成本指标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BDBF2">
            <w:pPr>
              <w:jc w:val="center"/>
            </w:pPr>
            <w:r>
              <w:rPr>
                <w:rFonts w:ascii="宋体" w:hAnsi="宋体" w:eastAsia="宋体"/>
                <w:sz w:val="16"/>
              </w:rPr>
              <w:t>经济成本指标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03D3CC7B">
            <w:pPr>
              <w:jc w:val="center"/>
            </w:pPr>
            <w:r>
              <w:rPr>
                <w:rFonts w:ascii="宋体" w:hAnsi="宋体" w:eastAsia="宋体"/>
                <w:sz w:val="16"/>
              </w:rPr>
              <w:t>耗材采购成本</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7AE75C8F">
            <w:pPr>
              <w:jc w:val="center"/>
            </w:pPr>
            <w:r>
              <w:rPr>
                <w:rFonts w:ascii="宋体" w:hAnsi="宋体" w:eastAsia="宋体"/>
                <w:sz w:val="16"/>
              </w:rPr>
              <w:t>&lt;=126.25元/个</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D538DF3">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1C66C76">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76B0667">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AF13AF">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B73913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6E9756">
            <w:pPr>
              <w:jc w:val="center"/>
            </w:pPr>
            <w:r>
              <w:rPr>
                <w:rFonts w:ascii="宋体" w:hAnsi="宋体" w:eastAsia="宋体"/>
                <w:sz w:val="16"/>
              </w:rPr>
              <w:t>=90.66元/个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1BA9E3">
            <w:pPr>
              <w:jc w:val="center"/>
            </w:pPr>
            <w:r>
              <w:rPr>
                <w:rFonts w:ascii="宋体" w:hAnsi="宋体" w:eastAsia="宋体"/>
                <w:sz w:val="16"/>
              </w:rPr>
              <w:t>71%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F2618E">
            <w:pPr>
              <w:jc w:val="center"/>
            </w:pPr>
            <w:r>
              <w:rPr>
                <w:rFonts w:ascii="宋体" w:hAnsi="宋体" w:eastAsia="宋体"/>
                <w:sz w:val="16"/>
              </w:rPr>
              <w:t>2.75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108855">
            <w:pPr>
              <w:jc w:val="center"/>
            </w:pPr>
            <w:r>
              <w:rPr>
                <w:rFonts w:ascii="宋体" w:hAnsi="宋体" w:eastAsia="宋体"/>
                <w:sz w:val="16"/>
              </w:rPr>
              <w:t>实际采购数量增加，导致采购成本降低35.59元/个，造成偏差</w:t>
            </w:r>
          </w:p>
        </w:tc>
      </w:tr>
      <w:tr w14:paraId="294C53F2">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2D05868"/>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D252D5C"/>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82172DD"/>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6E1CED84">
            <w:pPr>
              <w:jc w:val="center"/>
            </w:pPr>
            <w:r>
              <w:rPr>
                <w:rFonts w:ascii="宋体" w:hAnsi="宋体" w:eastAsia="宋体"/>
                <w:sz w:val="16"/>
              </w:rPr>
              <w:t>软件维护成本</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10359512">
            <w:pPr>
              <w:jc w:val="center"/>
            </w:pPr>
            <w:r>
              <w:rPr>
                <w:rFonts w:ascii="宋体" w:hAnsi="宋体" w:eastAsia="宋体"/>
                <w:sz w:val="16"/>
              </w:rPr>
              <w:t>&lt;=50000元/套</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A2573A1">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24AFE6">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5662ACD">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CBDCCB4">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1667A4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696B9F">
            <w:pPr>
              <w:jc w:val="center"/>
            </w:pPr>
            <w:r>
              <w:rPr>
                <w:rFonts w:ascii="宋体" w:hAnsi="宋体" w:eastAsia="宋体"/>
                <w:sz w:val="16"/>
              </w:rPr>
              <w:t>=50000元/套</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D3F13D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3E883A">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D825101">
            <w:pPr>
              <w:jc w:val="center"/>
            </w:pPr>
          </w:p>
        </w:tc>
      </w:tr>
      <w:tr w14:paraId="66400209">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0AC627A"/>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479F2D8">
            <w:pPr>
              <w:jc w:val="center"/>
            </w:pPr>
            <w:r>
              <w:rPr>
                <w:rFonts w:ascii="宋体" w:hAnsi="宋体" w:eastAsia="宋体"/>
                <w:sz w:val="16"/>
              </w:rPr>
              <w:t>效益指标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D945BBF">
            <w:pPr>
              <w:jc w:val="center"/>
            </w:pPr>
            <w:r>
              <w:rPr>
                <w:rFonts w:ascii="宋体" w:hAnsi="宋体" w:eastAsia="宋体"/>
                <w:sz w:val="16"/>
              </w:rPr>
              <w:t>社会效益指标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10FFF819">
            <w:pPr>
              <w:jc w:val="center"/>
            </w:pPr>
            <w:r>
              <w:rPr>
                <w:rFonts w:ascii="宋体" w:hAnsi="宋体" w:eastAsia="宋体"/>
                <w:sz w:val="16"/>
              </w:rPr>
              <w:t>临床用血安全性提升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12EAC28E">
            <w:pPr>
              <w:jc w:val="center"/>
            </w:pPr>
            <w:r>
              <w:rPr>
                <w:rFonts w:ascii="宋体" w:hAnsi="宋体" w:eastAsia="宋体"/>
                <w:sz w:val="16"/>
              </w:rPr>
              <w:t>有所提升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53838E5">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C75089A">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A791FC9">
            <w:pPr>
              <w:jc w:val="center"/>
            </w:pPr>
            <w:r>
              <w:rPr>
                <w:rFonts w:ascii="宋体" w:hAnsi="宋体" w:eastAsia="宋体"/>
                <w:sz w:val="16"/>
              </w:rPr>
              <w:t>20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58157AA">
            <w:pPr>
              <w:jc w:val="center"/>
            </w:pPr>
            <w:r>
              <w:rPr>
                <w:rFonts w:ascii="宋体" w:hAnsi="宋体" w:eastAsia="宋体"/>
                <w:sz w:val="16"/>
              </w:rPr>
              <w:t>按评判等级赋分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652B65B">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E69F9E">
            <w:pPr>
              <w:jc w:val="center"/>
            </w:pPr>
            <w:r>
              <w:rPr>
                <w:rFonts w:ascii="宋体" w:hAnsi="宋体" w:eastAsia="宋体"/>
                <w:sz w:val="16"/>
              </w:rPr>
              <w:t>达成目标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CCD0D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80E0DED">
            <w:pPr>
              <w:jc w:val="center"/>
            </w:pPr>
            <w:r>
              <w:rPr>
                <w:rFonts w:ascii="宋体" w:hAnsi="宋体" w:eastAsia="宋体"/>
                <w:sz w:val="16"/>
              </w:rPr>
              <w:t>20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0893455">
            <w:pPr>
              <w:jc w:val="center"/>
            </w:pPr>
          </w:p>
        </w:tc>
      </w:tr>
      <w:tr w14:paraId="7DF6812E">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8C558BF"/>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3E80241">
            <w:pPr>
              <w:jc w:val="center"/>
            </w:pPr>
            <w:r>
              <w:rPr>
                <w:rFonts w:ascii="宋体" w:hAnsi="宋体" w:eastAsia="宋体"/>
                <w:sz w:val="16"/>
              </w:rPr>
              <w:t>满意度指标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5165271">
            <w:pPr>
              <w:jc w:val="center"/>
            </w:pPr>
            <w:r>
              <w:rPr>
                <w:rFonts w:ascii="宋体" w:hAnsi="宋体" w:eastAsia="宋体"/>
                <w:sz w:val="16"/>
              </w:rPr>
              <w:t>满意度指标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14:paraId="6F8B781C">
            <w:pPr>
              <w:jc w:val="center"/>
            </w:pPr>
            <w:r>
              <w:rPr>
                <w:rFonts w:ascii="宋体" w:hAnsi="宋体" w:eastAsia="宋体"/>
                <w:sz w:val="16"/>
              </w:rPr>
              <w:t>群众临床用血满意度</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326D6A2C">
            <w:pPr>
              <w:jc w:val="center"/>
            </w:pPr>
            <w:r>
              <w:rPr>
                <w:rFonts w:ascii="宋体" w:hAnsi="宋体" w:eastAsia="宋体"/>
                <w:sz w:val="16"/>
              </w:rPr>
              <w:t>&gt;=90%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359B67D">
            <w:pPr>
              <w:jc w:val="center"/>
            </w:pPr>
            <w:r>
              <w:rPr>
                <w:rFonts w:ascii="宋体" w:hAnsi="宋体" w:eastAsia="宋体"/>
                <w:sz w:val="16"/>
              </w:rPr>
              <w:t>计划标准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AF01246">
            <w:pPr>
              <w:jc w:val="center"/>
            </w:pPr>
            <w:r>
              <w:rPr>
                <w:rFonts w:ascii="宋体" w:hAnsi="宋体" w:eastAsia="宋体"/>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C665AD7">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63FD610">
            <w:pPr>
              <w:jc w:val="center"/>
            </w:pPr>
            <w:r>
              <w:rPr>
                <w:rFonts w:ascii="宋体" w:hAnsi="宋体" w:eastAsia="宋体"/>
                <w:sz w:val="16"/>
              </w:rPr>
              <w:t>满意度赋分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5332DB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71A402">
            <w:pPr>
              <w:jc w:val="center"/>
            </w:pPr>
            <w:r>
              <w:rPr>
                <w:rFonts w:ascii="宋体" w:hAnsi="宋体" w:eastAsia="宋体"/>
                <w:sz w:val="16"/>
              </w:rPr>
              <w:t>=98.33%</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9DB2E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7AA2A6">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A92A44">
            <w:pPr>
              <w:jc w:val="center"/>
            </w:pPr>
            <w:r>
              <w:rPr>
                <w:rFonts w:ascii="宋体" w:hAnsi="宋体" w:eastAsia="宋体"/>
                <w:sz w:val="16"/>
              </w:rPr>
              <w:t>单位加强工作环节管理控制，导致满意度高于计划</w:t>
            </w:r>
          </w:p>
        </w:tc>
      </w:tr>
      <w:tr w14:paraId="23E8198B">
        <w:tblPrEx>
          <w:tblCellMar>
            <w:top w:w="0" w:type="dxa"/>
            <w:left w:w="108" w:type="dxa"/>
            <w:bottom w:w="0" w:type="dxa"/>
            <w:right w:w="108" w:type="dxa"/>
          </w:tblCellMar>
        </w:tblPrEx>
        <w:tc>
          <w:tcPr>
            <w:tcW w:w="256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545FF6">
            <w:pPr>
              <w:jc w:val="center"/>
            </w:pPr>
            <w:r>
              <w:rPr>
                <w:rFonts w:ascii="宋体" w:hAnsi="宋体" w:eastAsia="宋体"/>
                <w:sz w:val="16"/>
              </w:rPr>
              <w:t>总分</w:t>
            </w:r>
          </w:p>
        </w:tc>
        <w:tc>
          <w:tcPr>
            <w:tcW w:w="762" w:type="dxa"/>
            <w:tcBorders>
              <w:top w:val="single" w:color="auto" w:sz="10" w:space="0"/>
              <w:left w:val="single" w:color="auto" w:sz="10" w:space="0"/>
              <w:bottom w:val="single" w:color="auto" w:sz="10" w:space="0"/>
              <w:right w:val="single" w:color="auto" w:sz="10" w:space="0"/>
              <w:insideV w:val="single" w:sz="10" w:space="0"/>
            </w:tcBorders>
          </w:tcPr>
          <w:p w14:paraId="3A6A0A0E"/>
        </w:tc>
        <w:tc>
          <w:tcPr>
            <w:tcW w:w="614" w:type="dxa"/>
            <w:tcBorders>
              <w:top w:val="single" w:color="auto" w:sz="10" w:space="0"/>
              <w:left w:val="single" w:color="auto" w:sz="10" w:space="0"/>
              <w:bottom w:val="single" w:color="auto" w:sz="10" w:space="0"/>
              <w:right w:val="single" w:color="auto" w:sz="10" w:space="0"/>
              <w:insideV w:val="single" w:sz="10" w:space="0"/>
            </w:tcBorders>
          </w:tcPr>
          <w:p w14:paraId="130A8EC2"/>
        </w:tc>
        <w:tc>
          <w:tcPr>
            <w:tcW w:w="614" w:type="dxa"/>
            <w:tcBorders>
              <w:top w:val="single" w:color="auto" w:sz="10" w:space="0"/>
              <w:left w:val="single" w:color="auto" w:sz="10" w:space="0"/>
              <w:bottom w:val="single" w:color="auto" w:sz="10" w:space="0"/>
              <w:right w:val="single" w:color="auto" w:sz="10" w:space="0"/>
              <w:insideV w:val="single" w:sz="10" w:space="0"/>
            </w:tcBorders>
          </w:tcPr>
          <w:p w14:paraId="2AA811AF"/>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351A6BA">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tcPr>
          <w:p w14:paraId="5AFA7706"/>
        </w:tc>
        <w:tc>
          <w:tcPr>
            <w:tcW w:w="614" w:type="dxa"/>
            <w:tcBorders>
              <w:top w:val="single" w:color="auto" w:sz="10" w:space="0"/>
              <w:left w:val="single" w:color="auto" w:sz="10" w:space="0"/>
              <w:bottom w:val="single" w:color="auto" w:sz="10" w:space="0"/>
              <w:right w:val="single" w:color="auto" w:sz="10" w:space="0"/>
              <w:insideV w:val="single" w:sz="10" w:space="0"/>
            </w:tcBorders>
          </w:tcPr>
          <w:p w14:paraId="5EA2943D"/>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46F2868"/>
        </w:tc>
        <w:tc>
          <w:tcPr>
            <w:tcW w:w="625" w:type="dxa"/>
            <w:tcBorders>
              <w:top w:val="single" w:color="auto" w:sz="10" w:space="0"/>
              <w:left w:val="single" w:color="auto" w:sz="10" w:space="0"/>
              <w:bottom w:val="single" w:color="auto" w:sz="10" w:space="0"/>
              <w:right w:val="single" w:color="auto" w:sz="10" w:space="0"/>
              <w:insideV w:val="single" w:sz="10" w:space="0"/>
            </w:tcBorders>
          </w:tcPr>
          <w:p w14:paraId="583D8F19"/>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D8CC9D6">
            <w:pPr>
              <w:jc w:val="center"/>
            </w:pPr>
            <w:r>
              <w:rPr>
                <w:rFonts w:ascii="宋体" w:hAnsi="宋体" w:eastAsia="宋体"/>
                <w:sz w:val="16"/>
              </w:rPr>
              <w:t>89.92分</w:t>
            </w:r>
          </w:p>
        </w:tc>
        <w:tc>
          <w:tcPr>
            <w:tcW w:w="631" w:type="dxa"/>
            <w:tcBorders>
              <w:top w:val="single" w:color="auto" w:sz="10" w:space="0"/>
              <w:left w:val="single" w:color="auto" w:sz="10" w:space="0"/>
              <w:bottom w:val="single" w:color="auto" w:sz="10" w:space="0"/>
              <w:right w:val="single" w:color="auto" w:sz="10" w:space="0"/>
              <w:insideV w:val="single" w:sz="10" w:space="0"/>
            </w:tcBorders>
          </w:tcPr>
          <w:p w14:paraId="00CFF280"/>
        </w:tc>
      </w:tr>
    </w:tbl>
    <w:p w14:paraId="20D6C961">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1ACCF80A">
        <w:tblPrEx>
          <w:tblCellMar>
            <w:top w:w="0" w:type="dxa"/>
            <w:left w:w="108" w:type="dxa"/>
            <w:bottom w:w="0" w:type="dxa"/>
            <w:right w:w="108" w:type="dxa"/>
          </w:tblCellMar>
        </w:tblPrEx>
        <w:tc>
          <w:tcPr>
            <w:tcW w:w="8848" w:type="dxa"/>
            <w:gridSpan w:val="14"/>
            <w:vAlign w:val="center"/>
          </w:tcPr>
          <w:p w14:paraId="67E7FB1B">
            <w:pPr>
              <w:jc w:val="center"/>
            </w:pPr>
            <w:r>
              <w:rPr>
                <w:rFonts w:ascii="宋体" w:hAnsi="宋体" w:eastAsia="宋体"/>
                <w:sz w:val="24"/>
              </w:rPr>
              <w:t>项目支出绩效自评表</w:t>
            </w:r>
          </w:p>
        </w:tc>
      </w:tr>
      <w:tr w14:paraId="5A19AC70">
        <w:tblPrEx>
          <w:tblCellMar>
            <w:top w:w="0" w:type="dxa"/>
            <w:left w:w="108" w:type="dxa"/>
            <w:bottom w:w="0" w:type="dxa"/>
            <w:right w:w="108" w:type="dxa"/>
          </w:tblCellMar>
        </w:tblPrEx>
        <w:tc>
          <w:tcPr>
            <w:tcW w:w="8848" w:type="dxa"/>
            <w:gridSpan w:val="14"/>
            <w:vAlign w:val="center"/>
          </w:tcPr>
          <w:p w14:paraId="1DFE6836">
            <w:pPr>
              <w:jc w:val="center"/>
            </w:pPr>
            <w:r>
              <w:rPr>
                <w:rFonts w:ascii="宋体" w:hAnsi="宋体" w:eastAsia="宋体"/>
                <w:sz w:val="24"/>
              </w:rPr>
              <w:t>(2024年度)</w:t>
            </w:r>
          </w:p>
        </w:tc>
      </w:tr>
      <w:tr w14:paraId="6A037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4A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7DE7A5">
            <w:pPr>
              <w:jc w:val="center"/>
            </w:pPr>
            <w:r>
              <w:rPr>
                <w:rFonts w:ascii="宋体" w:hAnsi="宋体" w:eastAsia="宋体"/>
                <w:sz w:val="16"/>
              </w:rPr>
              <w:t>自有资金项目（社保科）</w:t>
            </w:r>
          </w:p>
        </w:tc>
      </w:tr>
      <w:tr w14:paraId="6BEA44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1E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EBE54">
            <w:pPr>
              <w:jc w:val="center"/>
            </w:pPr>
            <w:r>
              <w:rPr>
                <w:rFonts w:ascii="宋体" w:hAnsi="宋体" w:eastAsia="宋体"/>
                <w:sz w:val="16"/>
              </w:rPr>
              <w:t>巴音郭楞蒙古自治州中心血站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95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496952">
            <w:pPr>
              <w:jc w:val="center"/>
            </w:pPr>
            <w:r>
              <w:rPr>
                <w:rFonts w:ascii="宋体" w:hAnsi="宋体" w:eastAsia="宋体"/>
                <w:sz w:val="16"/>
              </w:rPr>
              <w:t>巴音郭楞蒙古自治州中心血站</w:t>
            </w:r>
          </w:p>
        </w:tc>
      </w:tr>
      <w:tr w14:paraId="405189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FF78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3F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86C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7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6E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9E9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E8F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3CB">
            <w:pPr>
              <w:jc w:val="center"/>
            </w:pPr>
            <w:r>
              <w:rPr>
                <w:rFonts w:ascii="宋体" w:hAnsi="宋体" w:eastAsia="宋体"/>
                <w:sz w:val="16"/>
              </w:rPr>
              <w:t>得分</w:t>
            </w:r>
          </w:p>
        </w:tc>
      </w:tr>
      <w:tr w14:paraId="4F4FB3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BAC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11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3E4B3">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C0C4">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6F8E">
            <w:pPr>
              <w:jc w:val="center"/>
            </w:pPr>
            <w:r>
              <w:rPr>
                <w:rFonts w:ascii="宋体" w:hAnsi="宋体" w:eastAsia="宋体"/>
                <w:sz w:val="16"/>
              </w:rPr>
              <w:t>237.02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B3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E8CE8">
            <w:pPr>
              <w:jc w:val="center"/>
            </w:pPr>
            <w:r>
              <w:rPr>
                <w:rFonts w:ascii="宋体" w:hAnsi="宋体" w:eastAsia="宋体"/>
                <w:sz w:val="16"/>
              </w:rPr>
              <w:t>98.76%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34CB">
            <w:pPr>
              <w:jc w:val="center"/>
            </w:pPr>
            <w:r>
              <w:rPr>
                <w:rFonts w:ascii="宋体" w:hAnsi="宋体" w:eastAsia="宋体"/>
                <w:sz w:val="16"/>
              </w:rPr>
              <w:t>10.00</w:t>
            </w:r>
          </w:p>
        </w:tc>
      </w:tr>
      <w:tr w14:paraId="5FC3B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24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73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BD2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7D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DF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C0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01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5E97">
            <w:pPr>
              <w:jc w:val="center"/>
            </w:pPr>
            <w:r>
              <w:rPr>
                <w:rFonts w:ascii="宋体" w:hAnsi="宋体" w:eastAsia="宋体"/>
                <w:sz w:val="16"/>
              </w:rPr>
              <w:t>-</w:t>
            </w:r>
          </w:p>
        </w:tc>
      </w:tr>
      <w:tr w14:paraId="476FD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08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97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1941">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D756">
            <w:pPr>
              <w:jc w:val="center"/>
            </w:pPr>
            <w:r>
              <w:rPr>
                <w:rFonts w:ascii="宋体" w:hAnsi="宋体" w:eastAsia="宋体"/>
                <w:sz w:val="16"/>
              </w:rPr>
              <w:t>240.00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799A">
            <w:pPr>
              <w:jc w:val="center"/>
            </w:pPr>
            <w:r>
              <w:rPr>
                <w:rFonts w:ascii="宋体" w:hAnsi="宋体" w:eastAsia="宋体"/>
                <w:sz w:val="16"/>
              </w:rPr>
              <w:t>237.02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E6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76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2C6F">
            <w:pPr>
              <w:jc w:val="center"/>
            </w:pPr>
            <w:r>
              <w:rPr>
                <w:rFonts w:ascii="宋体" w:hAnsi="宋体" w:eastAsia="宋体"/>
                <w:sz w:val="16"/>
              </w:rPr>
              <w:t>-</w:t>
            </w:r>
          </w:p>
        </w:tc>
      </w:tr>
      <w:tr w14:paraId="26FEE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285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7C82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BFDA8">
            <w:pPr>
              <w:jc w:val="center"/>
            </w:pPr>
            <w:r>
              <w:rPr>
                <w:rFonts w:ascii="宋体" w:hAnsi="宋体" w:eastAsia="宋体"/>
                <w:sz w:val="16"/>
              </w:rPr>
              <w:t>总体目标完成情况</w:t>
            </w:r>
          </w:p>
        </w:tc>
      </w:tr>
      <w:tr w14:paraId="0891F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F5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7226C">
            <w:pPr>
              <w:jc w:val="both"/>
            </w:pPr>
            <w:r>
              <w:rPr>
                <w:rFonts w:ascii="宋体" w:hAnsi="宋体" w:eastAsia="宋体"/>
                <w:sz w:val="16"/>
              </w:rPr>
              <w:t>项目资金用于巴州中心血站使用项目资金采购设备5台，耗材采购数量336000个，切实保障巴州中心血站完成全州采供血任务，提高采供血安全保障能力。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2F0B6">
            <w:pPr>
              <w:jc w:val="both"/>
            </w:pPr>
            <w:r>
              <w:rPr>
                <w:rFonts w:ascii="宋体" w:hAnsi="宋体" w:eastAsia="宋体"/>
                <w:sz w:val="16"/>
              </w:rPr>
              <w:t>项目资金用于巴州中心血站使用项目资金采购设备5台，耗材采购数量335256个。</w:t>
            </w:r>
          </w:p>
        </w:tc>
      </w:tr>
      <w:tr w14:paraId="53BAB9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A2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87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A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8A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3E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EF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48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00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72E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DC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9FF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EA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5F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001D">
            <w:pPr>
              <w:jc w:val="center"/>
            </w:pPr>
            <w:r>
              <w:rPr>
                <w:rFonts w:ascii="宋体" w:hAnsi="宋体" w:eastAsia="宋体"/>
                <w:sz w:val="16"/>
              </w:rPr>
              <w:t>偏差原因分析及改进措施</w:t>
            </w:r>
          </w:p>
        </w:tc>
      </w:tr>
      <w:tr w14:paraId="36F4A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0EF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27C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E81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CDC5">
            <w:pPr>
              <w:jc w:val="center"/>
            </w:pPr>
            <w:r>
              <w:rPr>
                <w:rFonts w:ascii="宋体" w:hAnsi="宋体" w:eastAsia="宋体"/>
                <w:sz w:val="16"/>
              </w:rPr>
              <w:t>耗材采购数量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B8E9">
            <w:pPr>
              <w:jc w:val="center"/>
            </w:pPr>
            <w:r>
              <w:rPr>
                <w:rFonts w:ascii="宋体" w:hAnsi="宋体" w:eastAsia="宋体"/>
                <w:sz w:val="16"/>
              </w:rPr>
              <w:t>&gt;=336000个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1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F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56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B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4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0175">
            <w:pPr>
              <w:jc w:val="center"/>
            </w:pPr>
            <w:r>
              <w:rPr>
                <w:rFonts w:ascii="宋体" w:hAnsi="宋体" w:eastAsia="宋体"/>
                <w:sz w:val="16"/>
              </w:rPr>
              <w:t>=335256个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8AD3">
            <w:pPr>
              <w:jc w:val="center"/>
            </w:pPr>
            <w:r>
              <w:rPr>
                <w:rFonts w:ascii="宋体" w:hAnsi="宋体" w:eastAsia="宋体"/>
                <w:sz w:val="16"/>
              </w:rPr>
              <w:t>99.78%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1A11">
            <w:pPr>
              <w:jc w:val="center"/>
            </w:pPr>
            <w:r>
              <w:rPr>
                <w:rFonts w:ascii="宋体" w:hAnsi="宋体" w:eastAsia="宋体"/>
                <w:sz w:val="16"/>
              </w:rPr>
              <w:t>4.97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43E9">
            <w:pPr>
              <w:jc w:val="center"/>
            </w:pPr>
            <w:r>
              <w:rPr>
                <w:rFonts w:ascii="宋体" w:hAnsi="宋体" w:eastAsia="宋体"/>
                <w:sz w:val="16"/>
              </w:rPr>
              <w:t>根据业务工作需要，实际采购比计划采购少744个</w:t>
            </w:r>
          </w:p>
        </w:tc>
      </w:tr>
      <w:tr w14:paraId="033C5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29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ED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9D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2FF0">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DD91">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4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9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2F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6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E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4073">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F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BC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58DE">
            <w:pPr>
              <w:jc w:val="center"/>
            </w:pPr>
          </w:p>
        </w:tc>
      </w:tr>
      <w:tr w14:paraId="4BDB4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5A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DEC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1A7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232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6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3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8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C1C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6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B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8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5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ADE7">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1243">
            <w:pPr>
              <w:jc w:val="center"/>
            </w:pPr>
          </w:p>
        </w:tc>
      </w:tr>
      <w:tr w14:paraId="3670E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D5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1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C9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47AB">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37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D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3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15C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D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A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C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EB79">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0136">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C9C2">
            <w:pPr>
              <w:jc w:val="center"/>
            </w:pPr>
            <w:r>
              <w:rPr>
                <w:rFonts w:ascii="宋体" w:hAnsi="宋体" w:eastAsia="宋体"/>
                <w:sz w:val="16"/>
              </w:rPr>
              <w:t>单位加强采购环节管理，导致实际耗材质量合格率提升，造成偏差</w:t>
            </w:r>
          </w:p>
        </w:tc>
      </w:tr>
      <w:tr w14:paraId="0BECB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90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4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C1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5DB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70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6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9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1540">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5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4F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4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8C4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C99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3D73">
            <w:pPr>
              <w:jc w:val="center"/>
            </w:pPr>
            <w:r>
              <w:rPr>
                <w:rFonts w:ascii="宋体" w:hAnsi="宋体" w:eastAsia="宋体"/>
                <w:sz w:val="16"/>
              </w:rPr>
              <w:t>单位加强采购环节管理，导致实际设备质量合格率提升，造成偏差</w:t>
            </w:r>
          </w:p>
        </w:tc>
      </w:tr>
      <w:tr w14:paraId="3BF7D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1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C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AB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F40E">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D8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2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28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C3F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2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C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E49F">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B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5B0F">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0E5B">
            <w:pPr>
              <w:jc w:val="center"/>
            </w:pPr>
          </w:p>
        </w:tc>
      </w:tr>
      <w:tr w14:paraId="390AF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98C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FC4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38E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8F3D">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66CA">
            <w:pPr>
              <w:jc w:val="center"/>
            </w:pPr>
            <w:r>
              <w:rPr>
                <w:rFonts w:ascii="宋体" w:hAnsi="宋体" w:eastAsia="宋体"/>
                <w:sz w:val="16"/>
              </w:rPr>
              <w:t>&lt;=6192元/台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9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9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FC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F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9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C400">
            <w:pPr>
              <w:jc w:val="center"/>
            </w:pPr>
            <w:r>
              <w:rPr>
                <w:rFonts w:ascii="宋体" w:hAnsi="宋体" w:eastAsia="宋体"/>
                <w:sz w:val="16"/>
              </w:rPr>
              <w:t>=6192元/台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C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C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1D87">
            <w:pPr>
              <w:jc w:val="center"/>
            </w:pPr>
          </w:p>
        </w:tc>
      </w:tr>
      <w:tr w14:paraId="73857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2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EE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2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D15D">
            <w:pPr>
              <w:jc w:val="center"/>
            </w:pPr>
            <w:r>
              <w:rPr>
                <w:rFonts w:ascii="宋体" w:hAnsi="宋体" w:eastAsia="宋体"/>
                <w:sz w:val="16"/>
              </w:rPr>
              <w:t>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5C80">
            <w:pPr>
              <w:jc w:val="center"/>
            </w:pPr>
            <w:r>
              <w:rPr>
                <w:rFonts w:ascii="宋体" w:hAnsi="宋体" w:eastAsia="宋体"/>
                <w:sz w:val="16"/>
              </w:rPr>
              <w:t>&lt;=7.05元/个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0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4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5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6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E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C517">
            <w:pPr>
              <w:jc w:val="center"/>
            </w:pPr>
            <w:r>
              <w:rPr>
                <w:rFonts w:ascii="宋体" w:hAnsi="宋体" w:eastAsia="宋体"/>
                <w:sz w:val="16"/>
              </w:rPr>
              <w:t>=6.97元/个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DDC3">
            <w:pPr>
              <w:jc w:val="center"/>
            </w:pPr>
            <w:r>
              <w:rPr>
                <w:rFonts w:ascii="宋体" w:hAnsi="宋体" w:eastAsia="宋体"/>
                <w:sz w:val="16"/>
              </w:rPr>
              <w:t>98.86%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3D6B">
            <w:pPr>
              <w:jc w:val="center"/>
            </w:pPr>
            <w:r>
              <w:rPr>
                <w:rFonts w:ascii="宋体" w:hAnsi="宋体" w:eastAsia="宋体"/>
                <w:sz w:val="16"/>
              </w:rPr>
              <w:t>9.71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1B6">
            <w:pPr>
              <w:jc w:val="center"/>
            </w:pPr>
            <w:r>
              <w:rPr>
                <w:rFonts w:ascii="宋体" w:hAnsi="宋体" w:eastAsia="宋体"/>
                <w:sz w:val="16"/>
              </w:rPr>
              <w:t>实际采购数量减少，导致采购成本降低0.07元/个，造成偏差</w:t>
            </w:r>
          </w:p>
        </w:tc>
      </w:tr>
      <w:tr w14:paraId="3693D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4B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D0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79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BC24">
            <w:pPr>
              <w:jc w:val="center"/>
            </w:pPr>
            <w:r>
              <w:rPr>
                <w:rFonts w:ascii="宋体" w:hAnsi="宋体" w:eastAsia="宋体"/>
                <w:sz w:val="16"/>
              </w:rPr>
              <w:t>血液供应保障能力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BA6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F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6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87A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79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6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7FA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F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FDC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FC9B">
            <w:pPr>
              <w:jc w:val="center"/>
            </w:pPr>
          </w:p>
        </w:tc>
      </w:tr>
      <w:tr w14:paraId="6FEC14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A0F5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AC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F3B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5D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8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E1A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B62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785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F7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CBFB">
            <w:pPr>
              <w:jc w:val="center"/>
            </w:pPr>
            <w:r>
              <w:rPr>
                <w:rFonts w:ascii="宋体" w:hAnsi="宋体" w:eastAsia="宋体"/>
                <w:sz w:val="16"/>
              </w:rPr>
              <w:t>98.02分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A5A49"/>
        </w:tc>
      </w:tr>
    </w:tbl>
    <w:p w14:paraId="73A20B6F">
      <w:r>
        <w:br w:type="page"/>
      </w:r>
    </w:p>
    <w:p w14:paraId="7F12D1F9">
      <w:pPr>
        <w:spacing w:line="640" w:lineRule="exact"/>
        <w:ind w:firstLine="640"/>
        <w:jc w:val="both"/>
        <w:outlineLvl w:val="2"/>
      </w:pPr>
      <w:r>
        <w:rPr>
          <w:rFonts w:ascii="黑体" w:hAnsi="黑体" w:eastAsia="黑体"/>
          <w:sz w:val="32"/>
        </w:rPr>
        <w:t>十二、其他需说明的事项</w:t>
      </w:r>
    </w:p>
    <w:p w14:paraId="340B91EA">
      <w:pPr>
        <w:spacing w:line="580" w:lineRule="exact"/>
        <w:ind w:firstLine="640"/>
        <w:jc w:val="both"/>
      </w:pPr>
      <w:r>
        <w:rPr>
          <w:rFonts w:ascii="仿宋_GB2312" w:hAnsi="仿宋_GB2312" w:eastAsia="仿宋_GB2312"/>
          <w:b w:val="0"/>
          <w:sz w:val="32"/>
        </w:rPr>
        <w:t>本年度本单位整体绩效自评表由主管部门编报并公开。</w:t>
      </w:r>
    </w:p>
    <w:p w14:paraId="7BFD1A12">
      <w:r>
        <w:br w:type="page"/>
      </w:r>
    </w:p>
    <w:p w14:paraId="1B72C65D">
      <w:pPr>
        <w:spacing w:line="240" w:lineRule="auto"/>
        <w:jc w:val="center"/>
        <w:outlineLvl w:val="1"/>
      </w:pPr>
      <w:r>
        <w:rPr>
          <w:rFonts w:ascii="黑体" w:hAnsi="黑体" w:eastAsia="黑体"/>
          <w:sz w:val="32"/>
        </w:rPr>
        <w:t>第三部分 专业名词解释</w:t>
      </w:r>
    </w:p>
    <w:p w14:paraId="093D23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D1A68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4B705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232F1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8E09E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12CB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CEC2A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DAC7D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971F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B7FDD7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78C8F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9B8C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F8D1B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AD5D3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71809B">
      <w:r>
        <w:br w:type="page"/>
      </w:r>
    </w:p>
    <w:p w14:paraId="25178CD3">
      <w:pPr>
        <w:spacing w:line="240" w:lineRule="auto"/>
        <w:jc w:val="center"/>
        <w:outlineLvl w:val="1"/>
      </w:pPr>
      <w:r>
        <w:rPr>
          <w:rFonts w:ascii="黑体" w:hAnsi="黑体" w:eastAsia="黑体"/>
          <w:sz w:val="32"/>
        </w:rPr>
        <w:t>第四部分 部门决算报表（见附表）</w:t>
      </w:r>
    </w:p>
    <w:p w14:paraId="30F18949">
      <w:pPr>
        <w:spacing w:line="240" w:lineRule="auto"/>
        <w:ind w:firstLine="640"/>
        <w:jc w:val="both"/>
      </w:pPr>
      <w:r>
        <w:rPr>
          <w:rFonts w:ascii="仿宋_GB2312" w:hAnsi="仿宋_GB2312" w:eastAsia="仿宋_GB2312"/>
          <w:b w:val="0"/>
          <w:sz w:val="32"/>
        </w:rPr>
        <w:t>一、《收入支出决算总表》</w:t>
      </w:r>
    </w:p>
    <w:p w14:paraId="25280604">
      <w:pPr>
        <w:spacing w:line="240" w:lineRule="auto"/>
        <w:ind w:firstLine="640"/>
        <w:jc w:val="both"/>
      </w:pPr>
      <w:r>
        <w:rPr>
          <w:rFonts w:ascii="仿宋_GB2312" w:hAnsi="仿宋_GB2312" w:eastAsia="仿宋_GB2312"/>
          <w:b w:val="0"/>
          <w:sz w:val="32"/>
        </w:rPr>
        <w:t>二、《收入决算表》</w:t>
      </w:r>
    </w:p>
    <w:p w14:paraId="7AE26ACE">
      <w:pPr>
        <w:spacing w:line="240" w:lineRule="auto"/>
        <w:ind w:firstLine="640"/>
        <w:jc w:val="both"/>
      </w:pPr>
      <w:r>
        <w:rPr>
          <w:rFonts w:ascii="仿宋_GB2312" w:hAnsi="仿宋_GB2312" w:eastAsia="仿宋_GB2312"/>
          <w:b w:val="0"/>
          <w:sz w:val="32"/>
        </w:rPr>
        <w:t>三、《支出决算表》</w:t>
      </w:r>
    </w:p>
    <w:p w14:paraId="07FD8138">
      <w:pPr>
        <w:spacing w:line="240" w:lineRule="auto"/>
        <w:ind w:firstLine="640"/>
        <w:jc w:val="both"/>
      </w:pPr>
      <w:r>
        <w:rPr>
          <w:rFonts w:ascii="仿宋_GB2312" w:hAnsi="仿宋_GB2312" w:eastAsia="仿宋_GB2312"/>
          <w:b w:val="0"/>
          <w:sz w:val="32"/>
        </w:rPr>
        <w:t>四、《财政拨款收入支出决算总表》</w:t>
      </w:r>
    </w:p>
    <w:p w14:paraId="35F70B81">
      <w:pPr>
        <w:spacing w:line="240" w:lineRule="auto"/>
        <w:ind w:firstLine="640"/>
        <w:jc w:val="both"/>
      </w:pPr>
      <w:r>
        <w:rPr>
          <w:rFonts w:ascii="仿宋_GB2312" w:hAnsi="仿宋_GB2312" w:eastAsia="仿宋_GB2312"/>
          <w:b w:val="0"/>
          <w:sz w:val="32"/>
        </w:rPr>
        <w:t>五、《一般公共预算财政拨款支出决算表》</w:t>
      </w:r>
    </w:p>
    <w:p w14:paraId="70500D86">
      <w:pPr>
        <w:spacing w:line="240" w:lineRule="auto"/>
        <w:ind w:firstLine="640"/>
        <w:jc w:val="both"/>
      </w:pPr>
      <w:r>
        <w:rPr>
          <w:rFonts w:ascii="仿宋_GB2312" w:hAnsi="仿宋_GB2312" w:eastAsia="仿宋_GB2312"/>
          <w:b w:val="0"/>
          <w:sz w:val="32"/>
        </w:rPr>
        <w:t>六、《一般公共预算财政拨款基本支出决算表》</w:t>
      </w:r>
    </w:p>
    <w:p w14:paraId="36324C61">
      <w:pPr>
        <w:spacing w:line="240" w:lineRule="auto"/>
        <w:ind w:firstLine="640"/>
        <w:jc w:val="both"/>
      </w:pPr>
      <w:r>
        <w:rPr>
          <w:rFonts w:ascii="仿宋_GB2312" w:hAnsi="仿宋_GB2312" w:eastAsia="仿宋_GB2312"/>
          <w:b w:val="0"/>
          <w:sz w:val="32"/>
        </w:rPr>
        <w:t>七、《政府性基金预算财政拨款收入支出决算表》</w:t>
      </w:r>
    </w:p>
    <w:p w14:paraId="65A46242">
      <w:pPr>
        <w:spacing w:line="240" w:lineRule="auto"/>
        <w:ind w:firstLine="640"/>
        <w:jc w:val="both"/>
      </w:pPr>
      <w:r>
        <w:rPr>
          <w:rFonts w:ascii="仿宋_GB2312" w:hAnsi="仿宋_GB2312" w:eastAsia="仿宋_GB2312"/>
          <w:b w:val="0"/>
          <w:sz w:val="32"/>
        </w:rPr>
        <w:t>八、《国有资本经营预算财政拨款收入支出决算表》</w:t>
      </w:r>
    </w:p>
    <w:p w14:paraId="25616583">
      <w:pPr>
        <w:spacing w:line="240" w:lineRule="auto"/>
        <w:ind w:firstLine="640"/>
        <w:jc w:val="both"/>
      </w:pPr>
      <w:r>
        <w:rPr>
          <w:rFonts w:ascii="仿宋_GB2312" w:hAnsi="仿宋_GB2312" w:eastAsia="仿宋_GB2312"/>
          <w:b w:val="0"/>
          <w:sz w:val="32"/>
        </w:rPr>
        <w:t>九、《财政拨款“三公”经费支出决算表》</w:t>
      </w:r>
    </w:p>
    <w:p w14:paraId="37904E77">
      <w:pPr>
        <w:spacing w:line="240" w:lineRule="auto"/>
        <w:ind w:firstLine="640"/>
        <w:jc w:val="both"/>
      </w:pPr>
    </w:p>
    <w:p w14:paraId="7823BBDF">
      <w:pPr>
        <w:spacing w:line="240" w:lineRule="auto"/>
        <w:ind w:firstLine="640"/>
        <w:jc w:val="both"/>
      </w:pPr>
    </w:p>
    <w:p w14:paraId="242FB4F8">
      <w:pPr>
        <w:spacing w:line="240" w:lineRule="auto"/>
        <w:ind w:firstLine="640"/>
        <w:jc w:val="both"/>
      </w:pPr>
    </w:p>
    <w:p w14:paraId="40B123BE">
      <w:pPr>
        <w:spacing w:line="240" w:lineRule="auto"/>
        <w:ind w:firstLine="640"/>
        <w:jc w:val="both"/>
      </w:pPr>
    </w:p>
    <w:p w14:paraId="341B1BD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4840DB-3BEB-410A-93B4-42668F94F3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A40468D-F68E-4C09-8284-1C5BD3CF4206}"/>
  </w:font>
  <w:font w:name="仿宋_GB2312">
    <w:panose1 w:val="02010609030101010101"/>
    <w:charset w:val="86"/>
    <w:family w:val="modern"/>
    <w:pitch w:val="default"/>
    <w:sig w:usb0="00000001" w:usb1="080E0000" w:usb2="00000000" w:usb3="00000000" w:csb0="00040000" w:csb1="00000000"/>
    <w:embedRegular r:id="rId3" w:fontKey="{49C1E0D1-87F7-4F1E-95F7-1FE987CDE103}"/>
  </w:font>
  <w:font w:name="楷体_GB2312">
    <w:panose1 w:val="02010609030101010101"/>
    <w:charset w:val="86"/>
    <w:family w:val="auto"/>
    <w:pitch w:val="default"/>
    <w:sig w:usb0="00000001" w:usb1="080E0000" w:usb2="00000000" w:usb3="00000000" w:csb0="00040000" w:csb1="00000000"/>
    <w:embedRegular r:id="rId4" w:fontKey="{CBC52200-14E5-4ACF-BC06-ABDB07BF30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A54B84"/>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8D542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546</Words>
  <Characters>549</Characters>
  <Lines>0</Lines>
  <Paragraphs>0</Paragraphs>
  <TotalTime>7</TotalTime>
  <ScaleCrop>false</ScaleCrop>
  <LinksUpToDate>false</LinksUpToDate>
  <CharactersWithSpaces>556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