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巴音郭楞蒙古自治州生态环境局2024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1A7B184">
      <w:r>
        <w:br w:type="page"/>
      </w:r>
    </w:p>
    <w:p w14:paraId="3CC89B2D">
      <w:pPr>
        <w:spacing w:line="640" w:lineRule="exact"/>
        <w:jc w:val="center"/>
        <w:outlineLvl w:val="1"/>
      </w:pPr>
      <w:r>
        <w:rPr>
          <w:rFonts w:ascii="黑体" w:hAnsi="黑体" w:eastAsia="黑体"/>
          <w:sz w:val="32"/>
        </w:rPr>
        <w:t>第一部分 单位概况</w:t>
      </w:r>
    </w:p>
    <w:p w14:paraId="1DBC66EE">
      <w:pPr>
        <w:spacing w:line="640" w:lineRule="exact"/>
        <w:ind w:firstLine="640"/>
        <w:jc w:val="both"/>
        <w:outlineLvl w:val="2"/>
      </w:pPr>
      <w:r>
        <w:rPr>
          <w:rFonts w:ascii="黑体" w:hAnsi="黑体" w:eastAsia="黑体"/>
          <w:sz w:val="32"/>
        </w:rPr>
        <w:t>一、主要职能</w:t>
      </w:r>
    </w:p>
    <w:p w14:paraId="4EF95185">
      <w:pPr>
        <w:spacing w:line="580" w:lineRule="exact"/>
        <w:ind w:firstLine="640"/>
        <w:jc w:val="both"/>
      </w:pPr>
      <w:r>
        <w:rPr>
          <w:rFonts w:ascii="仿宋_GB2312" w:hAnsi="仿宋_GB2312" w:eastAsia="仿宋_GB2312"/>
          <w:sz w:val="32"/>
        </w:rPr>
        <w:t>（一）负责建立健全生态环境制度。贯彻执行国家、自治区生态环境政策、规划，会同有关部门拟订自治州生态环境政策、规划并组织实施，起草生态环境地方性法规、政府规章草案。会同有关部门编制并监督实施重点区域、流域、饮用水水源地生态环境规划和水功能区划。</w:t>
      </w:r>
    </w:p>
    <w:p w14:paraId="412611B7">
      <w:pPr>
        <w:spacing w:line="580" w:lineRule="exact"/>
        <w:ind w:firstLine="640"/>
        <w:jc w:val="both"/>
      </w:pPr>
      <w:r>
        <w:rPr>
          <w:rFonts w:ascii="仿宋_GB2312" w:hAnsi="仿宋_GB2312" w:eastAsia="仿宋_GB2312"/>
          <w:sz w:val="32"/>
        </w:rPr>
        <w:t>（二）负责较大生态环境问题的统筹协调和监督管理。牵头协调自治州环境污染事故和生态破坏事件的调查处理，指导协调县（市）政府对较大突发生态环境事件的应急预警工作，牵头指导实施生态环境损害赔偿制度，协调解决有关跨县（市）域环境污染纠纷，统筹协调自治州重点区域、流域生态环境保护工作。</w:t>
      </w:r>
    </w:p>
    <w:p w14:paraId="57867F31">
      <w:pPr>
        <w:spacing w:line="580" w:lineRule="exact"/>
        <w:ind w:firstLine="640"/>
        <w:jc w:val="both"/>
      </w:pPr>
      <w:r>
        <w:rPr>
          <w:rFonts w:ascii="仿宋_GB2312" w:hAnsi="仿宋_GB2312" w:eastAsia="仿宋_GB2312"/>
          <w:sz w:val="32"/>
        </w:rPr>
        <w:t>（三）负责监督管理自治州减排目标的落实。贯彻落实国家污染物排放总量控制、排污许可制度并监督实施。拟订自治州总量控制计划并监督实施，监督检查各县（市、区）污染物减排任务完成情况，实施生态环境保护目标责任制。</w:t>
      </w:r>
    </w:p>
    <w:p w14:paraId="5D7E2920">
      <w:pPr>
        <w:spacing w:line="580" w:lineRule="exact"/>
        <w:ind w:firstLine="640"/>
        <w:jc w:val="both"/>
      </w:pPr>
      <w:r>
        <w:rPr>
          <w:rFonts w:ascii="仿宋_GB2312" w:hAnsi="仿宋_GB2312" w:eastAsia="仿宋_GB2312"/>
          <w:sz w:val="32"/>
        </w:rPr>
        <w:t>（四）负责环境污染防治的监督管理。根据国家、自治区大气、水、土壤、噪声、光、恶臭、固体废物、化学品、机动车等的污染防治管理制度，拟订自治州污染防治管理制度并监督实施。会同有关部门监督管理饮用水水源地生态环境保护工作，组织指导城乡生态环境综合整治工作，监督指导农业面源污染治理工作。监督指导区域大气环境保护工作，监督重点区域大气污染联防联控协作机制的实施。</w:t>
      </w:r>
    </w:p>
    <w:p w14:paraId="1EDF4F3A">
      <w:pPr>
        <w:spacing w:line="580" w:lineRule="exact"/>
        <w:ind w:firstLine="640"/>
        <w:jc w:val="both"/>
      </w:pPr>
      <w:r>
        <w:rPr>
          <w:rFonts w:ascii="仿宋_GB2312" w:hAnsi="仿宋_GB2312" w:eastAsia="仿宋_GB2312"/>
          <w:sz w:val="32"/>
        </w:rPr>
        <w:t>（五）指导协调和监督生态保护修复工作。组织编制自治州生态环境保护规划，监督对生态环境有影响的自然资源开发利用活动、重要生态环境建设和生态环境破坏恢复工作。组织制定各类自然保护地生态环境监管制度。指导协调和监督农村生态环境保护，监督生物技术环境安全，牵头生物物种（含遗传资源）工作，组织协调生物多样性保护工作，参与生态保护补偿工作。</w:t>
      </w:r>
    </w:p>
    <w:p w14:paraId="23F8D497">
      <w:pPr>
        <w:spacing w:line="580" w:lineRule="exact"/>
        <w:ind w:firstLine="640"/>
        <w:jc w:val="both"/>
      </w:pPr>
      <w:r>
        <w:rPr>
          <w:rFonts w:ascii="仿宋_GB2312" w:hAnsi="仿宋_GB2312" w:eastAsia="仿宋_GB2312"/>
          <w:sz w:val="32"/>
        </w:rPr>
        <w:t>（六）负责核与辐射安全的监督管理。根据国家、自治区有关核与辐射安全政策、规划、标准拟订自治州核与辐射安全政策、规划并监督实施，参与核事故应急处理，组织实施辐射环境事故应急处理工作，监督管理放射源安全和核技术应用、电磁辐射、伴有放射性矿产资源开发利用中的污染防治。</w:t>
      </w:r>
    </w:p>
    <w:p w14:paraId="7552CFD8">
      <w:pPr>
        <w:spacing w:line="580" w:lineRule="exact"/>
        <w:ind w:firstLine="640"/>
        <w:jc w:val="both"/>
      </w:pPr>
      <w:r>
        <w:rPr>
          <w:rFonts w:ascii="仿宋_GB2312" w:hAnsi="仿宋_GB2312" w:eastAsia="仿宋_GB2312"/>
          <w:sz w:val="32"/>
        </w:rPr>
        <w:t>（七）负责生态环境准入的监督管理。受自治州人民政府委托对重大经济和技术政策、发展规划以及重大经济开发计划进行环境影响评价。按照国家和自治区规定，负责规划环境影响评价、政策环境影响评价审查和项目环境影响评价审批。组织拟订并实施生态环境准入清单。</w:t>
      </w:r>
    </w:p>
    <w:p w14:paraId="57BE0C3C">
      <w:pPr>
        <w:spacing w:line="580" w:lineRule="exact"/>
        <w:ind w:firstLine="640"/>
        <w:jc w:val="both"/>
      </w:pPr>
      <w:r>
        <w:rPr>
          <w:rFonts w:ascii="仿宋_GB2312" w:hAnsi="仿宋_GB2312" w:eastAsia="仿宋_GB2312"/>
          <w:sz w:val="32"/>
        </w:rPr>
        <w:t>（八）负责生态环境监测工作。拟订自治州生态环境监测制度和规范并监督实施。会同有关部门统一规划自治州生态环境质量监测站点设置，组织实施生态环境监测、生态环境质量状况调查评价、考核、预警预测，组织建设和管理自治州生态环境监测网和自治州生态环境信息网。建立和实行生态环境质量公告制度，统一发布自治州生态环境综合性报告和重大生态环境信息。</w:t>
      </w:r>
    </w:p>
    <w:p w14:paraId="6D09DA3C">
      <w:pPr>
        <w:spacing w:line="580" w:lineRule="exact"/>
        <w:ind w:firstLine="640"/>
        <w:jc w:val="both"/>
      </w:pPr>
      <w:r>
        <w:rPr>
          <w:rFonts w:ascii="仿宋_GB2312" w:hAnsi="仿宋_GB2312" w:eastAsia="仿宋_GB2312"/>
          <w:sz w:val="32"/>
        </w:rPr>
        <w:t>（九）负责生态环境监察工作。建立健全</w:t>
      </w:r>
      <w:r>
        <w:rPr>
          <w:rFonts w:hint="eastAsia" w:ascii="仿宋_GB2312" w:hAnsi="仿宋_GB2312" w:eastAsia="仿宋_GB2312"/>
          <w:sz w:val="32"/>
          <w:lang w:eastAsia="zh-CN"/>
        </w:rPr>
        <w:t>生态环境保护督察</w:t>
      </w:r>
      <w:r>
        <w:rPr>
          <w:rFonts w:ascii="仿宋_GB2312" w:hAnsi="仿宋_GB2312" w:eastAsia="仿宋_GB2312"/>
          <w:sz w:val="32"/>
        </w:rPr>
        <w:t>制度，根据授权对各县市、各有关部门贯彻落实中央生态环境保护决策部署和自治区、自治州工作要求情况进行监察问责。组织协调自治州生态环境保护督察工作。</w:t>
      </w:r>
    </w:p>
    <w:p w14:paraId="5AA54806">
      <w:pPr>
        <w:spacing w:line="580" w:lineRule="exact"/>
        <w:ind w:firstLine="640"/>
        <w:jc w:val="both"/>
      </w:pPr>
      <w:r>
        <w:rPr>
          <w:rFonts w:ascii="仿宋_GB2312" w:hAnsi="仿宋_GB2312" w:eastAsia="仿宋_GB2312"/>
          <w:sz w:val="32"/>
        </w:rPr>
        <w:t>（十）统一指导生态环境监督执法。组织开展自治州生态环境保护执法检查活动，查处生态环境违法案件。指导、参与环境信访投诉案件的办理。指导自治州生态环境保护综合执法队伍建设和业务工作。</w:t>
      </w:r>
    </w:p>
    <w:p w14:paraId="6BEA3718">
      <w:pPr>
        <w:spacing w:line="580" w:lineRule="exact"/>
        <w:ind w:firstLine="640"/>
        <w:jc w:val="both"/>
      </w:pPr>
      <w:r>
        <w:rPr>
          <w:rFonts w:ascii="仿宋_GB2312" w:hAnsi="仿宋_GB2312" w:eastAsia="仿宋_GB2312"/>
          <w:sz w:val="32"/>
        </w:rPr>
        <w:t>（十一）组织指导和协调生态环境保护宣传教育工作，制定并组织实施生态环境保护宣传教育规划，推动社会组织和公众参与生态环境保护。开展生态环境科技工作，组织协调生态环境保护科学研究和技术工程示范，推动生态环境技术管理体系建设。</w:t>
      </w:r>
    </w:p>
    <w:p w14:paraId="648B28CB">
      <w:pPr>
        <w:spacing w:line="580" w:lineRule="exact"/>
        <w:ind w:firstLine="640"/>
        <w:jc w:val="both"/>
      </w:pPr>
      <w:r>
        <w:rPr>
          <w:rFonts w:ascii="仿宋_GB2312" w:hAnsi="仿宋_GB2312" w:eastAsia="仿宋_GB2312"/>
          <w:sz w:val="32"/>
        </w:rPr>
        <w:t>（十二）承担本部门党的建设、党风廉政建设和反腐败、精神文明、维护稳定、</w:t>
      </w:r>
      <w:r>
        <w:rPr>
          <w:rFonts w:hint="eastAsia" w:ascii="仿宋_GB2312" w:hAnsi="仿宋_GB2312" w:eastAsia="仿宋_GB2312"/>
          <w:sz w:val="32"/>
          <w:lang w:eastAsia="zh-CN"/>
        </w:rPr>
        <w:t>为民办实事</w:t>
      </w:r>
      <w:r>
        <w:rPr>
          <w:rFonts w:ascii="仿宋_GB2312" w:hAnsi="仿宋_GB2312" w:eastAsia="仿宋_GB2312"/>
          <w:sz w:val="32"/>
        </w:rPr>
        <w:t>、综合治理、民族团结、“两个全覆盖”、安全生产、扶贫等工作。</w:t>
      </w:r>
    </w:p>
    <w:p w14:paraId="6FBB7199">
      <w:pPr>
        <w:spacing w:line="580" w:lineRule="exact"/>
        <w:ind w:firstLine="640"/>
        <w:jc w:val="both"/>
      </w:pPr>
      <w:r>
        <w:rPr>
          <w:rFonts w:ascii="仿宋_GB2312" w:hAnsi="仿宋_GB2312" w:eastAsia="仿宋_GB2312"/>
          <w:sz w:val="32"/>
        </w:rPr>
        <w:t>（十三）完成自治州党委、自治州人民政府交办的其他任务。</w:t>
      </w:r>
    </w:p>
    <w:p w14:paraId="05C06EC5">
      <w:pPr>
        <w:spacing w:line="640" w:lineRule="exact"/>
        <w:ind w:firstLine="640"/>
        <w:jc w:val="both"/>
        <w:outlineLvl w:val="2"/>
      </w:pPr>
      <w:r>
        <w:rPr>
          <w:rFonts w:ascii="黑体" w:hAnsi="黑体" w:eastAsia="黑体"/>
          <w:sz w:val="32"/>
        </w:rPr>
        <w:t>二、机构设置及人员情况</w:t>
      </w:r>
    </w:p>
    <w:p w14:paraId="257BF32E">
      <w:pPr>
        <w:spacing w:line="580" w:lineRule="exact"/>
        <w:ind w:firstLine="640"/>
        <w:jc w:val="both"/>
      </w:pPr>
      <w:r>
        <w:rPr>
          <w:rFonts w:ascii="仿宋_GB2312" w:hAnsi="仿宋_GB2312" w:eastAsia="仿宋_GB2312"/>
          <w:sz w:val="32"/>
        </w:rPr>
        <w:t>巴音郭楞蒙古自治州生态环境局2024年度，实有人数50人，其中：在职人员14人，减少22人；离休人员0人，增加0人；退休人员36人,增加3人。</w:t>
      </w:r>
    </w:p>
    <w:p w14:paraId="23B2F2A4">
      <w:pPr>
        <w:spacing w:line="580" w:lineRule="exact"/>
        <w:ind w:firstLine="640"/>
        <w:jc w:val="both"/>
      </w:pPr>
      <w:r>
        <w:rPr>
          <w:rFonts w:ascii="仿宋_GB2312" w:hAnsi="仿宋_GB2312" w:eastAsia="仿宋_GB2312"/>
          <w:sz w:val="32"/>
        </w:rPr>
        <w:t>巴音郭楞蒙古自治州生态环境局无下属预算单位，下设6个科室，分别是：办公室、自然生态保护科、水生态环境科、大气环境科、土壤生态环境科、环境影响评价与排放管理科。</w:t>
      </w:r>
    </w:p>
    <w:p w14:paraId="06553343">
      <w:r>
        <w:br w:type="page"/>
      </w:r>
    </w:p>
    <w:p w14:paraId="408455ED">
      <w:pPr>
        <w:spacing w:line="240" w:lineRule="auto"/>
        <w:jc w:val="center"/>
        <w:outlineLvl w:val="1"/>
      </w:pPr>
      <w:r>
        <w:rPr>
          <w:rFonts w:ascii="黑体" w:hAnsi="黑体" w:eastAsia="黑体"/>
          <w:sz w:val="32"/>
        </w:rPr>
        <w:t>第二部分 部门决算情况说明</w:t>
      </w:r>
    </w:p>
    <w:p w14:paraId="177D063E">
      <w:pPr>
        <w:spacing w:line="640" w:lineRule="exact"/>
        <w:ind w:firstLine="640"/>
        <w:jc w:val="both"/>
        <w:outlineLvl w:val="2"/>
      </w:pPr>
      <w:r>
        <w:rPr>
          <w:rFonts w:ascii="黑体" w:hAnsi="黑体" w:eastAsia="黑体"/>
          <w:sz w:val="32"/>
        </w:rPr>
        <w:t>一、收入支出决算总体情况说明</w:t>
      </w:r>
    </w:p>
    <w:p w14:paraId="07733470">
      <w:pPr>
        <w:spacing w:line="580" w:lineRule="exact"/>
        <w:ind w:firstLine="640"/>
        <w:jc w:val="both"/>
      </w:pPr>
      <w:r>
        <w:rPr>
          <w:rFonts w:ascii="仿宋_GB2312" w:hAnsi="仿宋_GB2312" w:eastAsia="仿宋_GB2312"/>
          <w:b/>
          <w:sz w:val="32"/>
        </w:rPr>
        <w:t>2024年度收入总计670.50万元，</w:t>
      </w:r>
      <w:r>
        <w:rPr>
          <w:rFonts w:ascii="仿宋_GB2312" w:hAnsi="仿宋_GB2312" w:eastAsia="仿宋_GB2312"/>
          <w:b w:val="0"/>
          <w:sz w:val="32"/>
        </w:rPr>
        <w:t>其中：本年收入合计670.40万元，使用非财政拨款结余（含专用结余）0.00万元，年初结转和结余0.10万元。</w:t>
      </w:r>
    </w:p>
    <w:p w14:paraId="2655381B">
      <w:pPr>
        <w:spacing w:line="580" w:lineRule="exact"/>
        <w:ind w:firstLine="640"/>
        <w:jc w:val="both"/>
      </w:pPr>
      <w:r>
        <w:rPr>
          <w:rFonts w:ascii="仿宋_GB2312" w:hAnsi="仿宋_GB2312" w:eastAsia="仿宋_GB2312"/>
          <w:b/>
          <w:sz w:val="32"/>
        </w:rPr>
        <w:t>2024年度支出总计670.50万元，</w:t>
      </w:r>
      <w:r>
        <w:rPr>
          <w:rFonts w:ascii="仿宋_GB2312" w:hAnsi="仿宋_GB2312" w:eastAsia="仿宋_GB2312"/>
          <w:b w:val="0"/>
          <w:sz w:val="32"/>
        </w:rPr>
        <w:t>其中：本年支出合计670.40万元，结余分配0.00万元，年末结转和结余0.10万元。</w:t>
      </w:r>
    </w:p>
    <w:p w14:paraId="6BF49F62">
      <w:pPr>
        <w:spacing w:line="580" w:lineRule="exact"/>
        <w:ind w:firstLine="640"/>
        <w:jc w:val="both"/>
      </w:pPr>
      <w:r>
        <w:rPr>
          <w:rFonts w:ascii="仿宋_GB2312" w:hAnsi="仿宋_GB2312" w:eastAsia="仿宋_GB2312"/>
          <w:b w:val="0"/>
          <w:sz w:val="32"/>
        </w:rPr>
        <w:t>收入支出总体与上年相比，减少304.89万元，下降31.26%，主要原因是：本年机构改革，事业在职人员调整到库尉轮监测站，导致人员经费、运转经费减少；本年减少“三线一单”生态环境分区管控成果动态更新工作经费。</w:t>
      </w:r>
    </w:p>
    <w:p w14:paraId="72E099EB">
      <w:pPr>
        <w:spacing w:line="640" w:lineRule="exact"/>
        <w:ind w:firstLine="640"/>
        <w:jc w:val="both"/>
        <w:outlineLvl w:val="2"/>
      </w:pPr>
      <w:r>
        <w:rPr>
          <w:rFonts w:ascii="黑体" w:hAnsi="黑体" w:eastAsia="黑体"/>
          <w:sz w:val="32"/>
        </w:rPr>
        <w:t>二、收入决算情况说明</w:t>
      </w:r>
    </w:p>
    <w:p w14:paraId="0994C56F">
      <w:pPr>
        <w:spacing w:line="580" w:lineRule="exact"/>
        <w:ind w:firstLine="640"/>
        <w:jc w:val="both"/>
      </w:pPr>
      <w:r>
        <w:rPr>
          <w:rFonts w:ascii="仿宋_GB2312" w:hAnsi="仿宋_GB2312" w:eastAsia="仿宋_GB2312"/>
          <w:b/>
          <w:sz w:val="32"/>
        </w:rPr>
        <w:t>本年收入670.40万元，</w:t>
      </w:r>
      <w:r>
        <w:rPr>
          <w:rFonts w:ascii="仿宋_GB2312" w:hAnsi="仿宋_GB2312" w:eastAsia="仿宋_GB2312"/>
          <w:b w:val="0"/>
          <w:sz w:val="32"/>
        </w:rPr>
        <w:t>其中：财政拨款收入626.22万元，占93.41%；上级补助收入0.00万元，占0.00%；事业收入0.00万元，占0.00%；经营收入0.00万元，占0.00%；附属单位上缴收入0.00万元，占0.00%；其他收入44.18万元，占6.59%。</w:t>
      </w:r>
    </w:p>
    <w:p w14:paraId="0B823009">
      <w:pPr>
        <w:spacing w:line="640" w:lineRule="exact"/>
        <w:ind w:firstLine="640"/>
        <w:jc w:val="both"/>
        <w:outlineLvl w:val="2"/>
      </w:pPr>
      <w:r>
        <w:rPr>
          <w:rFonts w:ascii="黑体" w:hAnsi="黑体" w:eastAsia="黑体"/>
          <w:sz w:val="32"/>
        </w:rPr>
        <w:t>三、支出决算情况说明</w:t>
      </w:r>
    </w:p>
    <w:p w14:paraId="118F5102">
      <w:pPr>
        <w:spacing w:line="580" w:lineRule="exact"/>
        <w:ind w:firstLine="640"/>
        <w:jc w:val="both"/>
      </w:pPr>
      <w:r>
        <w:rPr>
          <w:rFonts w:ascii="仿宋_GB2312" w:hAnsi="仿宋_GB2312" w:eastAsia="仿宋_GB2312"/>
          <w:b/>
          <w:sz w:val="32"/>
        </w:rPr>
        <w:t>本年支出670.40万元，</w:t>
      </w:r>
      <w:r>
        <w:rPr>
          <w:rFonts w:ascii="仿宋_GB2312" w:hAnsi="仿宋_GB2312" w:eastAsia="仿宋_GB2312"/>
          <w:b w:val="0"/>
          <w:sz w:val="32"/>
        </w:rPr>
        <w:t>其中：基本支出422.24万元，占62.98%；项目支出248.16万元，占37.02%；上缴上级支出0.00万元，占0.00%；经营支出0.00万元，占0.00%；对附属单位补助支出0.00万元，占0.00%。</w:t>
      </w:r>
    </w:p>
    <w:p w14:paraId="04285603">
      <w:pPr>
        <w:spacing w:line="640" w:lineRule="exact"/>
        <w:ind w:firstLine="640"/>
        <w:jc w:val="both"/>
        <w:outlineLvl w:val="2"/>
      </w:pPr>
      <w:r>
        <w:rPr>
          <w:rFonts w:ascii="黑体" w:hAnsi="黑体" w:eastAsia="黑体"/>
          <w:sz w:val="32"/>
        </w:rPr>
        <w:t>四、财政拨款收入支出决算总体情况说明</w:t>
      </w:r>
    </w:p>
    <w:p w14:paraId="24944DC1">
      <w:pPr>
        <w:spacing w:line="580" w:lineRule="exact"/>
        <w:ind w:firstLine="640"/>
        <w:jc w:val="both"/>
      </w:pPr>
      <w:r>
        <w:rPr>
          <w:rFonts w:ascii="仿宋_GB2312" w:hAnsi="仿宋_GB2312" w:eastAsia="仿宋_GB2312"/>
          <w:b/>
          <w:sz w:val="32"/>
        </w:rPr>
        <w:t>2024年度财政拨款收入总计626.22万元，</w:t>
      </w:r>
      <w:r>
        <w:rPr>
          <w:rFonts w:ascii="仿宋_GB2312" w:hAnsi="仿宋_GB2312" w:eastAsia="仿宋_GB2312"/>
          <w:b w:val="0"/>
          <w:sz w:val="32"/>
        </w:rPr>
        <w:t>其中：年初财政拨款结转和结余0.00万元，本年财政拨款收入626.22万元。</w:t>
      </w:r>
      <w:r>
        <w:rPr>
          <w:rFonts w:ascii="仿宋_GB2312" w:hAnsi="仿宋_GB2312" w:eastAsia="仿宋_GB2312"/>
          <w:b/>
          <w:sz w:val="32"/>
        </w:rPr>
        <w:t>财政拨款支出总计626.22万元，</w:t>
      </w:r>
      <w:r>
        <w:rPr>
          <w:rFonts w:ascii="仿宋_GB2312" w:hAnsi="仿宋_GB2312" w:eastAsia="仿宋_GB2312"/>
          <w:b w:val="0"/>
          <w:sz w:val="32"/>
        </w:rPr>
        <w:t>其中：年末财政拨款结转和结余0.00万元，本年财政拨款支出626.22万元。</w:t>
      </w:r>
    </w:p>
    <w:p w14:paraId="77C07D9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减少349.07万元，下降35.79%，主要原因是：本年机构改革，事业在职人员调整到库尉轮监测站，导致人员经费、运转经费减少；本年减少“三线一单”生态环境分区管控成果动态更新工作经费。</w:t>
      </w:r>
      <w:r>
        <w:rPr>
          <w:rFonts w:ascii="仿宋_GB2312" w:hAnsi="仿宋_GB2312" w:eastAsia="仿宋_GB2312"/>
          <w:b/>
          <w:sz w:val="32"/>
        </w:rPr>
        <w:t>与年初预算相比，</w:t>
      </w:r>
      <w:r>
        <w:rPr>
          <w:rFonts w:ascii="仿宋_GB2312" w:hAnsi="仿宋_GB2312" w:eastAsia="仿宋_GB2312"/>
          <w:b w:val="0"/>
          <w:sz w:val="32"/>
        </w:rPr>
        <w:t>年初预算数548.10万元，决算数626.22万元，预决算差异率14.25%，主要原因是：年中追加人员工资、社保、公积金基数调增部分资金，年中追加退休人员的职业年金缴费，导致预决算存在差异。</w:t>
      </w:r>
    </w:p>
    <w:p w14:paraId="00CE29ED">
      <w:pPr>
        <w:spacing w:line="640" w:lineRule="exact"/>
        <w:ind w:firstLine="640"/>
        <w:jc w:val="both"/>
        <w:outlineLvl w:val="2"/>
      </w:pPr>
      <w:r>
        <w:rPr>
          <w:rFonts w:ascii="黑体" w:hAnsi="黑体" w:eastAsia="黑体"/>
          <w:sz w:val="32"/>
        </w:rPr>
        <w:t>五、一般公共预算财政拨款支出决算情况说明</w:t>
      </w:r>
    </w:p>
    <w:p w14:paraId="4E460268">
      <w:pPr>
        <w:spacing w:line="640" w:lineRule="exact"/>
        <w:ind w:firstLine="640"/>
        <w:jc w:val="both"/>
        <w:outlineLvl w:val="3"/>
      </w:pPr>
      <w:r>
        <w:rPr>
          <w:rFonts w:ascii="楷体_GB2312" w:hAnsi="楷体_GB2312" w:eastAsia="楷体_GB2312"/>
          <w:b/>
          <w:sz w:val="32"/>
        </w:rPr>
        <w:t>（一）一般公共预算财政拨款支出决算总体情况</w:t>
      </w:r>
    </w:p>
    <w:p w14:paraId="44500CE4">
      <w:pPr>
        <w:spacing w:line="580" w:lineRule="exact"/>
        <w:ind w:firstLine="640"/>
        <w:jc w:val="both"/>
      </w:pPr>
      <w:r>
        <w:rPr>
          <w:rFonts w:ascii="仿宋_GB2312" w:hAnsi="仿宋_GB2312" w:eastAsia="仿宋_GB2312"/>
          <w:b/>
          <w:sz w:val="32"/>
        </w:rPr>
        <w:t>2024年度一般公共预算财政拨款支出626.22万元，</w:t>
      </w:r>
      <w:r>
        <w:rPr>
          <w:rFonts w:ascii="仿宋_GB2312" w:hAnsi="仿宋_GB2312" w:eastAsia="仿宋_GB2312"/>
          <w:b w:val="0"/>
          <w:sz w:val="32"/>
        </w:rPr>
        <w:t>占本年支出合计的93.41%。</w:t>
      </w:r>
      <w:r>
        <w:rPr>
          <w:rFonts w:ascii="仿宋_GB2312" w:hAnsi="仿宋_GB2312" w:eastAsia="仿宋_GB2312"/>
          <w:b/>
          <w:sz w:val="32"/>
        </w:rPr>
        <w:t>与上年相比，</w:t>
      </w:r>
      <w:r>
        <w:rPr>
          <w:rFonts w:ascii="仿宋_GB2312" w:hAnsi="仿宋_GB2312" w:eastAsia="仿宋_GB2312"/>
          <w:b w:val="0"/>
          <w:sz w:val="32"/>
        </w:rPr>
        <w:t>减少349.07万元，下降35.79%，主要原因是：本年机构改革，事业在职人员调整到库尉轮监测站，导致人员经费、运转经费减少；本年减少“三线一单”生态环境分区管控成果动态更新工作经费。</w:t>
      </w:r>
      <w:r>
        <w:rPr>
          <w:rFonts w:ascii="仿宋_GB2312" w:hAnsi="仿宋_GB2312" w:eastAsia="仿宋_GB2312"/>
          <w:b/>
          <w:sz w:val="32"/>
        </w:rPr>
        <w:t>与年初预算相比,</w:t>
      </w:r>
      <w:r>
        <w:rPr>
          <w:rFonts w:ascii="仿宋_GB2312" w:hAnsi="仿宋_GB2312" w:eastAsia="仿宋_GB2312"/>
          <w:b w:val="0"/>
          <w:sz w:val="32"/>
        </w:rPr>
        <w:t>年初预算数548.10万元，决算数626.22万元，预决算差异率14.25%，主要原因是：年中追加人员工资、社保、公积金基数调增部分资金，年中追加退休人员的职业年金缴费，导致预决算存在差异。</w:t>
      </w:r>
    </w:p>
    <w:p w14:paraId="33F9AEA1">
      <w:pPr>
        <w:spacing w:line="640" w:lineRule="exact"/>
        <w:ind w:firstLine="640"/>
        <w:jc w:val="both"/>
        <w:outlineLvl w:val="3"/>
      </w:pPr>
      <w:r>
        <w:rPr>
          <w:rFonts w:ascii="楷体_GB2312" w:hAnsi="楷体_GB2312" w:eastAsia="楷体_GB2312"/>
          <w:b/>
          <w:sz w:val="32"/>
        </w:rPr>
        <w:t>（二）一般公共预算财政拨款支出决算结构情况</w:t>
      </w:r>
    </w:p>
    <w:p w14:paraId="128DAD29">
      <w:pPr>
        <w:spacing w:line="580" w:lineRule="exact"/>
        <w:ind w:firstLine="640"/>
        <w:jc w:val="both"/>
      </w:pPr>
      <w:r>
        <w:rPr>
          <w:rFonts w:ascii="仿宋_GB2312" w:hAnsi="仿宋_GB2312" w:eastAsia="仿宋_GB2312"/>
          <w:b w:val="0"/>
          <w:sz w:val="32"/>
        </w:rPr>
        <w:t>1.教育支出(类)2.15万元,占0.34%。</w:t>
      </w:r>
    </w:p>
    <w:p w14:paraId="708D0723">
      <w:pPr>
        <w:spacing w:line="580" w:lineRule="exact"/>
        <w:ind w:firstLine="640"/>
        <w:jc w:val="both"/>
      </w:pPr>
      <w:r>
        <w:rPr>
          <w:rFonts w:ascii="仿宋_GB2312" w:hAnsi="仿宋_GB2312" w:eastAsia="仿宋_GB2312"/>
          <w:b w:val="0"/>
          <w:sz w:val="32"/>
        </w:rPr>
        <w:t>2.社会保障和就业支出(类)88.68万元,占14.16%。</w:t>
      </w:r>
    </w:p>
    <w:p w14:paraId="71E4234C">
      <w:pPr>
        <w:spacing w:line="580" w:lineRule="exact"/>
        <w:ind w:firstLine="640"/>
        <w:jc w:val="both"/>
      </w:pPr>
      <w:r>
        <w:rPr>
          <w:rFonts w:ascii="仿宋_GB2312" w:hAnsi="仿宋_GB2312" w:eastAsia="仿宋_GB2312"/>
          <w:b w:val="0"/>
          <w:sz w:val="32"/>
        </w:rPr>
        <w:t>3.卫生健康支出(类)16.02万元,占2.56%。</w:t>
      </w:r>
    </w:p>
    <w:p w14:paraId="2D3C4F79">
      <w:pPr>
        <w:spacing w:line="580" w:lineRule="exact"/>
        <w:ind w:firstLine="640"/>
        <w:jc w:val="both"/>
      </w:pPr>
      <w:r>
        <w:rPr>
          <w:rFonts w:ascii="仿宋_GB2312" w:hAnsi="仿宋_GB2312" w:eastAsia="仿宋_GB2312"/>
          <w:b w:val="0"/>
          <w:sz w:val="32"/>
        </w:rPr>
        <w:t>4.节能环保支出(类)499.16万元,占79.71%。</w:t>
      </w:r>
    </w:p>
    <w:p w14:paraId="16713042">
      <w:pPr>
        <w:spacing w:line="580" w:lineRule="exact"/>
        <w:ind w:firstLine="640"/>
        <w:jc w:val="both"/>
      </w:pPr>
      <w:r>
        <w:rPr>
          <w:rFonts w:ascii="仿宋_GB2312" w:hAnsi="仿宋_GB2312" w:eastAsia="仿宋_GB2312"/>
          <w:b w:val="0"/>
          <w:sz w:val="32"/>
        </w:rPr>
        <w:t>5.住房保障支出(类)20.21万元,占3.23%。</w:t>
      </w:r>
    </w:p>
    <w:p w14:paraId="27F59DE8">
      <w:pPr>
        <w:spacing w:line="640" w:lineRule="exact"/>
        <w:ind w:firstLine="640"/>
        <w:jc w:val="both"/>
        <w:outlineLvl w:val="3"/>
      </w:pPr>
      <w:r>
        <w:rPr>
          <w:rFonts w:ascii="楷体_GB2312" w:hAnsi="楷体_GB2312" w:eastAsia="楷体_GB2312"/>
          <w:b/>
          <w:sz w:val="32"/>
        </w:rPr>
        <w:t>（三）一般公共预算财政拨款支出决算具体情况</w:t>
      </w:r>
    </w:p>
    <w:p w14:paraId="2A2ACD75">
      <w:pPr>
        <w:spacing w:line="580" w:lineRule="exact"/>
        <w:ind w:firstLine="640"/>
        <w:jc w:val="both"/>
      </w:pPr>
      <w:r>
        <w:rPr>
          <w:rFonts w:ascii="仿宋_GB2312" w:hAnsi="仿宋_GB2312" w:eastAsia="仿宋_GB2312"/>
          <w:b w:val="0"/>
          <w:sz w:val="32"/>
        </w:rPr>
        <w:t>1.教育支出(类)进修及培训(款)培训支出(项):支出决算数为2.15万元，比上年决算增加1.15万元，增长115.00%,主要原因是：本年功能科目调整，培训经费上年在行政运行科目、一般行政管理事务科目列支，本年在培训支出科目列支，导致经费增加。</w:t>
      </w:r>
    </w:p>
    <w:p w14:paraId="087B13FC">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32.37万元，比上年决算增加16.18万元，增长99.94%,主要原因是：本年退休人员增加，增加退休人员基础绩效奖，退休费支出增加。</w:t>
      </w:r>
    </w:p>
    <w:p w14:paraId="471CCB21">
      <w:pPr>
        <w:spacing w:line="580" w:lineRule="exact"/>
        <w:ind w:firstLine="640"/>
        <w:jc w:val="both"/>
      </w:pPr>
      <w:r>
        <w:rPr>
          <w:rFonts w:ascii="仿宋_GB2312" w:hAnsi="仿宋_GB2312" w:eastAsia="仿宋_GB2312"/>
          <w:b w:val="0"/>
          <w:sz w:val="32"/>
        </w:rPr>
        <w:t>3.社会保障和就业支出(类)行政事业单位养老支出(款)事业单位离退休(项):支出决算数为3.72万元，比上年决算减少7.58万元，下降67.08%,主要原因是：本年未发放事业退休人员发放绩效奖励金，导致退休费较上年减少。</w:t>
      </w:r>
    </w:p>
    <w:p w14:paraId="6D4AA49C">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24.98万元，比上年决算减少34.17万元，下降57.77%,主要原因是：本年机构改革，事业在职人员调整到库尉轮监测站，机关事业单位基本养老保险缴费较上年减少。</w:t>
      </w:r>
    </w:p>
    <w:p w14:paraId="2EE1BECD">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27.62万元，比上年决算增加11.30万元，增长69.24%,主要原因是：本年度新增退休人员较上年增加，职业年金缴费支出增加。</w:t>
      </w:r>
    </w:p>
    <w:p w14:paraId="2D2D7D9F">
      <w:pPr>
        <w:spacing w:line="580" w:lineRule="exact"/>
        <w:ind w:firstLine="640"/>
        <w:jc w:val="both"/>
      </w:pPr>
      <w:r>
        <w:rPr>
          <w:rFonts w:ascii="仿宋_GB2312" w:hAnsi="仿宋_GB2312" w:eastAsia="仿宋_GB2312"/>
          <w:b w:val="0"/>
          <w:sz w:val="32"/>
        </w:rPr>
        <w:t>6.社会保障和就业支出(类)抚恤(款)伤残抚恤(项):支出决算数为0.00万元，比上年决算减少3.38万元，下降100.00%,主要原因是：本年无死亡人员，减少死亡抚恤经费。</w:t>
      </w:r>
    </w:p>
    <w:p w14:paraId="62443806">
      <w:pPr>
        <w:spacing w:line="580" w:lineRule="exact"/>
        <w:ind w:firstLine="640"/>
        <w:jc w:val="both"/>
      </w:pPr>
      <w:r>
        <w:rPr>
          <w:rFonts w:ascii="仿宋_GB2312" w:hAnsi="仿宋_GB2312" w:eastAsia="仿宋_GB2312"/>
          <w:b w:val="0"/>
          <w:sz w:val="32"/>
        </w:rPr>
        <w:t>7.卫生健康支出(类)行政事业单位医疗(款)行政单位医疗(项):支出决算数为10.97万元，比上年决算减少2.87万元，下降20.74%,主要原因是：本年行政在职人员转退休，行政单位医疗支出较上年减少。</w:t>
      </w:r>
    </w:p>
    <w:p w14:paraId="7DBA2EDE">
      <w:pPr>
        <w:spacing w:line="580" w:lineRule="exact"/>
        <w:ind w:firstLine="640"/>
        <w:jc w:val="both"/>
      </w:pPr>
      <w:r>
        <w:rPr>
          <w:rFonts w:ascii="仿宋_GB2312" w:hAnsi="仿宋_GB2312" w:eastAsia="仿宋_GB2312"/>
          <w:b w:val="0"/>
          <w:sz w:val="32"/>
        </w:rPr>
        <w:t>8.卫生健康支出(类)行政事业单位医疗(款)事业单位医疗(项):支出决算数为0.00万元，比上年决算减少11.97万元，下降100.00%,主要原因是：本年机构改革，事业在职人员调整到库尉轮监测站，事业单位医疗支出较上年减少。</w:t>
      </w:r>
    </w:p>
    <w:p w14:paraId="22ABDE42">
      <w:pPr>
        <w:spacing w:line="580" w:lineRule="exact"/>
        <w:ind w:firstLine="640"/>
        <w:jc w:val="both"/>
      </w:pPr>
      <w:r>
        <w:rPr>
          <w:rFonts w:ascii="仿宋_GB2312" w:hAnsi="仿宋_GB2312" w:eastAsia="仿宋_GB2312"/>
          <w:b w:val="0"/>
          <w:sz w:val="32"/>
        </w:rPr>
        <w:t>9.卫生健康支出(类)行政事业单位医疗(款)公务员医疗补助(项):支出决算数为4.68万元，比上年决算减少0.63万元，下降11.86%,主要原因是：本年行政人员退休，公务员医疗补助较上年减少。</w:t>
      </w:r>
    </w:p>
    <w:p w14:paraId="2AF0CE59">
      <w:pPr>
        <w:spacing w:line="580" w:lineRule="exact"/>
        <w:ind w:firstLine="640"/>
        <w:jc w:val="both"/>
      </w:pPr>
      <w:r>
        <w:rPr>
          <w:rFonts w:ascii="仿宋_GB2312" w:hAnsi="仿宋_GB2312" w:eastAsia="仿宋_GB2312"/>
          <w:b w:val="0"/>
          <w:sz w:val="32"/>
        </w:rPr>
        <w:t>10.卫生健康支出(类)行政事业单位医疗(款)其他行政事业单位医疗支出(项):支出决算数为0.38万元，比上年决算减少1.24万元，下降76.54%,主要原因是：本年机构改革，事业在职人员调整到库尉轮监测站，其他行政事业单位医疗支出较上年减少。</w:t>
      </w:r>
    </w:p>
    <w:p w14:paraId="60C7009D">
      <w:pPr>
        <w:spacing w:line="580" w:lineRule="exact"/>
        <w:ind w:firstLine="640"/>
        <w:jc w:val="both"/>
      </w:pPr>
      <w:r>
        <w:rPr>
          <w:rFonts w:ascii="仿宋_GB2312" w:hAnsi="仿宋_GB2312" w:eastAsia="仿宋_GB2312"/>
          <w:b w:val="0"/>
          <w:sz w:val="32"/>
        </w:rPr>
        <w:t>11.节能环保支出(类)环境保护管理事务(款)行政运行(项):支出决算数为295.18万元，比上年决算减少269.83万元，下降47.76%,主要原因是：本年机构改革，事业在职人员调整到库尉轮监测站，相关人员经费、公用经费较上年减少</w:t>
      </w:r>
      <w:r>
        <w:rPr>
          <w:rFonts w:hint="eastAsia" w:ascii="仿宋_GB2312" w:hAnsi="仿宋_GB2312" w:eastAsia="仿宋_GB2312"/>
          <w:b w:val="0"/>
          <w:sz w:val="32"/>
          <w:lang w:val="en-US" w:eastAsia="zh-CN"/>
        </w:rPr>
        <w:t>;</w:t>
      </w:r>
      <w:r>
        <w:rPr>
          <w:rFonts w:ascii="仿宋_GB2312" w:hAnsi="仿宋_GB2312" w:eastAsia="仿宋_GB2312"/>
          <w:b w:val="0"/>
          <w:sz w:val="32"/>
        </w:rPr>
        <w:t>本年功能科目调整，培训经费上年在行政运行科目列支，本年在培训支出科目列支，导致经费</w:t>
      </w:r>
      <w:r>
        <w:rPr>
          <w:rFonts w:hint="eastAsia" w:ascii="仿宋_GB2312" w:hAnsi="仿宋_GB2312" w:eastAsia="仿宋_GB2312"/>
          <w:b w:val="0"/>
          <w:sz w:val="32"/>
          <w:lang w:val="en-US" w:eastAsia="zh-CN"/>
        </w:rPr>
        <w:t>减少</w:t>
      </w:r>
      <w:r>
        <w:rPr>
          <w:rFonts w:ascii="仿宋_GB2312" w:hAnsi="仿宋_GB2312" w:eastAsia="仿宋_GB2312"/>
          <w:b w:val="0"/>
          <w:sz w:val="32"/>
        </w:rPr>
        <w:t>。</w:t>
      </w:r>
    </w:p>
    <w:p w14:paraId="30E1B32E">
      <w:pPr>
        <w:spacing w:line="580" w:lineRule="exact"/>
        <w:ind w:firstLine="640"/>
        <w:jc w:val="both"/>
      </w:pPr>
      <w:r>
        <w:rPr>
          <w:rFonts w:ascii="仿宋_GB2312" w:hAnsi="仿宋_GB2312" w:eastAsia="仿宋_GB2312"/>
          <w:b w:val="0"/>
          <w:sz w:val="32"/>
        </w:rPr>
        <w:t>12.节能环保支出(类)环境保护管理事务(款)一般行政管理事务(项):支出决算数为167.99万元，比上年决算减少58.94万元，下降25.97%,主要原因是：本年减少“三线一单”生态环境分区管控成果动态更新工作经费</w:t>
      </w:r>
      <w:r>
        <w:rPr>
          <w:rFonts w:hint="eastAsia" w:ascii="仿宋_GB2312" w:hAnsi="仿宋_GB2312" w:eastAsia="仿宋_GB2312"/>
          <w:b w:val="0"/>
          <w:sz w:val="32"/>
          <w:lang w:eastAsia="zh-CN"/>
        </w:rPr>
        <w:t>；</w:t>
      </w:r>
      <w:r>
        <w:rPr>
          <w:rFonts w:ascii="仿宋_GB2312" w:hAnsi="仿宋_GB2312" w:eastAsia="仿宋_GB2312"/>
          <w:b w:val="0"/>
          <w:sz w:val="32"/>
        </w:rPr>
        <w:t>本年功能科目调整，培训经费上年在</w:t>
      </w:r>
      <w:bookmarkStart w:id="0" w:name="_GoBack"/>
      <w:bookmarkEnd w:id="0"/>
      <w:r>
        <w:rPr>
          <w:rFonts w:ascii="仿宋_GB2312" w:hAnsi="仿宋_GB2312" w:eastAsia="仿宋_GB2312"/>
          <w:b w:val="0"/>
          <w:sz w:val="32"/>
        </w:rPr>
        <w:t>一般行政管理事务科目列支，本年在培训支出科目列支，导致经费</w:t>
      </w:r>
      <w:r>
        <w:rPr>
          <w:rFonts w:hint="eastAsia" w:ascii="仿宋_GB2312" w:hAnsi="仿宋_GB2312" w:eastAsia="仿宋_GB2312"/>
          <w:b w:val="0"/>
          <w:sz w:val="32"/>
          <w:lang w:val="en-US" w:eastAsia="zh-CN"/>
        </w:rPr>
        <w:t>减少</w:t>
      </w:r>
      <w:r>
        <w:rPr>
          <w:rFonts w:ascii="仿宋_GB2312" w:hAnsi="仿宋_GB2312" w:eastAsia="仿宋_GB2312"/>
          <w:b w:val="0"/>
          <w:sz w:val="32"/>
        </w:rPr>
        <w:t>。</w:t>
      </w:r>
    </w:p>
    <w:p w14:paraId="42D15E4F">
      <w:pPr>
        <w:spacing w:line="580" w:lineRule="exact"/>
        <w:ind w:firstLine="640"/>
        <w:jc w:val="both"/>
      </w:pPr>
      <w:r>
        <w:rPr>
          <w:rFonts w:ascii="仿宋_GB2312" w:hAnsi="仿宋_GB2312" w:eastAsia="仿宋_GB2312"/>
          <w:b w:val="0"/>
          <w:sz w:val="32"/>
        </w:rPr>
        <w:t>13.节能环保支出(类)环境保护管理事务(款)其他环境保护管理事务支出(项):支出决算数为35.99万元，比上年决算增加35.99万元，增长100.00%,主要原因是：本年增加为民办实事经费项目支出。</w:t>
      </w:r>
    </w:p>
    <w:p w14:paraId="0582FF6D">
      <w:pPr>
        <w:spacing w:line="580" w:lineRule="exact"/>
        <w:ind w:firstLine="640"/>
        <w:jc w:val="both"/>
      </w:pPr>
      <w:r>
        <w:rPr>
          <w:rFonts w:ascii="仿宋_GB2312" w:hAnsi="仿宋_GB2312" w:eastAsia="仿宋_GB2312"/>
          <w:b w:val="0"/>
          <w:sz w:val="32"/>
        </w:rPr>
        <w:t>14.住房保障支出(类)住房改革支出(款)住房公积金(项):支出决算数为20.21万元，比上年决算减少23.06万元，下降53.29%,主要原因是：本年机构改革，事业在职人员调整到库尉轮监测站，住房公积金支出较上年减少。</w:t>
      </w:r>
    </w:p>
    <w:p w14:paraId="1BF4237C">
      <w:pPr>
        <w:spacing w:line="640" w:lineRule="exact"/>
        <w:ind w:firstLine="640"/>
        <w:jc w:val="both"/>
        <w:outlineLvl w:val="2"/>
      </w:pPr>
      <w:r>
        <w:rPr>
          <w:rFonts w:ascii="黑体" w:hAnsi="黑体" w:eastAsia="黑体"/>
          <w:sz w:val="32"/>
        </w:rPr>
        <w:t>六、一般公共预算财政拨款基本支出决算情况说明</w:t>
      </w:r>
    </w:p>
    <w:p w14:paraId="50E0CC0D">
      <w:pPr>
        <w:spacing w:line="580" w:lineRule="exact"/>
        <w:ind w:firstLine="640"/>
        <w:jc w:val="both"/>
      </w:pPr>
      <w:r>
        <w:rPr>
          <w:rFonts w:ascii="仿宋_GB2312" w:hAnsi="仿宋_GB2312" w:eastAsia="仿宋_GB2312"/>
          <w:b w:val="0"/>
          <w:sz w:val="32"/>
        </w:rPr>
        <w:t>2024年度一般公共预算财政拨款基本支出422.24万元，其中：</w:t>
      </w:r>
      <w:r>
        <w:rPr>
          <w:rFonts w:ascii="仿宋_GB2312" w:hAnsi="仿宋_GB2312" w:eastAsia="仿宋_GB2312"/>
          <w:b/>
          <w:sz w:val="32"/>
        </w:rPr>
        <w:t>人员经费383.29万元，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退休费、抚恤金、生活补助、奖励金。</w:t>
      </w:r>
    </w:p>
    <w:p w14:paraId="40440752">
      <w:pPr>
        <w:spacing w:line="580" w:lineRule="exact"/>
        <w:ind w:firstLine="640"/>
        <w:jc w:val="both"/>
      </w:pPr>
      <w:r>
        <w:rPr>
          <w:rFonts w:ascii="仿宋_GB2312" w:hAnsi="仿宋_GB2312" w:eastAsia="仿宋_GB2312"/>
          <w:b/>
          <w:sz w:val="32"/>
        </w:rPr>
        <w:t>公用经费38.95万元，</w:t>
      </w:r>
      <w:r>
        <w:rPr>
          <w:rFonts w:ascii="仿宋_GB2312" w:hAnsi="仿宋_GB2312" w:eastAsia="仿宋_GB2312"/>
          <w:b w:val="0"/>
          <w:sz w:val="32"/>
        </w:rPr>
        <w:t>包括：办公费、印刷费、水费、电费、取暖费、物业管理费、维修（护）费、租赁费、培训费、公务接待费、劳务费、委托业务费、工会经费、福利费、公务用车运行维护费、其他交通费用、其他商品和服务支出。</w:t>
      </w:r>
    </w:p>
    <w:p w14:paraId="59BE2D75">
      <w:pPr>
        <w:spacing w:line="640" w:lineRule="exact"/>
        <w:ind w:firstLine="640"/>
        <w:jc w:val="both"/>
        <w:outlineLvl w:val="2"/>
      </w:pPr>
      <w:r>
        <w:rPr>
          <w:rFonts w:ascii="黑体" w:hAnsi="黑体" w:eastAsia="黑体"/>
          <w:sz w:val="32"/>
        </w:rPr>
        <w:t>七、政府性基金预算财政拨款收入支出决算情况说明</w:t>
      </w:r>
    </w:p>
    <w:p w14:paraId="7A2D7F7D">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B9C8153">
      <w:pPr>
        <w:spacing w:line="640" w:lineRule="exact"/>
        <w:ind w:firstLine="640"/>
        <w:jc w:val="both"/>
        <w:outlineLvl w:val="2"/>
      </w:pPr>
      <w:r>
        <w:rPr>
          <w:rFonts w:ascii="黑体" w:hAnsi="黑体" w:eastAsia="黑体"/>
          <w:sz w:val="32"/>
        </w:rPr>
        <w:t>八、国有资本经营预算财政拨款收入支出决算情况说明</w:t>
      </w:r>
    </w:p>
    <w:p w14:paraId="09E84B1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7630E86">
      <w:pPr>
        <w:spacing w:line="640" w:lineRule="exact"/>
        <w:ind w:firstLine="640"/>
        <w:jc w:val="both"/>
        <w:outlineLvl w:val="2"/>
      </w:pPr>
      <w:r>
        <w:rPr>
          <w:rFonts w:ascii="黑体" w:hAnsi="黑体" w:eastAsia="黑体"/>
          <w:sz w:val="32"/>
        </w:rPr>
        <w:t>九、财政拨款“三公”经费支出决算情况说明</w:t>
      </w:r>
    </w:p>
    <w:p w14:paraId="73E73619">
      <w:pPr>
        <w:spacing w:line="580" w:lineRule="exact"/>
        <w:ind w:firstLine="640"/>
        <w:jc w:val="both"/>
      </w:pPr>
      <w:r>
        <w:rPr>
          <w:rFonts w:ascii="仿宋_GB2312" w:hAnsi="仿宋_GB2312" w:eastAsia="仿宋_GB2312"/>
          <w:b/>
          <w:sz w:val="32"/>
        </w:rPr>
        <w:t>2024年度财政拨款“三公”经费支出12.55万元，</w:t>
      </w:r>
      <w:r>
        <w:rPr>
          <w:rFonts w:ascii="仿宋_GB2312" w:hAnsi="仿宋_GB2312" w:eastAsia="仿宋_GB2312"/>
          <w:b w:val="0"/>
          <w:sz w:val="32"/>
        </w:rPr>
        <w:t>比上年增加5.00万元，增长66.23%，主要原因是：因环保督察整改任务加重，导致用车频率增加，公务用车运行维护费增加。其中：因公出国（境）费支出0.00万元，占0.00%，比上年增加0.00万元，增长0.00%，主要原因是：2023年与2024年均未安排因公出国（境）费支出。公务用车购置及运行维护费支出12.15万元，占96.81%，比上年增加5.00万元，增长69.93%，主要原因是：因环保督察整改任务加重，导致用车频率增加，公务用车运行维护费增加。公务接待费支出0.40万元，占3.19%，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公务接待费与上年一致无变化。</w:t>
      </w:r>
    </w:p>
    <w:p w14:paraId="6B0DC17F">
      <w:pPr>
        <w:spacing w:line="580" w:lineRule="exact"/>
        <w:ind w:firstLine="640"/>
        <w:jc w:val="both"/>
      </w:pPr>
      <w:r>
        <w:rPr>
          <w:rFonts w:ascii="仿宋_GB2312" w:hAnsi="仿宋_GB2312" w:eastAsia="仿宋_GB2312"/>
          <w:b/>
          <w:sz w:val="32"/>
        </w:rPr>
        <w:t>具体情况如下：</w:t>
      </w:r>
    </w:p>
    <w:p w14:paraId="0F47B4F1">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F2A2AC3">
      <w:pPr>
        <w:spacing w:line="580" w:lineRule="exact"/>
        <w:ind w:firstLine="640"/>
        <w:jc w:val="both"/>
      </w:pPr>
      <w:r>
        <w:rPr>
          <w:rFonts w:ascii="仿宋_GB2312" w:hAnsi="仿宋_GB2312" w:eastAsia="仿宋_GB2312"/>
          <w:b w:val="0"/>
          <w:sz w:val="32"/>
        </w:rPr>
        <w:t>公务用车购置及运行维护费12.15万元，其中：公务用车购置费0.00万元，公务用车运行维护费12.15万元。公务用车运行维护费开支内容包括车辆加油费、保险费、过路费、维修费。公务用车购置数0辆，公务用车保有量2辆。国有资产占用情况中固定资产车辆0辆，与公务用车保有量差异原因是：借用其他单位车辆，车辆费用由本单位支付。</w:t>
      </w:r>
    </w:p>
    <w:p w14:paraId="03A70710">
      <w:pPr>
        <w:spacing w:line="580" w:lineRule="exact"/>
        <w:ind w:firstLine="640"/>
        <w:jc w:val="both"/>
      </w:pPr>
      <w:r>
        <w:rPr>
          <w:rFonts w:ascii="仿宋_GB2312" w:hAnsi="仿宋_GB2312" w:eastAsia="仿宋_GB2312"/>
          <w:b w:val="0"/>
          <w:sz w:val="32"/>
        </w:rPr>
        <w:t>公务接待费0.40万元，开支内容包括因工作检查、调研，接待上级领导产生的就餐费。单位全年安排的国内公务接待1批次，40人次。</w:t>
      </w:r>
    </w:p>
    <w:p w14:paraId="2A4FCB8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12.55万元，决算数12.55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12.15万元，决算数12.15万元，预决算差异率0.00%，主要原因是：严格按照预算执行，预决算无差异。公务接待费全年预算数0.40万元，决算数0.40万元，预决算差异率0.00%，主要原因是：严格按照预算执行，预决算无差异。</w:t>
      </w:r>
    </w:p>
    <w:p w14:paraId="4B53C164">
      <w:pPr>
        <w:spacing w:line="640" w:lineRule="exact"/>
        <w:ind w:firstLine="640"/>
        <w:jc w:val="both"/>
        <w:outlineLvl w:val="2"/>
      </w:pPr>
      <w:r>
        <w:rPr>
          <w:rFonts w:ascii="黑体" w:hAnsi="黑体" w:eastAsia="黑体"/>
          <w:sz w:val="32"/>
        </w:rPr>
        <w:t>十、其他重要事项的情况说明</w:t>
      </w:r>
    </w:p>
    <w:p w14:paraId="1F402674">
      <w:pPr>
        <w:spacing w:line="640" w:lineRule="exact"/>
        <w:ind w:firstLine="640"/>
        <w:jc w:val="both"/>
        <w:outlineLvl w:val="3"/>
      </w:pPr>
      <w:r>
        <w:rPr>
          <w:rFonts w:ascii="楷体_GB2312" w:hAnsi="楷体_GB2312" w:eastAsia="楷体_GB2312"/>
          <w:b/>
          <w:sz w:val="32"/>
        </w:rPr>
        <w:t>（一）机关运行经费及公用经费支出情况</w:t>
      </w:r>
    </w:p>
    <w:p w14:paraId="360C4E77">
      <w:pPr>
        <w:spacing w:line="580" w:lineRule="exact"/>
        <w:ind w:firstLine="640"/>
        <w:jc w:val="both"/>
      </w:pPr>
      <w:r>
        <w:rPr>
          <w:rFonts w:ascii="仿宋_GB2312" w:hAnsi="仿宋_GB2312" w:eastAsia="仿宋_GB2312"/>
          <w:b w:val="0"/>
          <w:sz w:val="32"/>
        </w:rPr>
        <w:t>2024年度巴音郭楞蒙古自治州生态环境局（行政单位和参照公务员法管理事业单位）机关运行经费支出38.95万元，比上年减少16.57万元，下降29.85%，主要原因是：本年机构改革，事业在职人员调整到库尉轮监测站，相应办公费减少，导致机关运行经费减少。</w:t>
      </w:r>
    </w:p>
    <w:p w14:paraId="08993FE0">
      <w:pPr>
        <w:spacing w:line="640" w:lineRule="exact"/>
        <w:ind w:firstLine="640"/>
        <w:jc w:val="both"/>
        <w:outlineLvl w:val="3"/>
      </w:pPr>
      <w:r>
        <w:rPr>
          <w:rFonts w:ascii="楷体_GB2312" w:hAnsi="楷体_GB2312" w:eastAsia="楷体_GB2312"/>
          <w:b/>
          <w:sz w:val="32"/>
        </w:rPr>
        <w:t>（二）政府采购情况</w:t>
      </w:r>
    </w:p>
    <w:p w14:paraId="197E182B">
      <w:pPr>
        <w:spacing w:line="580" w:lineRule="exact"/>
        <w:ind w:firstLine="640"/>
        <w:jc w:val="both"/>
      </w:pPr>
      <w:r>
        <w:rPr>
          <w:rFonts w:ascii="仿宋_GB2312" w:hAnsi="仿宋_GB2312" w:eastAsia="仿宋_GB2312"/>
          <w:b w:val="0"/>
          <w:sz w:val="32"/>
        </w:rPr>
        <w:t>2024年度政府采购支出总额28.24万元，其中：政府采购货物支出6.31万元、政府采购工程支出19.66万元、政府采购服务支出2.27万元。</w:t>
      </w:r>
    </w:p>
    <w:p w14:paraId="7DE3AB81">
      <w:pPr>
        <w:spacing w:line="580" w:lineRule="exact"/>
        <w:ind w:firstLine="640"/>
        <w:jc w:val="both"/>
      </w:pPr>
      <w:r>
        <w:rPr>
          <w:rFonts w:ascii="仿宋_GB2312" w:hAnsi="仿宋_GB2312" w:eastAsia="仿宋_GB2312"/>
          <w:b w:val="0"/>
          <w:sz w:val="32"/>
        </w:rPr>
        <w:t>授予中小企业合同金额27.32万元，占政府采购支出总额的96.74%，其中：授予小微企业合同金额26.13万元，占政府采购支出总额的92.53%。</w:t>
      </w:r>
    </w:p>
    <w:p w14:paraId="4340B66C">
      <w:pPr>
        <w:spacing w:line="640" w:lineRule="exact"/>
        <w:ind w:firstLine="640"/>
        <w:jc w:val="both"/>
        <w:outlineLvl w:val="3"/>
      </w:pPr>
      <w:r>
        <w:rPr>
          <w:rFonts w:ascii="楷体_GB2312" w:hAnsi="楷体_GB2312" w:eastAsia="楷体_GB2312"/>
          <w:b/>
          <w:sz w:val="32"/>
        </w:rPr>
        <w:t>（三）国有资产占用情况说明</w:t>
      </w:r>
    </w:p>
    <w:p w14:paraId="1753B0ED">
      <w:pPr>
        <w:spacing w:line="580" w:lineRule="exact"/>
        <w:ind w:firstLine="640"/>
        <w:jc w:val="both"/>
      </w:pPr>
      <w:r>
        <w:rPr>
          <w:rFonts w:ascii="仿宋_GB2312" w:hAnsi="仿宋_GB2312" w:eastAsia="仿宋_GB2312"/>
          <w:b w:val="0"/>
          <w:sz w:val="32"/>
        </w:rPr>
        <w:t>截至2024年12月31日，房屋6,940.41平方米，价值1,609.04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1台（套）。</w:t>
      </w:r>
    </w:p>
    <w:p w14:paraId="0F86ECAE">
      <w:pPr>
        <w:spacing w:line="640" w:lineRule="exact"/>
        <w:ind w:firstLine="640"/>
        <w:jc w:val="both"/>
        <w:outlineLvl w:val="2"/>
      </w:pPr>
      <w:r>
        <w:rPr>
          <w:rFonts w:ascii="黑体" w:hAnsi="黑体" w:eastAsia="黑体"/>
          <w:sz w:val="32"/>
        </w:rPr>
        <w:t>十一、预算绩效的情况说明</w:t>
      </w:r>
    </w:p>
    <w:p w14:paraId="4D9569EA">
      <w:pPr>
        <w:spacing w:line="580" w:lineRule="exact"/>
        <w:ind w:firstLine="640"/>
        <w:jc w:val="both"/>
      </w:pPr>
      <w:r>
        <w:rPr>
          <w:rFonts w:ascii="仿宋_GB2312" w:hAnsi="仿宋_GB2312" w:eastAsia="仿宋_GB2312"/>
          <w:b w:val="0"/>
          <w:sz w:val="32"/>
        </w:rPr>
        <w:t>根据预算绩效管理要求，本单位预算绩效评价项目3个，全年预算数204.00万元，全年执行数203.97万元。预算绩效管理取得的成效：一是绩效目标设立科学合理、目标明确、充分考虑到</w:t>
      </w:r>
      <w:r>
        <w:rPr>
          <w:rFonts w:hint="eastAsia" w:ascii="仿宋_GB2312" w:hAnsi="仿宋_GB2312" w:eastAsia="仿宋_GB2312"/>
          <w:b w:val="0"/>
          <w:sz w:val="32"/>
          <w:lang w:eastAsia="zh-CN"/>
        </w:rPr>
        <w:t>本单位</w:t>
      </w:r>
      <w:r>
        <w:rPr>
          <w:rFonts w:ascii="仿宋_GB2312" w:hAnsi="仿宋_GB2312" w:eastAsia="仿宋_GB2312"/>
          <w:b w:val="0"/>
          <w:sz w:val="32"/>
        </w:rPr>
        <w:t>日常工作要求及任务细化程度，为实现绩效目标制定制度、采取措施，确保各项资产的安全有效使用、资金的安全运行，提高资金的使用效率，保障部门财务会计管理的合法合规，财务报告及相关信息真实完整，单位安排开展了相关培训宣传工作；二是全年按照部门预算进行成本控制，全部控制在厉行节约指标数内。其他支出按财政部门下达的计划实施，全年没有项目超支。发现的问题及原因：一是项目资金执行率存在加强与上升空间，需要有关部门提升工作效率，在重点工作的完成上需要进一步提高；二是项目资金执行力度需进一步加强。下一步改进措施：全面编制预算项目，优先保障固定的、相对刚性的费用支出项目，尽量压缩变动的、有控制空间的费用项目，进一步提高预算编制的科学性、严谨性和可控性；二是加强财务管理，严格财务审批。在费用保障支付时，按照预算规定的费用项目和用途进行资金使用、审核、列报支付，财务核算杜绝超预算支付的发生。三是加强项目实时监控，严格按照相关要求对相关项目的资金进行使用，确保资金专款专用及时有效。具体附项目支出绩效自评表。</w:t>
      </w:r>
    </w:p>
    <w:p w14:paraId="2D5C420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96"/>
        <w:gridCol w:w="632"/>
        <w:gridCol w:w="632"/>
      </w:tblGrid>
      <w:tr w14:paraId="08A999B0">
        <w:tblPrEx>
          <w:tblCellMar>
            <w:top w:w="0" w:type="dxa"/>
            <w:left w:w="108" w:type="dxa"/>
            <w:bottom w:w="0" w:type="dxa"/>
            <w:right w:w="108" w:type="dxa"/>
          </w:tblCellMar>
        </w:tblPrEx>
        <w:tc>
          <w:tcPr>
            <w:tcW w:w="8848" w:type="dxa"/>
            <w:gridSpan w:val="14"/>
            <w:vAlign w:val="center"/>
          </w:tcPr>
          <w:p w14:paraId="57168DCB">
            <w:pPr>
              <w:jc w:val="center"/>
            </w:pPr>
            <w:r>
              <w:rPr>
                <w:rFonts w:ascii="宋体" w:hAnsi="宋体" w:eastAsia="宋体"/>
                <w:sz w:val="24"/>
              </w:rPr>
              <w:t>项目支出绩效自评表</w:t>
            </w:r>
          </w:p>
        </w:tc>
      </w:tr>
      <w:tr w14:paraId="2CC6EE90">
        <w:tblPrEx>
          <w:tblCellMar>
            <w:top w:w="0" w:type="dxa"/>
            <w:left w:w="108" w:type="dxa"/>
            <w:bottom w:w="0" w:type="dxa"/>
            <w:right w:w="108" w:type="dxa"/>
          </w:tblCellMar>
        </w:tblPrEx>
        <w:tc>
          <w:tcPr>
            <w:tcW w:w="8848" w:type="dxa"/>
            <w:gridSpan w:val="14"/>
            <w:vAlign w:val="center"/>
          </w:tcPr>
          <w:p w14:paraId="2D825B06">
            <w:pPr>
              <w:jc w:val="center"/>
            </w:pPr>
            <w:r>
              <w:rPr>
                <w:rFonts w:ascii="宋体" w:hAnsi="宋体" w:eastAsia="宋体"/>
                <w:sz w:val="24"/>
              </w:rPr>
              <w:t>(2024年度)</w:t>
            </w:r>
          </w:p>
        </w:tc>
      </w:tr>
      <w:tr w14:paraId="435116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A833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E537B2A">
            <w:pPr>
              <w:jc w:val="center"/>
            </w:pPr>
            <w:r>
              <w:rPr>
                <w:rFonts w:ascii="宋体" w:hAnsi="宋体" w:eastAsia="宋体"/>
                <w:sz w:val="16"/>
              </w:rPr>
              <w:t>为民办实事经费</w:t>
            </w:r>
          </w:p>
        </w:tc>
      </w:tr>
      <w:tr w14:paraId="172751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9444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D67125">
            <w:pPr>
              <w:jc w:val="center"/>
            </w:pPr>
            <w:r>
              <w:rPr>
                <w:rFonts w:ascii="宋体" w:hAnsi="宋体" w:eastAsia="宋体"/>
                <w:sz w:val="16"/>
              </w:rPr>
              <w:t>巴音郭楞蒙古自治州生态环境局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A3DE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8F0973">
            <w:pPr>
              <w:jc w:val="center"/>
            </w:pPr>
            <w:r>
              <w:rPr>
                <w:rFonts w:ascii="宋体" w:hAnsi="宋体" w:eastAsia="宋体"/>
                <w:sz w:val="16"/>
              </w:rPr>
              <w:t>巴音郭楞蒙古自治州生态环境局</w:t>
            </w:r>
          </w:p>
        </w:tc>
      </w:tr>
      <w:tr w14:paraId="204EA9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E6F2D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ED8D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6F97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4990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63FA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537F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2D03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93A56">
            <w:pPr>
              <w:jc w:val="center"/>
            </w:pPr>
            <w:r>
              <w:rPr>
                <w:rFonts w:ascii="宋体" w:hAnsi="宋体" w:eastAsia="宋体"/>
                <w:sz w:val="16"/>
              </w:rPr>
              <w:t>得分</w:t>
            </w:r>
          </w:p>
        </w:tc>
      </w:tr>
      <w:tr w14:paraId="2E4A591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D6569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9130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4FEC9">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ECB8F">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D9594">
            <w:pPr>
              <w:jc w:val="center"/>
            </w:pPr>
            <w:r>
              <w:rPr>
                <w:rFonts w:ascii="宋体" w:hAnsi="宋体" w:eastAsia="宋体"/>
                <w:sz w:val="16"/>
              </w:rPr>
              <w:t>35.99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7BC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78D79">
            <w:pPr>
              <w:jc w:val="center"/>
            </w:pPr>
            <w:r>
              <w:rPr>
                <w:rFonts w:ascii="宋体" w:hAnsi="宋体" w:eastAsia="宋体"/>
                <w:sz w:val="16"/>
              </w:rPr>
              <w:t>99.97%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F25CB">
            <w:pPr>
              <w:jc w:val="center"/>
            </w:pPr>
            <w:r>
              <w:rPr>
                <w:rFonts w:ascii="宋体" w:hAnsi="宋体" w:eastAsia="宋体"/>
                <w:sz w:val="16"/>
              </w:rPr>
              <w:t>10.00</w:t>
            </w:r>
          </w:p>
        </w:tc>
      </w:tr>
      <w:tr w14:paraId="6D7438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10A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947A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53660">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7F499">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BEBBB">
            <w:pPr>
              <w:jc w:val="center"/>
            </w:pPr>
            <w:r>
              <w:rPr>
                <w:rFonts w:ascii="宋体" w:hAnsi="宋体" w:eastAsia="宋体"/>
                <w:sz w:val="16"/>
              </w:rPr>
              <w:t>35.99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8285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E8E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D0BB3">
            <w:pPr>
              <w:jc w:val="center"/>
            </w:pPr>
            <w:r>
              <w:rPr>
                <w:rFonts w:ascii="宋体" w:hAnsi="宋体" w:eastAsia="宋体"/>
                <w:sz w:val="16"/>
              </w:rPr>
              <w:t>-</w:t>
            </w:r>
          </w:p>
        </w:tc>
      </w:tr>
      <w:tr w14:paraId="5925C0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4A00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F840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636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B73A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B4E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536A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2D6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34B27">
            <w:pPr>
              <w:jc w:val="center"/>
            </w:pPr>
            <w:r>
              <w:rPr>
                <w:rFonts w:ascii="宋体" w:hAnsi="宋体" w:eastAsia="宋体"/>
                <w:sz w:val="16"/>
              </w:rPr>
              <w:t>-</w:t>
            </w:r>
          </w:p>
        </w:tc>
      </w:tr>
      <w:tr w14:paraId="6E21FE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D380E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2A008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295C79">
            <w:pPr>
              <w:jc w:val="center"/>
            </w:pPr>
            <w:r>
              <w:rPr>
                <w:rFonts w:ascii="宋体" w:hAnsi="宋体" w:eastAsia="宋体"/>
                <w:sz w:val="16"/>
              </w:rPr>
              <w:t>总体目标完成情况</w:t>
            </w:r>
          </w:p>
        </w:tc>
      </w:tr>
      <w:tr w14:paraId="7B2135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F996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98C0FD">
            <w:pPr>
              <w:jc w:val="both"/>
            </w:pPr>
            <w:r>
              <w:rPr>
                <w:rFonts w:ascii="宋体" w:hAnsi="宋体" w:eastAsia="宋体"/>
                <w:sz w:val="16"/>
              </w:rPr>
              <w:t>充分发挥</w:t>
            </w:r>
            <w:r>
              <w:rPr>
                <w:rFonts w:hint="eastAsia" w:ascii="宋体" w:hAnsi="宋体"/>
                <w:sz w:val="16"/>
                <w:lang w:eastAsia="zh-CN"/>
              </w:rPr>
              <w:t>为民办实事</w:t>
            </w:r>
            <w:r>
              <w:rPr>
                <w:rFonts w:ascii="宋体" w:hAnsi="宋体" w:eastAsia="宋体"/>
                <w:sz w:val="16"/>
              </w:rPr>
              <w:t>各支力量作用聚焦落实总目标，解决群众最关心、最直接、最现实的利益问题，积极开展访贫问苦、帮扶群众不少于10次；有效推进脱贫攻坚、做好群众工作、加强基层组织等各项工作任务。把更多的资金投入到改善民生上，发展劳动生产力，提高居民收入和生活水平、生活质量，确保工作队有钱办事、把实事办实、把好事办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2C8E72">
            <w:pPr>
              <w:jc w:val="both"/>
            </w:pPr>
            <w:r>
              <w:rPr>
                <w:rFonts w:ascii="宋体" w:hAnsi="宋体" w:eastAsia="宋体"/>
                <w:sz w:val="16"/>
              </w:rPr>
              <w:t>2024年巴州生态环境局承担了库尔勒市英下乡幸福社区、轮台县铁热克巴扎乡巴格托格拉克村、且末县奥依亚依拉克镇色日克阔勒村兼管阿尔帕村工作队共3个村的</w:t>
            </w:r>
            <w:r>
              <w:rPr>
                <w:rFonts w:hint="eastAsia" w:ascii="宋体" w:hAnsi="宋体"/>
                <w:sz w:val="16"/>
                <w:lang w:eastAsia="zh-CN"/>
              </w:rPr>
              <w:t>为民办实事</w:t>
            </w:r>
            <w:r>
              <w:rPr>
                <w:rFonts w:ascii="宋体" w:hAnsi="宋体" w:eastAsia="宋体"/>
                <w:sz w:val="16"/>
              </w:rPr>
              <w:t>任务，共选派9名优秀干部参加</w:t>
            </w:r>
            <w:r>
              <w:rPr>
                <w:rFonts w:hint="eastAsia" w:ascii="宋体" w:hAnsi="宋体"/>
                <w:sz w:val="16"/>
                <w:lang w:eastAsia="zh-CN"/>
              </w:rPr>
              <w:t>为民办实事</w:t>
            </w:r>
            <w:r>
              <w:rPr>
                <w:rFonts w:ascii="宋体" w:hAnsi="宋体" w:eastAsia="宋体"/>
                <w:sz w:val="16"/>
              </w:rPr>
              <w:t>工作，坚定不移开展</w:t>
            </w:r>
            <w:r>
              <w:rPr>
                <w:rFonts w:hint="eastAsia" w:ascii="宋体" w:hAnsi="宋体"/>
                <w:sz w:val="16"/>
                <w:lang w:eastAsia="zh-CN"/>
              </w:rPr>
              <w:t>为民办实事</w:t>
            </w:r>
            <w:r>
              <w:rPr>
                <w:rFonts w:ascii="宋体" w:hAnsi="宋体" w:eastAsia="宋体"/>
                <w:sz w:val="16"/>
              </w:rPr>
              <w:t>服务工作人员，坚持以人民为中心的发展思想，始终把人民群众的安危冷暖放在最高位置，把做好群众工作当作重点任务在掌握实情上用情，积极开展各项助学、慰问、帮扶等活动。充分发挥新时代文明实践站作用，完成打造石榴籽服务站1个；开展暖冬行动，累计协调块煤90余吨保障村民冬季取暖；节假日期间，各工作队会同</w:t>
            </w:r>
            <w:r>
              <w:rPr>
                <w:rFonts w:hint="eastAsia" w:ascii="宋体" w:hAnsi="宋体"/>
                <w:sz w:val="16"/>
                <w:lang w:eastAsia="zh-CN"/>
              </w:rPr>
              <w:t>村“两委”</w:t>
            </w:r>
            <w:r>
              <w:rPr>
                <w:rFonts w:ascii="宋体" w:hAnsi="宋体" w:eastAsia="宋体"/>
                <w:sz w:val="16"/>
              </w:rPr>
              <w:t>开展走访慰问送去大米和清油等慰问品，折合5.98万元，共230户居民受益，使群众充分感受到了党和政府的温暖。切实发挥专项资金作用，完成帮扶驻幸福社区工作队修缮街道路灯33座，新修15座，维修辖区内马路减速带6处，维修损毁路面1处；捐助水泥15吨，红砖8000块，砂石料60立方；为2</w:t>
            </w:r>
            <w:r>
              <w:rPr>
                <w:rFonts w:hint="eastAsia" w:ascii="宋体" w:hAnsi="宋体"/>
                <w:sz w:val="16"/>
                <w:lang w:eastAsia="zh-CN"/>
              </w:rPr>
              <w:t>户</w:t>
            </w:r>
            <w:r>
              <w:rPr>
                <w:rFonts w:ascii="宋体" w:hAnsi="宋体" w:eastAsia="宋体"/>
                <w:sz w:val="16"/>
              </w:rPr>
              <w:t>困难户修缮50米围墙，为4户居民院内院外进行地面硬化解决了所需建筑材料的困难。驻色日克阔勒村投入</w:t>
            </w:r>
            <w:r>
              <w:rPr>
                <w:rFonts w:hint="eastAsia" w:ascii="宋体" w:hAnsi="宋体"/>
                <w:sz w:val="16"/>
                <w:lang w:eastAsia="zh-CN"/>
              </w:rPr>
              <w:t>为民办实事</w:t>
            </w:r>
            <w:r>
              <w:rPr>
                <w:rFonts w:ascii="宋体" w:hAnsi="宋体" w:eastAsia="宋体"/>
                <w:sz w:val="16"/>
              </w:rPr>
              <w:t>工作队经费7万元用于村内重点路段路灯维修及更换太阳能路灯，2.2万元用于色日克阔勒村、阿尔帕村2个家庭党校及国通语推普示范点打造，进一步提升和改善人居环境整治水平。</w:t>
            </w:r>
          </w:p>
        </w:tc>
      </w:tr>
      <w:tr w14:paraId="27EF5C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2330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A741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A4F1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A774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DE9C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29E5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9F69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2C3C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FE0C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DA2A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29AD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D7FE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B19C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5066C">
            <w:pPr>
              <w:jc w:val="center"/>
            </w:pPr>
            <w:r>
              <w:rPr>
                <w:rFonts w:ascii="宋体" w:hAnsi="宋体" w:eastAsia="宋体"/>
                <w:sz w:val="16"/>
              </w:rPr>
              <w:t>偏差原因分析及改进措施</w:t>
            </w:r>
          </w:p>
        </w:tc>
      </w:tr>
      <w:tr w14:paraId="000ABC1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EE531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E1997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FB8CC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00286">
            <w:pPr>
              <w:jc w:val="center"/>
            </w:pPr>
            <w:r>
              <w:rPr>
                <w:rFonts w:hint="eastAsia" w:ascii="宋体" w:hAnsi="宋体"/>
                <w:sz w:val="16"/>
                <w:lang w:eastAsia="zh-CN"/>
              </w:rPr>
              <w:t>为民办实事</w:t>
            </w:r>
            <w:r>
              <w:rPr>
                <w:rFonts w:ascii="宋体" w:hAnsi="宋体" w:eastAsia="宋体"/>
                <w:sz w:val="16"/>
              </w:rPr>
              <w:t>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BBF52">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8F8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588A4">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9628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AFB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F51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CFB7E">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2CB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1690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19136">
            <w:pPr>
              <w:jc w:val="center"/>
            </w:pPr>
          </w:p>
        </w:tc>
      </w:tr>
      <w:tr w14:paraId="01EB49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EBD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9D0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7106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A91DB">
            <w:pPr>
              <w:jc w:val="center"/>
            </w:pPr>
            <w:r>
              <w:rPr>
                <w:rFonts w:ascii="宋体" w:hAnsi="宋体" w:eastAsia="宋体"/>
                <w:sz w:val="16"/>
              </w:rPr>
              <w:t>担任第一书记人数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C89B7">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4A4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BA941">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41F6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C26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2F8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9C071">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E7F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6A74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00692">
            <w:pPr>
              <w:jc w:val="center"/>
            </w:pPr>
          </w:p>
        </w:tc>
      </w:tr>
      <w:tr w14:paraId="69B472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0B4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8EB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00B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3EE75">
            <w:pPr>
              <w:jc w:val="center"/>
            </w:pPr>
            <w:r>
              <w:rPr>
                <w:rFonts w:ascii="宋体" w:hAnsi="宋体" w:eastAsia="宋体"/>
                <w:sz w:val="16"/>
              </w:rPr>
              <w:t>访贫问苦帮扶群众等项目实施次数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EDDF6">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C9B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B0CED">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E80E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270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B95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FAE17">
            <w:pPr>
              <w:jc w:val="center"/>
            </w:pPr>
            <w:r>
              <w:rPr>
                <w:rFonts w:ascii="宋体" w:hAnsi="宋体" w:eastAsia="宋体"/>
                <w:sz w:val="16"/>
              </w:rPr>
              <w:t>=11次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D1D1C">
            <w:pPr>
              <w:jc w:val="center"/>
            </w:pPr>
            <w:r>
              <w:rPr>
                <w:rFonts w:ascii="宋体" w:hAnsi="宋体" w:eastAsia="宋体"/>
                <w:sz w:val="16"/>
              </w:rPr>
              <w:t>110%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F727A">
            <w:pPr>
              <w:jc w:val="center"/>
            </w:pPr>
            <w:r>
              <w:rPr>
                <w:rFonts w:ascii="宋体" w:hAnsi="宋体" w:eastAsia="宋体"/>
                <w:sz w:val="16"/>
              </w:rPr>
              <w:t>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B7694">
            <w:pPr>
              <w:jc w:val="center"/>
            </w:pPr>
            <w:r>
              <w:rPr>
                <w:rFonts w:ascii="宋体" w:hAnsi="宋体" w:eastAsia="宋体"/>
                <w:sz w:val="16"/>
              </w:rPr>
              <w:t>因工作队针对当地社区群众的实际情况，幸福社区开展访贫问苦帮扶群众项目次数较多</w:t>
            </w:r>
          </w:p>
        </w:tc>
      </w:tr>
      <w:tr w14:paraId="7A5013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0B1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556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EDA9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73BD1">
            <w:pPr>
              <w:jc w:val="center"/>
            </w:pPr>
            <w:r>
              <w:rPr>
                <w:rFonts w:ascii="宋体" w:hAnsi="宋体" w:eastAsia="宋体"/>
                <w:sz w:val="16"/>
              </w:rPr>
              <w:t>资金拨付到位率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A7F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026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710E0">
            <w:pPr>
              <w:jc w:val="center"/>
            </w:pPr>
            <w:r>
              <w:rPr>
                <w:rFonts w:ascii="宋体" w:hAnsi="宋体" w:eastAsia="宋体"/>
                <w:sz w:val="16"/>
              </w:rPr>
              <w:t>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7535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F03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913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1FF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2DB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D91E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8C100">
            <w:pPr>
              <w:jc w:val="center"/>
            </w:pPr>
            <w:r>
              <w:rPr>
                <w:rFonts w:ascii="宋体" w:hAnsi="宋体" w:eastAsia="宋体"/>
                <w:sz w:val="16"/>
              </w:rPr>
              <w:t>项目结余资金97元，系采购结余资金</w:t>
            </w:r>
          </w:p>
        </w:tc>
      </w:tr>
      <w:tr w14:paraId="1CD404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B59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800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210C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A926A">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5D6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6D3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295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D380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304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C23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95FAC">
            <w:pPr>
              <w:jc w:val="center"/>
            </w:pPr>
            <w:r>
              <w:rPr>
                <w:rFonts w:ascii="宋体" w:hAnsi="宋体" w:eastAsia="宋体"/>
                <w:sz w:val="16"/>
              </w:rPr>
              <w:t>=99.97%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3A5D2">
            <w:pPr>
              <w:jc w:val="center"/>
            </w:pPr>
            <w:r>
              <w:rPr>
                <w:rFonts w:ascii="宋体" w:hAnsi="宋体" w:eastAsia="宋体"/>
                <w:sz w:val="16"/>
              </w:rPr>
              <w:t>99.97%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F9777">
            <w:pPr>
              <w:jc w:val="center"/>
            </w:pPr>
            <w:r>
              <w:rPr>
                <w:rFonts w:ascii="宋体" w:hAnsi="宋体" w:eastAsia="宋体"/>
                <w:sz w:val="16"/>
              </w:rPr>
              <w:t>7.99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A2C2F">
            <w:pPr>
              <w:jc w:val="center"/>
            </w:pPr>
            <w:r>
              <w:rPr>
                <w:rFonts w:ascii="宋体" w:hAnsi="宋体" w:eastAsia="宋体"/>
                <w:sz w:val="16"/>
              </w:rPr>
              <w:t>政府采购资金节约成本。进一步加强预算管理，科学合理编制预算，按照进度执行。</w:t>
            </w:r>
          </w:p>
        </w:tc>
      </w:tr>
      <w:tr w14:paraId="32E11A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A431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E8E5B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EE883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A2F84">
            <w:pPr>
              <w:jc w:val="center"/>
            </w:pPr>
            <w:r>
              <w:rPr>
                <w:rFonts w:hint="eastAsia" w:ascii="宋体" w:hAnsi="宋体"/>
                <w:sz w:val="16"/>
                <w:lang w:eastAsia="zh-CN"/>
              </w:rPr>
              <w:t>为民办实事</w:t>
            </w:r>
            <w:r>
              <w:rPr>
                <w:rFonts w:ascii="宋体" w:hAnsi="宋体" w:eastAsia="宋体"/>
                <w:sz w:val="16"/>
              </w:rPr>
              <w:t>工作队为民办实事经费保障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0AFE1">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459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1C274">
            <w:pPr>
              <w:jc w:val="center"/>
            </w:pPr>
            <w:r>
              <w:rPr>
                <w:rFonts w:ascii="宋体" w:hAnsi="宋体" w:eastAsia="宋体"/>
                <w:sz w:val="16"/>
              </w:rPr>
              <w:t>19.96万元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D160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4B6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90F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3A729">
            <w:pPr>
              <w:jc w:val="center"/>
            </w:pPr>
            <w:r>
              <w:rPr>
                <w:rFonts w:ascii="宋体" w:hAnsi="宋体" w:eastAsia="宋体"/>
                <w:sz w:val="16"/>
              </w:rPr>
              <w:t>=29.99万元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6D5F8">
            <w:pPr>
              <w:jc w:val="center"/>
            </w:pPr>
            <w:r>
              <w:rPr>
                <w:rFonts w:ascii="宋体" w:hAnsi="宋体" w:eastAsia="宋体"/>
                <w:sz w:val="16"/>
              </w:rPr>
              <w:t>99.99%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A63F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B5783">
            <w:pPr>
              <w:jc w:val="center"/>
            </w:pPr>
            <w:r>
              <w:rPr>
                <w:rFonts w:ascii="宋体" w:hAnsi="宋体" w:eastAsia="宋体"/>
                <w:sz w:val="16"/>
              </w:rPr>
              <w:t>政府采购资金节约，经费保障前期预算较多。在日后工作按照需求上报预算并且合理规划使用经费</w:t>
            </w:r>
          </w:p>
        </w:tc>
      </w:tr>
      <w:tr w14:paraId="417374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F36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F9E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AE4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5C5F9">
            <w:pPr>
              <w:jc w:val="center"/>
            </w:pPr>
            <w:r>
              <w:rPr>
                <w:rFonts w:ascii="宋体" w:hAnsi="宋体" w:eastAsia="宋体"/>
                <w:sz w:val="16"/>
              </w:rPr>
              <w:t>第一书记为民办实事经费保障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F7EAD">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FA1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82C45">
            <w:pPr>
              <w:jc w:val="center"/>
            </w:pPr>
            <w:r>
              <w:rPr>
                <w:rFonts w:ascii="宋体" w:hAnsi="宋体" w:eastAsia="宋体"/>
                <w:sz w:val="16"/>
              </w:rPr>
              <w:t>3.99万元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DD1F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213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881E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56735">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C41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641F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A9BE3">
            <w:pPr>
              <w:jc w:val="center"/>
            </w:pPr>
            <w:r>
              <w:rPr>
                <w:rFonts w:ascii="宋体" w:hAnsi="宋体" w:eastAsia="宋体"/>
                <w:sz w:val="16"/>
              </w:rPr>
              <w:t>采购结余资金未支付</w:t>
            </w:r>
          </w:p>
        </w:tc>
      </w:tr>
      <w:tr w14:paraId="17AC6F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2AE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92CC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2268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39E0E">
            <w:pPr>
              <w:jc w:val="center"/>
            </w:pPr>
            <w:r>
              <w:rPr>
                <w:rFonts w:ascii="宋体" w:hAnsi="宋体" w:eastAsia="宋体"/>
                <w:sz w:val="16"/>
              </w:rPr>
              <w:t>村民幸福感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818BA">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3B5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8E829">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8FCE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05D1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63F7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BC2FF">
            <w:pPr>
              <w:jc w:val="center"/>
            </w:pPr>
            <w:r>
              <w:rPr>
                <w:rFonts w:ascii="宋体" w:hAnsi="宋体" w:eastAsia="宋体"/>
                <w:sz w:val="16"/>
              </w:rPr>
              <w:t>达到目标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DF2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CE21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26C07">
            <w:pPr>
              <w:jc w:val="center"/>
            </w:pPr>
          </w:p>
        </w:tc>
      </w:tr>
      <w:tr w14:paraId="7ACF43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AE9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E24B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EE84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324B9">
            <w:pPr>
              <w:jc w:val="center"/>
            </w:pPr>
            <w:r>
              <w:rPr>
                <w:rFonts w:ascii="宋体" w:hAnsi="宋体" w:eastAsia="宋体"/>
                <w:sz w:val="16"/>
              </w:rPr>
              <w:t>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C078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55D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F6D9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D3A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8616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F0E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29E7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607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7A4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B3344">
            <w:pPr>
              <w:jc w:val="center"/>
            </w:pPr>
          </w:p>
        </w:tc>
      </w:tr>
      <w:tr w14:paraId="4E1EE45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4CC425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D2944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55D41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70BB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AD4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DF302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71FF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03674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F87F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CC7D0">
            <w:pPr>
              <w:jc w:val="center"/>
            </w:pPr>
            <w:r>
              <w:rPr>
                <w:rFonts w:ascii="宋体" w:hAnsi="宋体" w:eastAsia="宋体"/>
                <w:sz w:val="16"/>
              </w:rPr>
              <w:t>99.19分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F2D712"/>
        </w:tc>
      </w:tr>
    </w:tbl>
    <w:p w14:paraId="33F8AC9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3DC02A8F">
        <w:tblPrEx>
          <w:tblCellMar>
            <w:top w:w="0" w:type="dxa"/>
            <w:left w:w="108" w:type="dxa"/>
            <w:bottom w:w="0" w:type="dxa"/>
            <w:right w:w="108" w:type="dxa"/>
          </w:tblCellMar>
        </w:tblPrEx>
        <w:tc>
          <w:tcPr>
            <w:tcW w:w="8848" w:type="dxa"/>
            <w:gridSpan w:val="14"/>
            <w:vAlign w:val="center"/>
          </w:tcPr>
          <w:p w14:paraId="64B6020D">
            <w:pPr>
              <w:jc w:val="center"/>
            </w:pPr>
            <w:r>
              <w:rPr>
                <w:rFonts w:ascii="宋体" w:hAnsi="宋体" w:eastAsia="宋体"/>
                <w:sz w:val="24"/>
              </w:rPr>
              <w:t>项目支出绩效自评表</w:t>
            </w:r>
          </w:p>
        </w:tc>
      </w:tr>
      <w:tr w14:paraId="3A635E5B">
        <w:tblPrEx>
          <w:tblCellMar>
            <w:top w:w="0" w:type="dxa"/>
            <w:left w:w="108" w:type="dxa"/>
            <w:bottom w:w="0" w:type="dxa"/>
            <w:right w:w="108" w:type="dxa"/>
          </w:tblCellMar>
        </w:tblPrEx>
        <w:tc>
          <w:tcPr>
            <w:tcW w:w="8848" w:type="dxa"/>
            <w:gridSpan w:val="14"/>
            <w:vAlign w:val="center"/>
          </w:tcPr>
          <w:p w14:paraId="43F5B3C1">
            <w:pPr>
              <w:jc w:val="center"/>
            </w:pPr>
            <w:r>
              <w:rPr>
                <w:rFonts w:ascii="宋体" w:hAnsi="宋体" w:eastAsia="宋体"/>
                <w:sz w:val="24"/>
              </w:rPr>
              <w:t>(2024年度)</w:t>
            </w:r>
          </w:p>
        </w:tc>
      </w:tr>
      <w:tr w14:paraId="0697FF25">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EC9F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FAD7935">
            <w:pPr>
              <w:jc w:val="center"/>
            </w:pPr>
            <w:r>
              <w:rPr>
                <w:rFonts w:ascii="宋体" w:hAnsi="宋体" w:eastAsia="宋体"/>
                <w:sz w:val="16"/>
              </w:rPr>
              <w:t>生态环境保护督察项目</w:t>
            </w:r>
          </w:p>
        </w:tc>
      </w:tr>
      <w:tr w14:paraId="79325E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E380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1D0612">
            <w:pPr>
              <w:jc w:val="center"/>
            </w:pPr>
            <w:r>
              <w:rPr>
                <w:rFonts w:ascii="宋体" w:hAnsi="宋体" w:eastAsia="宋体"/>
                <w:sz w:val="16"/>
              </w:rPr>
              <w:t>巴音郭楞蒙古自治州生态环境局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37BE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B28543">
            <w:pPr>
              <w:jc w:val="center"/>
            </w:pPr>
            <w:r>
              <w:rPr>
                <w:rFonts w:ascii="宋体" w:hAnsi="宋体" w:eastAsia="宋体"/>
                <w:sz w:val="16"/>
              </w:rPr>
              <w:t>巴音郭楞蒙古自治州生态环境局</w:t>
            </w:r>
          </w:p>
        </w:tc>
      </w:tr>
      <w:tr w14:paraId="610431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B1E9F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AD15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E84A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B87D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ADB1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C08F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CBF2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B8C84">
            <w:pPr>
              <w:jc w:val="center"/>
            </w:pPr>
            <w:r>
              <w:rPr>
                <w:rFonts w:ascii="宋体" w:hAnsi="宋体" w:eastAsia="宋体"/>
                <w:sz w:val="16"/>
              </w:rPr>
              <w:t>得分</w:t>
            </w:r>
          </w:p>
        </w:tc>
      </w:tr>
      <w:tr w14:paraId="1CDB67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5DACC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8F21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7188D">
            <w:pPr>
              <w:jc w:val="center"/>
            </w:pPr>
            <w:r>
              <w:rPr>
                <w:rFonts w:ascii="宋体" w:hAnsi="宋体" w:eastAsia="宋体"/>
                <w:sz w:val="16"/>
              </w:rPr>
              <w:t>68.00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CB336">
            <w:pPr>
              <w:jc w:val="center"/>
            </w:pPr>
            <w:r>
              <w:rPr>
                <w:rFonts w:ascii="宋体" w:hAnsi="宋体" w:eastAsia="宋体"/>
                <w:sz w:val="16"/>
              </w:rPr>
              <w:t>68.00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22023">
            <w:pPr>
              <w:jc w:val="center"/>
            </w:pPr>
            <w:r>
              <w:rPr>
                <w:rFonts w:ascii="宋体" w:hAnsi="宋体" w:eastAsia="宋体"/>
                <w:sz w:val="16"/>
              </w:rPr>
              <w:t>67.99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2DA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F6A68">
            <w:pPr>
              <w:jc w:val="center"/>
            </w:pPr>
            <w:r>
              <w:rPr>
                <w:rFonts w:ascii="宋体" w:hAnsi="宋体" w:eastAsia="宋体"/>
                <w:sz w:val="16"/>
              </w:rPr>
              <w:t>99.99%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9C1FD">
            <w:pPr>
              <w:jc w:val="center"/>
            </w:pPr>
            <w:r>
              <w:rPr>
                <w:rFonts w:ascii="宋体" w:hAnsi="宋体" w:eastAsia="宋体"/>
                <w:sz w:val="16"/>
              </w:rPr>
              <w:t>10.00</w:t>
            </w:r>
          </w:p>
        </w:tc>
      </w:tr>
      <w:tr w14:paraId="09A1A9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9A6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0418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77137">
            <w:pPr>
              <w:jc w:val="center"/>
            </w:pPr>
            <w:r>
              <w:rPr>
                <w:rFonts w:ascii="宋体" w:hAnsi="宋体" w:eastAsia="宋体"/>
                <w:sz w:val="16"/>
              </w:rPr>
              <w:t>68.00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E0DA2">
            <w:pPr>
              <w:jc w:val="center"/>
            </w:pPr>
            <w:r>
              <w:rPr>
                <w:rFonts w:ascii="宋体" w:hAnsi="宋体" w:eastAsia="宋体"/>
                <w:sz w:val="16"/>
              </w:rPr>
              <w:t>68.00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71714">
            <w:pPr>
              <w:jc w:val="center"/>
            </w:pPr>
            <w:r>
              <w:rPr>
                <w:rFonts w:ascii="宋体" w:hAnsi="宋体" w:eastAsia="宋体"/>
                <w:sz w:val="16"/>
              </w:rPr>
              <w:t>67.99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3D75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83A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56CCF">
            <w:pPr>
              <w:jc w:val="center"/>
            </w:pPr>
            <w:r>
              <w:rPr>
                <w:rFonts w:ascii="宋体" w:hAnsi="宋体" w:eastAsia="宋体"/>
                <w:sz w:val="16"/>
              </w:rPr>
              <w:t>-</w:t>
            </w:r>
          </w:p>
        </w:tc>
      </w:tr>
      <w:tr w14:paraId="381513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8F0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8886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EF5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83B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291D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D966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636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D6ECF">
            <w:pPr>
              <w:jc w:val="center"/>
            </w:pPr>
            <w:r>
              <w:rPr>
                <w:rFonts w:ascii="宋体" w:hAnsi="宋体" w:eastAsia="宋体"/>
                <w:sz w:val="16"/>
              </w:rPr>
              <w:t>-</w:t>
            </w:r>
          </w:p>
        </w:tc>
      </w:tr>
      <w:tr w14:paraId="51E729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D25D2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69D9E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49F652">
            <w:pPr>
              <w:jc w:val="center"/>
            </w:pPr>
            <w:r>
              <w:rPr>
                <w:rFonts w:ascii="宋体" w:hAnsi="宋体" w:eastAsia="宋体"/>
                <w:sz w:val="16"/>
              </w:rPr>
              <w:t>总体目标完成情况</w:t>
            </w:r>
          </w:p>
        </w:tc>
      </w:tr>
      <w:tr w14:paraId="6508DD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C4EB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31694F">
            <w:pPr>
              <w:jc w:val="both"/>
            </w:pPr>
            <w:r>
              <w:rPr>
                <w:rFonts w:ascii="宋体" w:hAnsi="宋体" w:eastAsia="宋体"/>
                <w:sz w:val="16"/>
              </w:rPr>
              <w:t>为配合保障中央、自治区生态环境保护督察工作，自治州党委、人民政府成立了配合保障中央、自治区生态环境保护工作领导小组，负责保障中央、自治区督导在进驻巴州期间的各项协调保障工作。在督促整改过程中，督导组采取驻点工作的方式，设立意见箱、举报电话，集中在宾馆办公，为配合其正常开展工作，需要租赁办公设施2次，买办公用品3批次。</w:t>
            </w:r>
            <w:r>
              <w:rPr>
                <w:rFonts w:ascii="宋体" w:hAnsi="宋体" w:eastAsia="宋体"/>
                <w:sz w:val="16"/>
              </w:rPr>
              <w:br w:type="textWrapping"/>
            </w:r>
            <w:r>
              <w:rPr>
                <w:rFonts w:ascii="宋体" w:hAnsi="宋体" w:eastAsia="宋体"/>
                <w:sz w:val="16"/>
              </w:rPr>
              <w:t>通过督导检查及时发现地方政府生态环境领域突出问题，压实地方政府整改责任，不断改善地方生态环境质量，提高</w:t>
            </w:r>
            <w:r>
              <w:rPr>
                <w:rFonts w:hint="eastAsia" w:ascii="宋体" w:hAnsi="宋体"/>
                <w:sz w:val="16"/>
                <w:lang w:eastAsia="zh-CN"/>
              </w:rPr>
              <w:t>人民群众的获得感</w:t>
            </w:r>
            <w:r>
              <w:rPr>
                <w:rFonts w:ascii="宋体" w:hAnsi="宋体" w:eastAsia="宋体"/>
                <w:sz w:val="16"/>
              </w:rPr>
              <w:t>和满意感。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57CA62">
            <w:pPr>
              <w:jc w:val="both"/>
            </w:pPr>
            <w:r>
              <w:rPr>
                <w:rFonts w:ascii="宋体" w:hAnsi="宋体" w:eastAsia="宋体"/>
                <w:sz w:val="16"/>
              </w:rPr>
              <w:t>配合中央、自治区生态环境保护工作完成开展常规性督导检查2次，租赁办公设施（设备）2次，购买办公耗材用品3批次，研究制定了《自治州生态环境保护督察整改督导工作方案》，成立了由党委、政府分管副秘书长为组长的2个整改督导组，采取查阅档案、现场核查等方式对9县市、库尔勒经济技术开发区和6个牵头整改部门开展督导检查2轮次，覆盖率达100%，发现问题第一时间书面反馈。举办自治州生态环境保护督察整改工作培训1期，围绕督察整改工作日常调度、督导检查、验收销号流程及整改销号台账制作等内容，对各县市、各责任单位分管领导及具体工作人员180余人进行业务培训，进一步提升全州整改工作能力和业务水平。加强整改销号台账审核。对相关责任单位临近验收销号的整改任务整改销号台账进行审核把关，对照整改措施逐项核查佐证资料，对存疑问题进行沟通询问，及时帮助指导，基本完成年初目标任务。</w:t>
            </w:r>
          </w:p>
        </w:tc>
      </w:tr>
      <w:tr w14:paraId="2B1EC5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2BBB2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4F3A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5C7E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54D7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487C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E5AE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E90A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8323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E682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D3B0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E185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4DA9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5095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592B4">
            <w:pPr>
              <w:jc w:val="center"/>
            </w:pPr>
            <w:r>
              <w:rPr>
                <w:rFonts w:ascii="宋体" w:hAnsi="宋体" w:eastAsia="宋体"/>
                <w:sz w:val="16"/>
              </w:rPr>
              <w:t>偏差原因分析及改进措施</w:t>
            </w:r>
          </w:p>
        </w:tc>
      </w:tr>
      <w:tr w14:paraId="33B6EB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F72D6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E2DE0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B7F11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D86A9">
            <w:pPr>
              <w:jc w:val="center"/>
            </w:pPr>
            <w:r>
              <w:rPr>
                <w:rFonts w:ascii="宋体" w:hAnsi="宋体" w:eastAsia="宋体"/>
                <w:sz w:val="16"/>
              </w:rPr>
              <w:t>配合上级督导次数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E9619">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8BF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9B7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D889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FA2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91B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7FB0D">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BBB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E2D3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A974D">
            <w:pPr>
              <w:jc w:val="center"/>
            </w:pPr>
          </w:p>
        </w:tc>
      </w:tr>
      <w:tr w14:paraId="062731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663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936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3D0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DFA10">
            <w:pPr>
              <w:jc w:val="center"/>
            </w:pPr>
            <w:r>
              <w:rPr>
                <w:rFonts w:ascii="宋体" w:hAnsi="宋体" w:eastAsia="宋体"/>
                <w:sz w:val="16"/>
              </w:rPr>
              <w:t>办公设施租赁次数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A1419">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910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DEA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1B8B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7ED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701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DA46A">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230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0E2B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E452A">
            <w:pPr>
              <w:jc w:val="center"/>
            </w:pPr>
          </w:p>
        </w:tc>
      </w:tr>
      <w:tr w14:paraId="2666FC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914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2ED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AF2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6A1D5">
            <w:pPr>
              <w:jc w:val="center"/>
            </w:pPr>
            <w:r>
              <w:rPr>
                <w:rFonts w:ascii="宋体" w:hAnsi="宋体" w:eastAsia="宋体"/>
                <w:sz w:val="16"/>
              </w:rPr>
              <w:t>购置办公耗材批数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B06DF">
            <w:pPr>
              <w:jc w:val="center"/>
            </w:pPr>
            <w:r>
              <w:rPr>
                <w:rFonts w:ascii="宋体" w:hAnsi="宋体" w:eastAsia="宋体"/>
                <w:sz w:val="16"/>
              </w:rPr>
              <w:t>&gt;=3批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071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FAD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A32F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CFB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5B5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47EC9">
            <w:pPr>
              <w:jc w:val="center"/>
            </w:pPr>
            <w:r>
              <w:rPr>
                <w:rFonts w:ascii="宋体" w:hAnsi="宋体" w:eastAsia="宋体"/>
                <w:sz w:val="16"/>
              </w:rPr>
              <w: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244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9C23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84A0F">
            <w:pPr>
              <w:jc w:val="center"/>
            </w:pPr>
          </w:p>
        </w:tc>
      </w:tr>
      <w:tr w14:paraId="0864A6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FEA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97B5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0DE90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15697">
            <w:pPr>
              <w:jc w:val="center"/>
            </w:pPr>
            <w:r>
              <w:rPr>
                <w:rFonts w:ascii="宋体" w:hAnsi="宋体" w:eastAsia="宋体"/>
                <w:sz w:val="16"/>
              </w:rPr>
              <w:t>督导检查工作覆盖率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AC5D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77F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C8F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8CDD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F22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10F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6F2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D10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5D77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CF440">
            <w:pPr>
              <w:jc w:val="center"/>
            </w:pPr>
          </w:p>
        </w:tc>
      </w:tr>
      <w:tr w14:paraId="01446A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917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0B4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477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99368">
            <w:pPr>
              <w:jc w:val="center"/>
            </w:pPr>
            <w:r>
              <w:rPr>
                <w:rFonts w:ascii="宋体" w:hAnsi="宋体" w:eastAsia="宋体"/>
                <w:sz w:val="16"/>
              </w:rPr>
              <w:t>办公耗材质量合格率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AD2F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7AE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1F7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3BDD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90A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C70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FA6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861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89F5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DFA91">
            <w:pPr>
              <w:jc w:val="center"/>
            </w:pPr>
          </w:p>
        </w:tc>
      </w:tr>
      <w:tr w14:paraId="1069C6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944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A5D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906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A0AEE">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B326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8F4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58F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FBEE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2A6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035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93C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BAD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AADC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6C1C5">
            <w:pPr>
              <w:jc w:val="center"/>
            </w:pPr>
          </w:p>
        </w:tc>
      </w:tr>
      <w:tr w14:paraId="02F086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B2C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D366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06F51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23D32">
            <w:pPr>
              <w:jc w:val="center"/>
            </w:pPr>
            <w:r>
              <w:rPr>
                <w:rFonts w:ascii="宋体" w:hAnsi="宋体" w:eastAsia="宋体"/>
                <w:sz w:val="16"/>
              </w:rPr>
              <w:t>配合督导检查工作按时完成率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C79B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68C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B40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05D5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664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C6E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5B4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63D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1AE1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FE9C9">
            <w:pPr>
              <w:jc w:val="center"/>
            </w:pPr>
          </w:p>
        </w:tc>
      </w:tr>
      <w:tr w14:paraId="480EE3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982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FCB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DDF9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1B578">
            <w:pPr>
              <w:jc w:val="center"/>
            </w:pPr>
            <w:r>
              <w:rPr>
                <w:rFonts w:ascii="宋体" w:hAnsi="宋体" w:eastAsia="宋体"/>
                <w:sz w:val="16"/>
              </w:rPr>
              <w:t>办公耗材采购完成时间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A8707">
            <w:pPr>
              <w:jc w:val="center"/>
            </w:pPr>
            <w:r>
              <w:rPr>
                <w:rFonts w:ascii="宋体" w:hAnsi="宋体" w:eastAsia="宋体"/>
                <w:sz w:val="16"/>
              </w:rPr>
              <w:t>2024年10月30日前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BA0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6AC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5C4F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D7B5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8F8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9A689">
            <w:pPr>
              <w:jc w:val="center"/>
            </w:pPr>
            <w:r>
              <w:rPr>
                <w:rFonts w:ascii="宋体" w:hAnsi="宋体" w:eastAsia="宋体"/>
                <w:sz w:val="16"/>
              </w:rPr>
              <w:t>2024年10月24日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95B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EFF0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40F1C">
            <w:pPr>
              <w:jc w:val="center"/>
            </w:pPr>
          </w:p>
        </w:tc>
      </w:tr>
      <w:tr w14:paraId="1F8A4F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A8D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290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E0C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B5D78">
            <w:pPr>
              <w:jc w:val="center"/>
            </w:pPr>
            <w:r>
              <w:rPr>
                <w:rFonts w:ascii="宋体" w:hAnsi="宋体" w:eastAsia="宋体"/>
                <w:sz w:val="16"/>
              </w:rPr>
              <w:t>办公设施租赁按时完成率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04D3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7AE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3A1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9BF5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2ADA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A53E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952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39D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E2A0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B6E07">
            <w:pPr>
              <w:jc w:val="center"/>
            </w:pPr>
          </w:p>
        </w:tc>
      </w:tr>
      <w:tr w14:paraId="7D1A87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1BE2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36CE2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330D2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42E51">
            <w:pPr>
              <w:jc w:val="center"/>
            </w:pPr>
            <w:r>
              <w:rPr>
                <w:rFonts w:ascii="宋体" w:hAnsi="宋体" w:eastAsia="宋体"/>
                <w:sz w:val="16"/>
              </w:rPr>
              <w:t>配合上级督导检查工作成本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3AFDC">
            <w:pPr>
              <w:jc w:val="center"/>
            </w:pPr>
            <w:r>
              <w:rPr>
                <w:rFonts w:ascii="宋体" w:hAnsi="宋体" w:eastAsia="宋体"/>
                <w:sz w:val="16"/>
              </w:rPr>
              <w:t>&lt;=55万元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6C8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6DF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AC7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76F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9FAD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8A6BF">
            <w:pPr>
              <w:jc w:val="center"/>
            </w:pPr>
            <w:r>
              <w:rPr>
                <w:rFonts w:ascii="宋体" w:hAnsi="宋体" w:eastAsia="宋体"/>
                <w:sz w:val="16"/>
              </w:rPr>
              <w:t>=55万元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37C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ED1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AF6D6">
            <w:pPr>
              <w:jc w:val="center"/>
            </w:pPr>
            <w:r>
              <w:rPr>
                <w:rFonts w:ascii="宋体" w:hAnsi="宋体" w:eastAsia="宋体"/>
                <w:sz w:val="16"/>
              </w:rPr>
              <w:t>部分配合上级督导检查成本未纳入绩效目标，除常态化督导外，自治区加大督导检查频次。</w:t>
            </w:r>
          </w:p>
        </w:tc>
      </w:tr>
      <w:tr w14:paraId="64E775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A22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B47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B09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467B5">
            <w:pPr>
              <w:jc w:val="center"/>
            </w:pPr>
            <w:r>
              <w:rPr>
                <w:rFonts w:ascii="宋体" w:hAnsi="宋体" w:eastAsia="宋体"/>
                <w:sz w:val="16"/>
              </w:rPr>
              <w:t>办公设施租赁成本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1006E">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963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4BA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6D72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E27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ADE4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21163">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3B9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056F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F98B4">
            <w:pPr>
              <w:jc w:val="center"/>
            </w:pPr>
          </w:p>
        </w:tc>
      </w:tr>
      <w:tr w14:paraId="159DFA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7B7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5CCD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9A7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389CD">
            <w:pPr>
              <w:jc w:val="center"/>
            </w:pPr>
            <w:r>
              <w:rPr>
                <w:rFonts w:ascii="宋体" w:hAnsi="宋体" w:eastAsia="宋体"/>
                <w:sz w:val="16"/>
              </w:rPr>
              <w:t>办公耗材购置成本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650A2">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5CB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48C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55D6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989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558E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6ADD4">
            <w:pPr>
              <w:jc w:val="center"/>
            </w:pPr>
            <w:r>
              <w:rPr>
                <w:rFonts w:ascii="宋体" w:hAnsi="宋体" w:eastAsia="宋体"/>
                <w:sz w:val="16"/>
              </w:rPr>
              <w:t>=4.99万元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2EFCD">
            <w:pPr>
              <w:jc w:val="center"/>
            </w:pPr>
            <w:r>
              <w:rPr>
                <w:rFonts w:ascii="宋体" w:hAnsi="宋体" w:eastAsia="宋体"/>
                <w:sz w:val="16"/>
              </w:rPr>
              <w:t>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14CEC">
            <w:pPr>
              <w:jc w:val="center"/>
            </w:pPr>
            <w:r>
              <w:rPr>
                <w:rFonts w:ascii="宋体" w:hAnsi="宋体" w:eastAsia="宋体"/>
                <w:sz w:val="16"/>
              </w:rPr>
              <w:t>4.97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1D93E">
            <w:pPr>
              <w:jc w:val="center"/>
            </w:pPr>
            <w:r>
              <w:rPr>
                <w:rFonts w:ascii="宋体" w:hAnsi="宋体" w:eastAsia="宋体"/>
                <w:sz w:val="16"/>
              </w:rPr>
              <w:t>计划采购与实际情况不符，导致产生偏差。在日后工作提前规划好相应办公耗材的需求，再进行预算编制。</w:t>
            </w:r>
          </w:p>
        </w:tc>
      </w:tr>
      <w:tr w14:paraId="2B658F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586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A8AC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06E6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F7C0C">
            <w:pPr>
              <w:jc w:val="center"/>
            </w:pPr>
            <w:r>
              <w:rPr>
                <w:rFonts w:ascii="宋体" w:hAnsi="宋体" w:eastAsia="宋体"/>
                <w:sz w:val="16"/>
              </w:rPr>
              <w:t>问题整改落实率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5E6DA">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8A4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0E7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1744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BE8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DD35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17C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8D6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B960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154CB">
            <w:pPr>
              <w:jc w:val="center"/>
            </w:pPr>
          </w:p>
        </w:tc>
      </w:tr>
      <w:tr w14:paraId="7912C5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CE3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7E48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49A9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5BCAE">
            <w:pPr>
              <w:jc w:val="center"/>
            </w:pPr>
            <w:r>
              <w:rPr>
                <w:rFonts w:ascii="宋体" w:hAnsi="宋体" w:eastAsia="宋体"/>
                <w:sz w:val="16"/>
              </w:rPr>
              <w:t>单位人员满意度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394F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874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0A6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5D4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D854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D36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6D74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877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F2C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C4C20">
            <w:pPr>
              <w:jc w:val="center"/>
            </w:pPr>
          </w:p>
        </w:tc>
      </w:tr>
      <w:tr w14:paraId="7552F5F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DA9B6A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E4BE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AF495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A016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844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D5FC7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8D9E0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D64DC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92BA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6BA7A">
            <w:pPr>
              <w:jc w:val="center"/>
            </w:pPr>
            <w:r>
              <w:rPr>
                <w:rFonts w:ascii="宋体" w:hAnsi="宋体" w:eastAsia="宋体"/>
                <w:sz w:val="16"/>
              </w:rPr>
              <w:t>99.97分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DCCFB5"/>
        </w:tc>
      </w:tr>
    </w:tbl>
    <w:p w14:paraId="32759389">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5"/>
        <w:gridCol w:w="696"/>
        <w:gridCol w:w="625"/>
        <w:gridCol w:w="625"/>
        <w:gridCol w:w="627"/>
        <w:gridCol w:w="625"/>
        <w:gridCol w:w="625"/>
        <w:gridCol w:w="696"/>
        <w:gridCol w:w="776"/>
        <w:gridCol w:w="632"/>
        <w:gridCol w:w="632"/>
      </w:tblGrid>
      <w:tr w14:paraId="60A7D112">
        <w:tblPrEx>
          <w:tblCellMar>
            <w:top w:w="0" w:type="dxa"/>
            <w:left w:w="108" w:type="dxa"/>
            <w:bottom w:w="0" w:type="dxa"/>
            <w:right w:w="108" w:type="dxa"/>
          </w:tblCellMar>
        </w:tblPrEx>
        <w:tc>
          <w:tcPr>
            <w:tcW w:w="8848" w:type="dxa"/>
            <w:gridSpan w:val="14"/>
            <w:vAlign w:val="center"/>
          </w:tcPr>
          <w:p w14:paraId="45148652">
            <w:pPr>
              <w:jc w:val="center"/>
            </w:pPr>
            <w:r>
              <w:rPr>
                <w:rFonts w:ascii="宋体" w:hAnsi="宋体" w:eastAsia="宋体"/>
                <w:sz w:val="24"/>
              </w:rPr>
              <w:t>项目支出绩效自评表</w:t>
            </w:r>
          </w:p>
        </w:tc>
      </w:tr>
      <w:tr w14:paraId="180C99D0">
        <w:tblPrEx>
          <w:tblCellMar>
            <w:top w:w="0" w:type="dxa"/>
            <w:left w:w="108" w:type="dxa"/>
            <w:bottom w:w="0" w:type="dxa"/>
            <w:right w:w="108" w:type="dxa"/>
          </w:tblCellMar>
        </w:tblPrEx>
        <w:tc>
          <w:tcPr>
            <w:tcW w:w="8848" w:type="dxa"/>
            <w:gridSpan w:val="14"/>
            <w:vAlign w:val="center"/>
          </w:tcPr>
          <w:p w14:paraId="6DBFED06">
            <w:pPr>
              <w:jc w:val="center"/>
            </w:pPr>
            <w:r>
              <w:rPr>
                <w:rFonts w:ascii="宋体" w:hAnsi="宋体" w:eastAsia="宋体"/>
                <w:sz w:val="24"/>
              </w:rPr>
              <w:t>(2024年度)</w:t>
            </w:r>
          </w:p>
        </w:tc>
      </w:tr>
      <w:tr w14:paraId="2BC3C1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04AF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E334C3B">
            <w:pPr>
              <w:jc w:val="center"/>
            </w:pPr>
            <w:r>
              <w:rPr>
                <w:rFonts w:ascii="宋体" w:hAnsi="宋体" w:eastAsia="宋体"/>
                <w:sz w:val="16"/>
              </w:rPr>
              <w:t>生态环境监督管理运行项目</w:t>
            </w:r>
          </w:p>
        </w:tc>
      </w:tr>
      <w:tr w14:paraId="6B72EF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F5E2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F1EB80">
            <w:pPr>
              <w:jc w:val="center"/>
            </w:pPr>
            <w:r>
              <w:rPr>
                <w:rFonts w:ascii="宋体" w:hAnsi="宋体" w:eastAsia="宋体"/>
                <w:sz w:val="16"/>
              </w:rPr>
              <w:t>巴音郭楞蒙古自治州生态环境局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FC5D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8E2858">
            <w:pPr>
              <w:jc w:val="center"/>
            </w:pPr>
            <w:r>
              <w:rPr>
                <w:rFonts w:ascii="宋体" w:hAnsi="宋体" w:eastAsia="宋体"/>
                <w:sz w:val="16"/>
              </w:rPr>
              <w:t>巴音郭楞蒙古自治州生态环境局</w:t>
            </w:r>
          </w:p>
        </w:tc>
      </w:tr>
      <w:tr w14:paraId="54FE34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50682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324B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FA59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73DC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28B3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628D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C738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0E321">
            <w:pPr>
              <w:jc w:val="center"/>
            </w:pPr>
            <w:r>
              <w:rPr>
                <w:rFonts w:ascii="宋体" w:hAnsi="宋体" w:eastAsia="宋体"/>
                <w:sz w:val="16"/>
              </w:rPr>
              <w:t>得分</w:t>
            </w:r>
          </w:p>
        </w:tc>
      </w:tr>
      <w:tr w14:paraId="56BEBE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62E49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B50B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6FFBC">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D876B">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EFD6F">
            <w:pPr>
              <w:jc w:val="center"/>
            </w:pPr>
            <w:r>
              <w:rPr>
                <w:rFonts w:ascii="宋体" w:hAnsi="宋体" w:eastAsia="宋体"/>
                <w:sz w:val="16"/>
              </w:rPr>
              <w:t>99.99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626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72FF0">
            <w:pPr>
              <w:jc w:val="center"/>
            </w:pPr>
            <w:r>
              <w:rPr>
                <w:rFonts w:ascii="宋体" w:hAnsi="宋体" w:eastAsia="宋体"/>
                <w:sz w:val="16"/>
              </w:rPr>
              <w:t>99.99%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26ACF">
            <w:pPr>
              <w:jc w:val="center"/>
            </w:pPr>
            <w:r>
              <w:rPr>
                <w:rFonts w:ascii="宋体" w:hAnsi="宋体" w:eastAsia="宋体"/>
                <w:sz w:val="16"/>
              </w:rPr>
              <w:t>10.00</w:t>
            </w:r>
          </w:p>
        </w:tc>
      </w:tr>
      <w:tr w14:paraId="42EC8B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A01D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0208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A4DD1">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6BBF7">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187EC">
            <w:pPr>
              <w:jc w:val="center"/>
            </w:pPr>
            <w:r>
              <w:rPr>
                <w:rFonts w:ascii="宋体" w:hAnsi="宋体" w:eastAsia="宋体"/>
                <w:sz w:val="16"/>
              </w:rPr>
              <w:t>99.99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6264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369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E8E00">
            <w:pPr>
              <w:jc w:val="center"/>
            </w:pPr>
            <w:r>
              <w:rPr>
                <w:rFonts w:ascii="宋体" w:hAnsi="宋体" w:eastAsia="宋体"/>
                <w:sz w:val="16"/>
              </w:rPr>
              <w:t>-</w:t>
            </w:r>
          </w:p>
        </w:tc>
      </w:tr>
      <w:tr w14:paraId="73F0EA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55D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4FE2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760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692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411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1475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64A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92565">
            <w:pPr>
              <w:jc w:val="center"/>
            </w:pPr>
            <w:r>
              <w:rPr>
                <w:rFonts w:ascii="宋体" w:hAnsi="宋体" w:eastAsia="宋体"/>
                <w:sz w:val="16"/>
              </w:rPr>
              <w:t>-</w:t>
            </w:r>
          </w:p>
        </w:tc>
      </w:tr>
      <w:tr w14:paraId="3E2347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58B26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0C548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3F1ED3">
            <w:pPr>
              <w:jc w:val="center"/>
            </w:pPr>
            <w:r>
              <w:rPr>
                <w:rFonts w:ascii="宋体" w:hAnsi="宋体" w:eastAsia="宋体"/>
                <w:sz w:val="16"/>
              </w:rPr>
              <w:t>总体目标完成情况</w:t>
            </w:r>
          </w:p>
        </w:tc>
      </w:tr>
      <w:tr w14:paraId="044DAF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D678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5FFD49">
            <w:pPr>
              <w:jc w:val="both"/>
            </w:pPr>
            <w:r>
              <w:rPr>
                <w:rFonts w:ascii="宋体" w:hAnsi="宋体" w:eastAsia="宋体"/>
                <w:sz w:val="16"/>
              </w:rPr>
              <w:t>根据州</w:t>
            </w:r>
            <w:r>
              <w:rPr>
                <w:rFonts w:hint="eastAsia" w:ascii="宋体" w:hAnsi="宋体"/>
                <w:sz w:val="16"/>
                <w:lang w:eastAsia="zh-CN"/>
              </w:rPr>
              <w:t>党委、政府</w:t>
            </w:r>
            <w:r>
              <w:rPr>
                <w:rFonts w:ascii="宋体" w:hAnsi="宋体" w:eastAsia="宋体"/>
                <w:sz w:val="16"/>
              </w:rPr>
              <w:t>的安排部署，完整、准确、全面贯彻新发展理念，服务和融入新发展格局，深入推进环境污染防治，持续深入打好蓝天、碧水、净土保卫战，加快发展方式绿色转型，提升生态系统多样性、稳定性、持续性，稳妥推进碳达峰碳中和，促进全州生态环境质量持续改善。</w:t>
            </w:r>
            <w:r>
              <w:rPr>
                <w:rFonts w:ascii="宋体" w:hAnsi="宋体" w:eastAsia="宋体"/>
                <w:sz w:val="16"/>
              </w:rPr>
              <w:br w:type="textWrapping"/>
            </w:r>
            <w:r>
              <w:rPr>
                <w:rFonts w:ascii="宋体" w:hAnsi="宋体" w:eastAsia="宋体"/>
                <w:sz w:val="16"/>
              </w:rPr>
              <w:t>一是日常监督管理工作到位，组织单位人员对污染现场进行监督检查，加强环境质量日常监督考核，实现环境质量持续好转，大力推进实施空气质量提升行动；实施水污染防治行动；开展土壤污染防治行动；实施《自治州“十四五”土壤、地下水、农村生态环境保护规划》，完成典型行业用地调查。加强地下水污染防治；有序推动绿色低碳发展；强化生态环境保护修复监管；推进试点示范建设，持续组织开展生态文明建设示范区、 “绿水青山就是金山银山”实践创新基地等创建工作；加强生态环境监测与评价，全面完成环境质量监测、污染源监测与评价，提高综合分析能力，为领导决策和环境管理提供对策建议。</w:t>
            </w:r>
            <w:r>
              <w:rPr>
                <w:rFonts w:ascii="宋体" w:hAnsi="宋体" w:eastAsia="宋体"/>
                <w:sz w:val="16"/>
              </w:rPr>
              <w:br w:type="textWrapping"/>
            </w:r>
            <w:r>
              <w:rPr>
                <w:rFonts w:ascii="宋体" w:hAnsi="宋体" w:eastAsia="宋体"/>
                <w:sz w:val="16"/>
              </w:rPr>
              <w:t>二是保障2辆公务车辆正常运转得到保障，车辆燃油充足、车辆修理及时，各项工作能够正常开展；</w:t>
            </w:r>
            <w:r>
              <w:rPr>
                <w:rFonts w:ascii="宋体" w:hAnsi="宋体" w:eastAsia="宋体"/>
                <w:sz w:val="16"/>
              </w:rPr>
              <w:br w:type="textWrapping"/>
            </w:r>
            <w:r>
              <w:rPr>
                <w:rFonts w:ascii="宋体" w:hAnsi="宋体" w:eastAsia="宋体"/>
                <w:sz w:val="16"/>
              </w:rPr>
              <w:t>三是财务管理工作能够正常开展，在单位人员紧缺的情况下，通过第三方服务有效弥补短板；公众号正常运行。</w:t>
            </w:r>
            <w:r>
              <w:rPr>
                <w:rFonts w:ascii="宋体" w:hAnsi="宋体" w:eastAsia="宋体"/>
                <w:sz w:val="16"/>
              </w:rPr>
              <w:br w:type="textWrapping"/>
            </w:r>
            <w:r>
              <w:rPr>
                <w:rFonts w:ascii="宋体" w:hAnsi="宋体" w:eastAsia="宋体"/>
                <w:sz w:val="16"/>
              </w:rPr>
              <w:t>四是六五环境日主题宣传活动深入人心，通过主题宣传，群众的知晓率，参与率和环境保护意识有所提高。</w:t>
            </w:r>
            <w:r>
              <w:rPr>
                <w:rFonts w:ascii="宋体" w:hAnsi="宋体" w:eastAsia="宋体"/>
                <w:sz w:val="16"/>
              </w:rPr>
              <w:br w:type="textWrapping"/>
            </w:r>
            <w:r>
              <w:rPr>
                <w:rFonts w:ascii="宋体" w:hAnsi="宋体" w:eastAsia="宋体"/>
                <w:sz w:val="16"/>
              </w:rPr>
              <w:t>五是单位零星维修2次，单位18人正常开展工作；购买设备9台，网络安全责任得到落实。</w:t>
            </w:r>
            <w:r>
              <w:rPr>
                <w:rFonts w:ascii="宋体" w:hAnsi="宋体" w:eastAsia="宋体"/>
                <w:sz w:val="16"/>
              </w:rPr>
              <w:br w:type="textWrapping"/>
            </w:r>
            <w:r>
              <w:rPr>
                <w:rFonts w:ascii="宋体" w:hAnsi="宋体" w:eastAsia="宋体"/>
                <w:sz w:val="16"/>
              </w:rPr>
              <w:t>通过以上保障措施的落实，环境质量目标得到改善。</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E80866">
            <w:pPr>
              <w:jc w:val="both"/>
            </w:pPr>
            <w:r>
              <w:rPr>
                <w:rFonts w:ascii="宋体" w:hAnsi="宋体" w:eastAsia="宋体"/>
                <w:sz w:val="16"/>
              </w:rPr>
              <w:t>2024年，巴州生态环境局统筹抓好绿色低碳、污染防治、环境治理、督察整改等关键领域，取得了“低碳发展有突破、环境质量有改善、督察整改有实效、治理能力有提升”的成效，美丽巴州建设迈出坚实步伐。为确保全年工作任务顺利推进，完成全年投入本局工作人员13人，投入车辆2辆，委托第三</w:t>
            </w:r>
            <w:r>
              <w:rPr>
                <w:rFonts w:hint="eastAsia" w:ascii="宋体" w:hAnsi="宋体"/>
                <w:sz w:val="16"/>
                <w:lang w:eastAsia="zh-CN"/>
              </w:rPr>
              <w:t>方</w:t>
            </w:r>
            <w:r>
              <w:rPr>
                <w:rFonts w:ascii="宋体" w:hAnsi="宋体" w:eastAsia="宋体"/>
                <w:sz w:val="16"/>
              </w:rPr>
              <w:t>机构2家开展技术服务工作，</w:t>
            </w:r>
            <w:r>
              <w:rPr>
                <w:rFonts w:hint="eastAsia" w:ascii="宋体" w:hAnsi="宋体"/>
                <w:sz w:val="16"/>
                <w:lang w:eastAsia="zh-CN"/>
              </w:rPr>
              <w:t>举办</w:t>
            </w:r>
            <w:r>
              <w:rPr>
                <w:rFonts w:ascii="宋体" w:hAnsi="宋体" w:eastAsia="宋体"/>
                <w:sz w:val="16"/>
              </w:rPr>
              <w:t>专题宣传教育活动1场次，参加人员313人，对单位公共场所和设施维修2次，购置专用设备9台（套），基本完成年初目标任务。</w:t>
            </w:r>
          </w:p>
        </w:tc>
      </w:tr>
      <w:tr w14:paraId="5244BE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F8CAF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3EC1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ABE2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7CD1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D751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F428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4170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E47A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AD28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AAB9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48D0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818A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D55E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729A8">
            <w:pPr>
              <w:jc w:val="center"/>
            </w:pPr>
            <w:r>
              <w:rPr>
                <w:rFonts w:ascii="宋体" w:hAnsi="宋体" w:eastAsia="宋体"/>
                <w:sz w:val="16"/>
              </w:rPr>
              <w:t>偏差原因分析及改进措施</w:t>
            </w:r>
          </w:p>
        </w:tc>
      </w:tr>
      <w:tr w14:paraId="5A2DBA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8BD0F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35839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A2C38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DF000">
            <w:pPr>
              <w:jc w:val="center"/>
            </w:pPr>
            <w:r>
              <w:rPr>
                <w:rFonts w:ascii="宋体" w:hAnsi="宋体" w:eastAsia="宋体"/>
                <w:sz w:val="16"/>
              </w:rPr>
              <w:t>保障单位人员数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1085E">
            <w:pPr>
              <w:jc w:val="center"/>
            </w:pPr>
            <w:r>
              <w:rPr>
                <w:rFonts w:ascii="宋体" w:hAnsi="宋体" w:eastAsia="宋体"/>
                <w:sz w:val="16"/>
              </w:rPr>
              <w:t>&gt;=14人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D13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1B5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9026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F8D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8B9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2D5A8">
            <w:pPr>
              <w:jc w:val="center"/>
            </w:pPr>
            <w:r>
              <w:rPr>
                <w:rFonts w:ascii="宋体" w:hAnsi="宋体" w:eastAsia="宋体"/>
                <w:sz w:val="16"/>
              </w:rPr>
              <w:t>=13人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67524">
            <w:pPr>
              <w:jc w:val="center"/>
            </w:pPr>
            <w:r>
              <w:rPr>
                <w:rFonts w:ascii="宋体" w:hAnsi="宋体" w:eastAsia="宋体"/>
                <w:sz w:val="16"/>
              </w:rPr>
              <w:t>92.86%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38942">
            <w:pPr>
              <w:jc w:val="center"/>
            </w:pPr>
            <w:r>
              <w:rPr>
                <w:rFonts w:ascii="宋体" w:hAnsi="宋体" w:eastAsia="宋体"/>
                <w:sz w:val="16"/>
              </w:rPr>
              <w:t>4.11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8C463">
            <w:pPr>
              <w:jc w:val="center"/>
            </w:pPr>
            <w:r>
              <w:rPr>
                <w:rFonts w:ascii="宋体" w:hAnsi="宋体" w:eastAsia="宋体"/>
                <w:sz w:val="16"/>
              </w:rPr>
              <w:t>年中人员正常调动，较年初预算减少一人。在日后工作中人员数预算编制根据实际情况填报。</w:t>
            </w:r>
          </w:p>
        </w:tc>
      </w:tr>
      <w:tr w14:paraId="6B8F2C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B84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49D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87F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8B90F">
            <w:pPr>
              <w:jc w:val="center"/>
            </w:pPr>
            <w:r>
              <w:rPr>
                <w:rFonts w:ascii="宋体" w:hAnsi="宋体" w:eastAsia="宋体"/>
                <w:sz w:val="16"/>
              </w:rPr>
              <w:t>保障公务用车</w:t>
            </w:r>
            <w:r>
              <w:rPr>
                <w:rFonts w:hint="eastAsia" w:ascii="宋体" w:hAnsi="宋体"/>
                <w:sz w:val="16"/>
                <w:lang w:eastAsia="zh-CN"/>
              </w:rPr>
              <w:t>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8B70A">
            <w:pPr>
              <w:jc w:val="center"/>
            </w:pPr>
            <w:r>
              <w:rPr>
                <w:rFonts w:ascii="宋体" w:hAnsi="宋体" w:eastAsia="宋体"/>
                <w:sz w:val="16"/>
              </w:rPr>
              <w:t>&gt;=2辆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C88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80F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2180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BAA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328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8E8E5">
            <w:pPr>
              <w:jc w:val="center"/>
            </w:pPr>
            <w:r>
              <w:rPr>
                <w:rFonts w:ascii="宋体" w:hAnsi="宋体" w:eastAsia="宋体"/>
                <w:sz w:val="16"/>
              </w:rPr>
              <w: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604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E124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976C6">
            <w:pPr>
              <w:jc w:val="center"/>
            </w:pPr>
          </w:p>
        </w:tc>
      </w:tr>
      <w:tr w14:paraId="451F72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116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E6F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072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A32AC">
            <w:pPr>
              <w:jc w:val="center"/>
            </w:pPr>
            <w:r>
              <w:rPr>
                <w:rFonts w:ascii="宋体" w:hAnsi="宋体" w:eastAsia="宋体"/>
                <w:sz w:val="16"/>
              </w:rPr>
              <w:t>委托业务机构数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D3851">
            <w:pPr>
              <w:jc w:val="center"/>
            </w:pPr>
            <w:r>
              <w:rPr>
                <w:rFonts w:ascii="宋体" w:hAnsi="宋体" w:eastAsia="宋体"/>
                <w:sz w:val="16"/>
              </w:rPr>
              <w:t>&gt;=2家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E49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EF0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4E0E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59E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AA3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F3B84">
            <w:pPr>
              <w:jc w:val="center"/>
            </w:pPr>
            <w:r>
              <w:rPr>
                <w:rFonts w:ascii="宋体" w:hAnsi="宋体" w:eastAsia="宋体"/>
                <w:sz w:val="16"/>
              </w:rPr>
              <w: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425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96B2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43ED6">
            <w:pPr>
              <w:jc w:val="center"/>
            </w:pPr>
          </w:p>
        </w:tc>
      </w:tr>
      <w:tr w14:paraId="049D3D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1B4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895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9CE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82FD0">
            <w:pPr>
              <w:jc w:val="center"/>
            </w:pPr>
            <w:r>
              <w:rPr>
                <w:rFonts w:ascii="宋体" w:hAnsi="宋体" w:eastAsia="宋体"/>
                <w:sz w:val="16"/>
              </w:rPr>
              <w:t>举办宣传活动场次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86D81">
            <w:pPr>
              <w:jc w:val="center"/>
            </w:pPr>
            <w:r>
              <w:rPr>
                <w:rFonts w:ascii="宋体" w:hAnsi="宋体" w:eastAsia="宋体"/>
                <w:sz w:val="16"/>
              </w:rPr>
              <w:t>&gt;=1场次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DAD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90E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4B52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959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4DF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8CEB1">
            <w:pPr>
              <w:jc w:val="center"/>
            </w:pPr>
            <w:r>
              <w:rPr>
                <w:rFonts w:ascii="宋体" w:hAnsi="宋体" w:eastAsia="宋体"/>
                <w:sz w:val="16"/>
              </w:rPr>
              <w:t>=1场次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ED1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9B14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033CB">
            <w:pPr>
              <w:jc w:val="center"/>
            </w:pPr>
          </w:p>
        </w:tc>
      </w:tr>
      <w:tr w14:paraId="1B9144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AEF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EA3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96B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276D4">
            <w:pPr>
              <w:jc w:val="center"/>
            </w:pPr>
            <w:r>
              <w:rPr>
                <w:rFonts w:ascii="宋体" w:hAnsi="宋体" w:eastAsia="宋体"/>
                <w:sz w:val="16"/>
              </w:rPr>
              <w:t>零星维修次数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A3CDD">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65F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059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3E07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517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33C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C71C1">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B96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C493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C3D84">
            <w:pPr>
              <w:jc w:val="center"/>
            </w:pPr>
          </w:p>
        </w:tc>
      </w:tr>
      <w:tr w14:paraId="30E269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517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966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E17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9919A">
            <w:pPr>
              <w:jc w:val="center"/>
            </w:pPr>
            <w:r>
              <w:rPr>
                <w:rFonts w:ascii="宋体" w:hAnsi="宋体" w:eastAsia="宋体"/>
                <w:sz w:val="16"/>
              </w:rPr>
              <w:t>购置办公设备数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81E6D">
            <w:pPr>
              <w:jc w:val="center"/>
            </w:pPr>
            <w:r>
              <w:rPr>
                <w:rFonts w:ascii="宋体" w:hAnsi="宋体" w:eastAsia="宋体"/>
                <w:sz w:val="16"/>
              </w:rPr>
              <w:t>&gt;=9台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FCE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2C2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E6BE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57B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596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5A943">
            <w:pPr>
              <w:jc w:val="center"/>
            </w:pPr>
            <w:r>
              <w:rPr>
                <w:rFonts w:ascii="宋体" w:hAnsi="宋体" w:eastAsia="宋体"/>
                <w:sz w:val="16"/>
              </w:rPr>
              <w:t>=9台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6B0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5245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0CCE8">
            <w:pPr>
              <w:jc w:val="center"/>
            </w:pPr>
          </w:p>
        </w:tc>
      </w:tr>
      <w:tr w14:paraId="435A88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38D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A6B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281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4C347">
            <w:pPr>
              <w:jc w:val="center"/>
            </w:pPr>
            <w:r>
              <w:rPr>
                <w:rFonts w:ascii="宋体" w:hAnsi="宋体" w:eastAsia="宋体"/>
                <w:sz w:val="16"/>
              </w:rPr>
              <w:t>宣传活动举办天数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96361">
            <w:pPr>
              <w:jc w:val="center"/>
            </w:pPr>
            <w:r>
              <w:rPr>
                <w:rFonts w:ascii="宋体" w:hAnsi="宋体" w:eastAsia="宋体"/>
                <w:sz w:val="16"/>
              </w:rPr>
              <w:t>&gt;=1天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D3F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CBE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FDCB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D2C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C36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55C02">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BC1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4BE7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C99B1">
            <w:pPr>
              <w:jc w:val="center"/>
            </w:pPr>
          </w:p>
        </w:tc>
      </w:tr>
      <w:tr w14:paraId="7D9A6C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AFD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F859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491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4BC36">
            <w:pPr>
              <w:jc w:val="center"/>
            </w:pPr>
            <w:r>
              <w:rPr>
                <w:rFonts w:ascii="宋体" w:hAnsi="宋体" w:eastAsia="宋体"/>
                <w:sz w:val="16"/>
              </w:rPr>
              <w:t>参加宣传活动人数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CCB41">
            <w:pPr>
              <w:jc w:val="center"/>
            </w:pPr>
            <w:r>
              <w:rPr>
                <w:rFonts w:ascii="宋体" w:hAnsi="宋体" w:eastAsia="宋体"/>
                <w:sz w:val="16"/>
              </w:rPr>
              <w:t>&gt;=300人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A5C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BCA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3038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900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A44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4A49F">
            <w:pPr>
              <w:jc w:val="center"/>
            </w:pPr>
            <w:r>
              <w:rPr>
                <w:rFonts w:ascii="宋体" w:hAnsi="宋体" w:eastAsia="宋体"/>
                <w:sz w:val="16"/>
              </w:rPr>
              <w:t>=313人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64620">
            <w:pPr>
              <w:jc w:val="center"/>
            </w:pPr>
            <w:r>
              <w:rPr>
                <w:rFonts w:ascii="宋体" w:hAnsi="宋体" w:eastAsia="宋体"/>
                <w:sz w:val="16"/>
              </w:rPr>
              <w:t>104.33%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C57D8">
            <w:pPr>
              <w:jc w:val="center"/>
            </w:pPr>
            <w:r>
              <w:rPr>
                <w:rFonts w:ascii="宋体" w:hAnsi="宋体" w:eastAsia="宋体"/>
                <w:sz w:val="16"/>
              </w:rPr>
              <w:t>0.96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C8B60">
            <w:pPr>
              <w:jc w:val="center"/>
            </w:pPr>
            <w:r>
              <w:rPr>
                <w:rFonts w:ascii="宋体" w:hAnsi="宋体" w:eastAsia="宋体"/>
                <w:sz w:val="16"/>
              </w:rPr>
              <w:t>六五环境日宣传活动干部及群众参与率、积极性较高。</w:t>
            </w:r>
          </w:p>
        </w:tc>
      </w:tr>
      <w:tr w14:paraId="4BC05D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23C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F987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D7675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804F8">
            <w:pPr>
              <w:jc w:val="center"/>
            </w:pPr>
            <w:r>
              <w:rPr>
                <w:rFonts w:ascii="宋体" w:hAnsi="宋体" w:eastAsia="宋体"/>
                <w:sz w:val="16"/>
              </w:rPr>
              <w:t>零星维修合格率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5D48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FEF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B77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EBFB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184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D30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EBB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49C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6013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21A77">
            <w:pPr>
              <w:jc w:val="center"/>
            </w:pPr>
          </w:p>
        </w:tc>
      </w:tr>
      <w:tr w14:paraId="24146C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294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151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D92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0153C">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14B3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106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2D4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766B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FF7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972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30E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7A7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DFE9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2E798">
            <w:pPr>
              <w:jc w:val="center"/>
            </w:pPr>
          </w:p>
        </w:tc>
      </w:tr>
      <w:tr w14:paraId="535F49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55E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5B0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82F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D3FB2">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B443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D30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B01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3810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2F3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969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A95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05A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AA6B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874DD">
            <w:pPr>
              <w:jc w:val="center"/>
            </w:pPr>
          </w:p>
        </w:tc>
      </w:tr>
      <w:tr w14:paraId="074093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2D0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098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746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9B440">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D2B0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646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137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2F74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4BB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458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234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70F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81EF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2309B">
            <w:pPr>
              <w:jc w:val="center"/>
            </w:pPr>
          </w:p>
        </w:tc>
      </w:tr>
      <w:tr w14:paraId="12E70A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5F7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A4A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C2F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E5F0D">
            <w:pPr>
              <w:jc w:val="center"/>
            </w:pPr>
            <w:r>
              <w:rPr>
                <w:rFonts w:ascii="宋体" w:hAnsi="宋体" w:eastAsia="宋体"/>
                <w:sz w:val="16"/>
              </w:rPr>
              <w:t>委托业务合同履约率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E4BD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6D3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B54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EAB0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6CE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AB97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C89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D92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D9CD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85C38">
            <w:pPr>
              <w:jc w:val="center"/>
            </w:pPr>
          </w:p>
        </w:tc>
      </w:tr>
      <w:tr w14:paraId="156991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FF9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A2FC2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C2993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2E335">
            <w:pPr>
              <w:jc w:val="center"/>
            </w:pPr>
            <w:r>
              <w:rPr>
                <w:rFonts w:ascii="宋体" w:hAnsi="宋体" w:eastAsia="宋体"/>
                <w:sz w:val="16"/>
              </w:rPr>
              <w:t>公用经费支付及时率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DE16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813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B5A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A09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303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54E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CA7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A85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E499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019FB">
            <w:pPr>
              <w:jc w:val="center"/>
            </w:pPr>
          </w:p>
        </w:tc>
      </w:tr>
      <w:tr w14:paraId="2F5513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824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36D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EA44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FC82D">
            <w:pPr>
              <w:jc w:val="center"/>
            </w:pPr>
            <w:r>
              <w:rPr>
                <w:rFonts w:ascii="宋体" w:hAnsi="宋体" w:eastAsia="宋体"/>
                <w:sz w:val="16"/>
              </w:rPr>
              <w:t>零星维修按时完成率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6782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73D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F19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315F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78D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3CA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48A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4DD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0F14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23920">
            <w:pPr>
              <w:jc w:val="center"/>
            </w:pPr>
            <w:r>
              <w:rPr>
                <w:rFonts w:ascii="宋体" w:hAnsi="宋体" w:eastAsia="宋体"/>
                <w:sz w:val="16"/>
              </w:rPr>
              <w:t>年初纯净目标值低，维修工程按时完成。</w:t>
            </w:r>
          </w:p>
        </w:tc>
      </w:tr>
      <w:tr w14:paraId="1442A4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FDDF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73D5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04D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65BD1">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7B510">
            <w:pPr>
              <w:jc w:val="center"/>
            </w:pPr>
            <w:r>
              <w:rPr>
                <w:rFonts w:ascii="宋体" w:hAnsi="宋体" w:eastAsia="宋体"/>
                <w:sz w:val="16"/>
              </w:rPr>
              <w:t>2024年6月30日前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844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D59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2AA9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DCC8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DF4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C8F76">
            <w:pPr>
              <w:jc w:val="center"/>
            </w:pPr>
            <w:r>
              <w:rPr>
                <w:rFonts w:ascii="宋体" w:hAnsi="宋体" w:eastAsia="宋体"/>
                <w:sz w:val="16"/>
              </w:rPr>
              <w:t>2024年9月24日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13A1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6229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5A9C9">
            <w:pPr>
              <w:jc w:val="center"/>
            </w:pPr>
            <w:r>
              <w:rPr>
                <w:rFonts w:ascii="宋体" w:hAnsi="宋体" w:eastAsia="宋体"/>
                <w:sz w:val="16"/>
              </w:rPr>
              <w:t>年度采购计划发生变动，调整采购任务。在日后工作准确规划采购计划。</w:t>
            </w:r>
          </w:p>
        </w:tc>
      </w:tr>
      <w:tr w14:paraId="156D93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20F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183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FC3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5EC67">
            <w:pPr>
              <w:jc w:val="center"/>
            </w:pPr>
            <w:r>
              <w:rPr>
                <w:rFonts w:ascii="宋体" w:hAnsi="宋体" w:eastAsia="宋体"/>
                <w:sz w:val="16"/>
              </w:rPr>
              <w:t>宣传活动完成时间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056D5">
            <w:pPr>
              <w:jc w:val="center"/>
            </w:pPr>
            <w:r>
              <w:rPr>
                <w:rFonts w:ascii="宋体" w:hAnsi="宋体" w:eastAsia="宋体"/>
                <w:sz w:val="16"/>
              </w:rPr>
              <w:t>2024年6月5日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1F6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21D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A346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BB33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B36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37F32">
            <w:pPr>
              <w:jc w:val="center"/>
            </w:pPr>
            <w:r>
              <w:rPr>
                <w:rFonts w:ascii="宋体" w:hAnsi="宋体" w:eastAsia="宋体"/>
                <w:sz w:val="16"/>
              </w:rPr>
              <w:t>2024年6月3日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993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99C2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5E4BD">
            <w:pPr>
              <w:jc w:val="center"/>
            </w:pPr>
          </w:p>
        </w:tc>
      </w:tr>
      <w:tr w14:paraId="794949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6B72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8E53D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FC28E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2F3C9">
            <w:pPr>
              <w:jc w:val="center"/>
            </w:pPr>
            <w:r>
              <w:rPr>
                <w:rFonts w:ascii="宋体" w:hAnsi="宋体" w:eastAsia="宋体"/>
                <w:sz w:val="16"/>
              </w:rPr>
              <w:t>人均运转经费数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D6D49">
            <w:pPr>
              <w:jc w:val="center"/>
            </w:pPr>
            <w:r>
              <w:rPr>
                <w:rFonts w:ascii="宋体" w:hAnsi="宋体" w:eastAsia="宋体"/>
                <w:sz w:val="16"/>
              </w:rPr>
              <w:t>&lt;=2.92万元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A32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D33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056E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9A3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F3C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C8546">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C677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12E9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B1D7E">
            <w:pPr>
              <w:jc w:val="center"/>
            </w:pPr>
            <w:r>
              <w:rPr>
                <w:rFonts w:ascii="宋体" w:hAnsi="宋体" w:eastAsia="宋体"/>
                <w:sz w:val="16"/>
              </w:rPr>
              <w:t>一是全年人员减少；二是监督检查任务加大，支出增长。在日后工作及时了解人员变动及相关检查工作的开展次数。</w:t>
            </w:r>
          </w:p>
        </w:tc>
      </w:tr>
      <w:tr w14:paraId="656C3B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C40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524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05E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0A624">
            <w:pPr>
              <w:jc w:val="center"/>
            </w:pPr>
            <w:r>
              <w:rPr>
                <w:rFonts w:ascii="宋体" w:hAnsi="宋体" w:eastAsia="宋体"/>
                <w:sz w:val="16"/>
              </w:rPr>
              <w:t>委托业务费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8F16C">
            <w:pPr>
              <w:jc w:val="center"/>
            </w:pPr>
            <w:r>
              <w:rPr>
                <w:rFonts w:ascii="宋体" w:hAnsi="宋体" w:eastAsia="宋体"/>
                <w:sz w:val="16"/>
              </w:rPr>
              <w:t>&lt;=26万元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6F1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984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1F29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61F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A77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E1F0D">
            <w:pPr>
              <w:jc w:val="center"/>
            </w:pPr>
            <w:r>
              <w:rPr>
                <w:rFonts w:ascii="宋体" w:hAnsi="宋体" w:eastAsia="宋体"/>
                <w:sz w:val="16"/>
              </w:rPr>
              <w:t>=20.45万元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28561">
            <w:pPr>
              <w:jc w:val="center"/>
            </w:pPr>
            <w:r>
              <w:rPr>
                <w:rFonts w:ascii="宋体" w:hAnsi="宋体" w:eastAsia="宋体"/>
                <w:sz w:val="16"/>
              </w:rPr>
              <w:t>78.65%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F1C85">
            <w:pPr>
              <w:jc w:val="center"/>
            </w:pPr>
            <w:r>
              <w:rPr>
                <w:rFonts w:ascii="宋体" w:hAnsi="宋体" w:eastAsia="宋体"/>
                <w:sz w:val="16"/>
              </w:rPr>
              <w:t>2.33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4A833">
            <w:pPr>
              <w:jc w:val="center"/>
            </w:pPr>
            <w:r>
              <w:rPr>
                <w:rFonts w:ascii="宋体" w:hAnsi="宋体" w:eastAsia="宋体"/>
                <w:sz w:val="16"/>
              </w:rPr>
              <w:t>工作任务发生变化，委托费增多。在日后工作提前部署规划好本年度的委托工作。</w:t>
            </w:r>
          </w:p>
        </w:tc>
      </w:tr>
      <w:tr w14:paraId="3B520A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356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DD4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7B3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20B37">
            <w:pPr>
              <w:jc w:val="center"/>
            </w:pPr>
            <w:r>
              <w:rPr>
                <w:rFonts w:ascii="宋体" w:hAnsi="宋体" w:eastAsia="宋体"/>
                <w:sz w:val="16"/>
              </w:rPr>
              <w:t>宣传活动成本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37A5F">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F73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840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5B44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D37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A9C3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C67FA">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CAE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6805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67F99">
            <w:pPr>
              <w:jc w:val="center"/>
            </w:pPr>
          </w:p>
        </w:tc>
      </w:tr>
      <w:tr w14:paraId="73A95D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85B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BFDD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BB52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76662">
            <w:pPr>
              <w:jc w:val="center"/>
            </w:pPr>
            <w:r>
              <w:rPr>
                <w:rFonts w:ascii="宋体" w:hAnsi="宋体" w:eastAsia="宋体"/>
                <w:sz w:val="16"/>
              </w:rPr>
              <w:t>零星维修成本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E0670">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4BE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EAD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92F1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28D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A9F0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237B3">
            <w:pPr>
              <w:jc w:val="center"/>
            </w:pPr>
            <w:r>
              <w:rPr>
                <w:rFonts w:ascii="宋体" w:hAnsi="宋体" w:eastAsia="宋体"/>
                <w:sz w:val="16"/>
              </w:rPr>
              <w:t>=21.4万元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B98D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0AF5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F316E">
            <w:pPr>
              <w:jc w:val="center"/>
            </w:pPr>
            <w:r>
              <w:rPr>
                <w:rFonts w:ascii="宋体" w:hAnsi="宋体" w:eastAsia="宋体"/>
                <w:sz w:val="16"/>
              </w:rPr>
              <w:t>维修内容发生变化，超预算额度，在日后工作中按实际情况进行预算编制</w:t>
            </w:r>
          </w:p>
        </w:tc>
      </w:tr>
      <w:tr w14:paraId="2919C9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DD1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F67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CAF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E58DF">
            <w:pPr>
              <w:jc w:val="center"/>
            </w:pPr>
            <w:r>
              <w:rPr>
                <w:rFonts w:ascii="宋体" w:hAnsi="宋体" w:eastAsia="宋体"/>
                <w:sz w:val="16"/>
              </w:rPr>
              <w:t>设备采购成本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650B0">
            <w:pPr>
              <w:jc w:val="center"/>
            </w:pPr>
            <w:r>
              <w:rPr>
                <w:rFonts w:ascii="宋体" w:hAnsi="宋体" w:eastAsia="宋体"/>
                <w:sz w:val="16"/>
              </w:rPr>
              <w:t>&lt;=9万元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D2E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0E1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9C68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FE1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8A7B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D0C55">
            <w:pPr>
              <w:jc w:val="center"/>
            </w:pPr>
            <w:r>
              <w:rPr>
                <w:rFonts w:ascii="宋体" w:hAnsi="宋体" w:eastAsia="宋体"/>
                <w:sz w:val="16"/>
              </w:rPr>
              <w:t>=8.55万元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89BD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DD087">
            <w:pPr>
              <w:jc w:val="center"/>
            </w:pPr>
            <w:r>
              <w:rPr>
                <w:rFonts w:ascii="宋体" w:hAnsi="宋体" w:eastAsia="宋体"/>
                <w:sz w:val="16"/>
              </w:rPr>
              <w:t>1.75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A0D02">
            <w:pPr>
              <w:jc w:val="center"/>
            </w:pPr>
            <w:r>
              <w:rPr>
                <w:rFonts w:ascii="宋体" w:hAnsi="宋体" w:eastAsia="宋体"/>
                <w:sz w:val="16"/>
              </w:rPr>
              <w:t>采购计划发生变化，因旧设备还能使用，并未购买新设备。在日后工作及时了解设备的使用情况，根据实际情况进行采买设备。</w:t>
            </w:r>
          </w:p>
        </w:tc>
      </w:tr>
      <w:tr w14:paraId="29A3A0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61DA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414CF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11411">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B43C0">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2723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3C7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07B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8458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5B9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2CA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6D1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5C2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CFEB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B535B">
            <w:pPr>
              <w:jc w:val="center"/>
            </w:pPr>
          </w:p>
        </w:tc>
      </w:tr>
      <w:tr w14:paraId="39C30A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E4E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1C5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6C9D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700C3">
            <w:pPr>
              <w:jc w:val="center"/>
            </w:pPr>
            <w:r>
              <w:rPr>
                <w:rFonts w:ascii="宋体" w:hAnsi="宋体" w:eastAsia="宋体"/>
                <w:sz w:val="16"/>
              </w:rPr>
              <w:t>生态环境管理水平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EDC21">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3A9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542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7AE8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7B8F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12E1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1E7F7">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CC2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EABC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B1262">
            <w:pPr>
              <w:jc w:val="center"/>
            </w:pPr>
          </w:p>
        </w:tc>
      </w:tr>
      <w:tr w14:paraId="31A09A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66B9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F4441E">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03055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00C13">
            <w:pPr>
              <w:jc w:val="center"/>
            </w:pPr>
            <w:r>
              <w:rPr>
                <w:rFonts w:ascii="宋体" w:hAnsi="宋体" w:eastAsia="宋体"/>
                <w:sz w:val="16"/>
              </w:rPr>
              <w:t>参加活动人员满意率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4FD1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9D0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A3C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1A5E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5022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5A7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E06F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2F8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23EC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7BEB8">
            <w:pPr>
              <w:jc w:val="center"/>
            </w:pPr>
          </w:p>
        </w:tc>
      </w:tr>
      <w:tr w14:paraId="1B9447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117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E73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D0A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D7DBC">
            <w:pPr>
              <w:jc w:val="center"/>
            </w:pPr>
            <w:r>
              <w:rPr>
                <w:rFonts w:ascii="宋体" w:hAnsi="宋体" w:eastAsia="宋体"/>
                <w:sz w:val="16"/>
              </w:rPr>
              <w:t>使用人员满意率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6E9B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65C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282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7BC5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8E76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2C7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41A6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EFE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04E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F01F1">
            <w:pPr>
              <w:jc w:val="center"/>
            </w:pPr>
          </w:p>
        </w:tc>
      </w:tr>
      <w:tr w14:paraId="1F2A6BD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EDAAFC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F1A6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84417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6610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198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CC7C1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42F2E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FC91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04FC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FAEDC">
            <w:pPr>
              <w:jc w:val="center"/>
            </w:pPr>
            <w:r>
              <w:rPr>
                <w:rFonts w:ascii="宋体" w:hAnsi="宋体" w:eastAsia="宋体"/>
                <w:sz w:val="16"/>
              </w:rPr>
              <w:t>84.15分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D5028F"/>
        </w:tc>
      </w:tr>
    </w:tbl>
    <w:p w14:paraId="35C346B9">
      <w:r>
        <w:br w:type="page"/>
      </w:r>
    </w:p>
    <w:p w14:paraId="1B987BA8">
      <w:pPr>
        <w:spacing w:line="640" w:lineRule="exact"/>
        <w:ind w:firstLine="640"/>
        <w:jc w:val="both"/>
        <w:outlineLvl w:val="2"/>
      </w:pPr>
      <w:r>
        <w:rPr>
          <w:rFonts w:ascii="黑体" w:hAnsi="黑体" w:eastAsia="黑体"/>
          <w:sz w:val="32"/>
        </w:rPr>
        <w:t>十二、其他需说明的事项</w:t>
      </w:r>
    </w:p>
    <w:p w14:paraId="40F27F90">
      <w:pPr>
        <w:spacing w:line="580" w:lineRule="exact"/>
        <w:ind w:firstLine="640"/>
        <w:jc w:val="both"/>
      </w:pPr>
      <w:r>
        <w:rPr>
          <w:rFonts w:hint="eastAsia" w:ascii="仿宋_GB2312" w:hAnsi="仿宋_GB2312" w:eastAsia="仿宋_GB2312"/>
          <w:b w:val="0"/>
          <w:sz w:val="32"/>
        </w:rPr>
        <w:t>本年度本单位整体绩效自评表由主管部门编报并公开</w:t>
      </w:r>
      <w:r>
        <w:rPr>
          <w:rFonts w:ascii="仿宋_GB2312" w:hAnsi="仿宋_GB2312" w:eastAsia="仿宋_GB2312"/>
          <w:b w:val="0"/>
          <w:sz w:val="32"/>
        </w:rPr>
        <w:t>。</w:t>
      </w:r>
    </w:p>
    <w:p w14:paraId="7C293F68">
      <w:r>
        <w:br w:type="page"/>
      </w:r>
    </w:p>
    <w:p w14:paraId="33B288C4">
      <w:pPr>
        <w:spacing w:line="240" w:lineRule="auto"/>
        <w:jc w:val="center"/>
        <w:outlineLvl w:val="1"/>
      </w:pPr>
      <w:r>
        <w:rPr>
          <w:rFonts w:ascii="黑体" w:hAnsi="黑体" w:eastAsia="黑体"/>
          <w:sz w:val="32"/>
        </w:rPr>
        <w:t>第三部分 专业名词解释</w:t>
      </w:r>
    </w:p>
    <w:p w14:paraId="0E63A13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0B087B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894E35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D126602">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647629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4439FF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7FB4EF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E58DD2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E41CDA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75749B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989FAB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EC7EF1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6DAF58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003E51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C50D1DC">
      <w:r>
        <w:br w:type="page"/>
      </w:r>
    </w:p>
    <w:p w14:paraId="20EDF2CB">
      <w:pPr>
        <w:spacing w:line="240" w:lineRule="auto"/>
        <w:jc w:val="center"/>
        <w:outlineLvl w:val="1"/>
      </w:pPr>
      <w:r>
        <w:rPr>
          <w:rFonts w:ascii="黑体" w:hAnsi="黑体" w:eastAsia="黑体"/>
          <w:sz w:val="32"/>
        </w:rPr>
        <w:t>第四部分 部门决算报表（见附表）</w:t>
      </w:r>
    </w:p>
    <w:p w14:paraId="1228463E">
      <w:pPr>
        <w:spacing w:line="240" w:lineRule="auto"/>
        <w:ind w:firstLine="640"/>
        <w:jc w:val="both"/>
      </w:pPr>
      <w:r>
        <w:rPr>
          <w:rFonts w:ascii="仿宋_GB2312" w:hAnsi="仿宋_GB2312" w:eastAsia="仿宋_GB2312"/>
          <w:b w:val="0"/>
          <w:sz w:val="32"/>
        </w:rPr>
        <w:t>一、《收入支出决算总表》</w:t>
      </w:r>
    </w:p>
    <w:p w14:paraId="4ED25240">
      <w:pPr>
        <w:spacing w:line="240" w:lineRule="auto"/>
        <w:ind w:firstLine="640"/>
        <w:jc w:val="both"/>
      </w:pPr>
      <w:r>
        <w:rPr>
          <w:rFonts w:ascii="仿宋_GB2312" w:hAnsi="仿宋_GB2312" w:eastAsia="仿宋_GB2312"/>
          <w:b w:val="0"/>
          <w:sz w:val="32"/>
        </w:rPr>
        <w:t>二、《收入决算表》</w:t>
      </w:r>
    </w:p>
    <w:p w14:paraId="19603173">
      <w:pPr>
        <w:spacing w:line="240" w:lineRule="auto"/>
        <w:ind w:firstLine="640"/>
        <w:jc w:val="both"/>
      </w:pPr>
      <w:r>
        <w:rPr>
          <w:rFonts w:ascii="仿宋_GB2312" w:hAnsi="仿宋_GB2312" w:eastAsia="仿宋_GB2312"/>
          <w:b w:val="0"/>
          <w:sz w:val="32"/>
        </w:rPr>
        <w:t>三、《支出决算表》</w:t>
      </w:r>
    </w:p>
    <w:p w14:paraId="5CA1DAF9">
      <w:pPr>
        <w:spacing w:line="240" w:lineRule="auto"/>
        <w:ind w:firstLine="640"/>
        <w:jc w:val="both"/>
      </w:pPr>
      <w:r>
        <w:rPr>
          <w:rFonts w:ascii="仿宋_GB2312" w:hAnsi="仿宋_GB2312" w:eastAsia="仿宋_GB2312"/>
          <w:b w:val="0"/>
          <w:sz w:val="32"/>
        </w:rPr>
        <w:t>四、《财政拨款收入支出决算总表》</w:t>
      </w:r>
    </w:p>
    <w:p w14:paraId="71DDE730">
      <w:pPr>
        <w:spacing w:line="240" w:lineRule="auto"/>
        <w:ind w:firstLine="640"/>
        <w:jc w:val="both"/>
      </w:pPr>
      <w:r>
        <w:rPr>
          <w:rFonts w:ascii="仿宋_GB2312" w:hAnsi="仿宋_GB2312" w:eastAsia="仿宋_GB2312"/>
          <w:b w:val="0"/>
          <w:sz w:val="32"/>
        </w:rPr>
        <w:t>五、《一般公共预算财政拨款支出决算表》</w:t>
      </w:r>
    </w:p>
    <w:p w14:paraId="3BC6D5A1">
      <w:pPr>
        <w:spacing w:line="240" w:lineRule="auto"/>
        <w:ind w:firstLine="640"/>
        <w:jc w:val="both"/>
      </w:pPr>
      <w:r>
        <w:rPr>
          <w:rFonts w:ascii="仿宋_GB2312" w:hAnsi="仿宋_GB2312" w:eastAsia="仿宋_GB2312"/>
          <w:b w:val="0"/>
          <w:sz w:val="32"/>
        </w:rPr>
        <w:t>六、《一般公共预算财政拨款基本支出决算表》</w:t>
      </w:r>
    </w:p>
    <w:p w14:paraId="3BB60E48">
      <w:pPr>
        <w:spacing w:line="240" w:lineRule="auto"/>
        <w:ind w:firstLine="640"/>
        <w:jc w:val="both"/>
      </w:pPr>
      <w:r>
        <w:rPr>
          <w:rFonts w:ascii="仿宋_GB2312" w:hAnsi="仿宋_GB2312" w:eastAsia="仿宋_GB2312"/>
          <w:b w:val="0"/>
          <w:sz w:val="32"/>
        </w:rPr>
        <w:t>七、《政府性基金预算财政拨款收入支出决算表》</w:t>
      </w:r>
    </w:p>
    <w:p w14:paraId="134223C1">
      <w:pPr>
        <w:spacing w:line="240" w:lineRule="auto"/>
        <w:ind w:firstLine="640"/>
        <w:jc w:val="both"/>
      </w:pPr>
      <w:r>
        <w:rPr>
          <w:rFonts w:ascii="仿宋_GB2312" w:hAnsi="仿宋_GB2312" w:eastAsia="仿宋_GB2312"/>
          <w:b w:val="0"/>
          <w:sz w:val="32"/>
        </w:rPr>
        <w:t>八、《国有资本经营预算财政拨款收入支出决算表》</w:t>
      </w:r>
    </w:p>
    <w:p w14:paraId="1D51B6DA">
      <w:pPr>
        <w:spacing w:line="240" w:lineRule="auto"/>
        <w:ind w:firstLine="640"/>
        <w:jc w:val="both"/>
      </w:pPr>
      <w:r>
        <w:rPr>
          <w:rFonts w:ascii="仿宋_GB2312" w:hAnsi="仿宋_GB2312" w:eastAsia="仿宋_GB2312"/>
          <w:b w:val="0"/>
          <w:sz w:val="32"/>
        </w:rPr>
        <w:t>九、《财政拨款“三公”经费支出决算表》</w:t>
      </w:r>
    </w:p>
    <w:p w14:paraId="747F2735">
      <w:pPr>
        <w:spacing w:line="240" w:lineRule="auto"/>
        <w:ind w:firstLine="640"/>
        <w:jc w:val="both"/>
      </w:pPr>
    </w:p>
    <w:p w14:paraId="6348063B">
      <w:pPr>
        <w:spacing w:line="240" w:lineRule="auto"/>
        <w:ind w:firstLine="640"/>
        <w:jc w:val="both"/>
      </w:pPr>
    </w:p>
    <w:p w14:paraId="0EDEA60F">
      <w:pPr>
        <w:spacing w:line="240" w:lineRule="auto"/>
        <w:ind w:firstLine="640"/>
        <w:jc w:val="both"/>
      </w:pPr>
    </w:p>
    <w:p w14:paraId="2F1FDF36">
      <w:pPr>
        <w:spacing w:line="240" w:lineRule="auto"/>
        <w:ind w:firstLine="640"/>
        <w:jc w:val="both"/>
      </w:pPr>
    </w:p>
    <w:p w14:paraId="0C42C40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DC154FE"/>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DB02FBB"/>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3747FD3"/>
    <w:rsid w:val="65D97752"/>
    <w:rsid w:val="664C500C"/>
    <w:rsid w:val="67D111AB"/>
    <w:rsid w:val="68DB0208"/>
    <w:rsid w:val="68DF36D5"/>
    <w:rsid w:val="69846A0E"/>
    <w:rsid w:val="69AD798C"/>
    <w:rsid w:val="6B68175F"/>
    <w:rsid w:val="6B8B5C99"/>
    <w:rsid w:val="6CA7198F"/>
    <w:rsid w:val="6CBF6EF4"/>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6815</Words>
  <Characters>7582</Characters>
  <Lines>0</Lines>
  <Paragraphs>0</Paragraphs>
  <TotalTime>3</TotalTime>
  <ScaleCrop>false</ScaleCrop>
  <LinksUpToDate>false</LinksUpToDate>
  <CharactersWithSpaces>7590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2025-09-11T09:40:28Z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