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70481F4"/>
    <w:p w14:paraId="439B85D9">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360A1479">
      <w:pPr>
        <w:spacing w:line="540" w:lineRule="exact"/>
        <w:jc w:val="center"/>
        <w:rPr>
          <w:rFonts w:ascii="华文中宋" w:hAnsi="华文中宋" w:eastAsia="华文中宋" w:cs="宋体"/>
          <w:b/>
          <w:kern w:val="0"/>
          <w:sz w:val="52"/>
          <w:szCs w:val="52"/>
        </w:rPr>
      </w:pPr>
    </w:p>
    <w:p w14:paraId="3A1DA284">
      <w:pPr>
        <w:spacing w:line="540" w:lineRule="exact"/>
        <w:jc w:val="center"/>
        <w:rPr>
          <w:rFonts w:ascii="华文中宋" w:hAnsi="华文中宋" w:eastAsia="华文中宋" w:cs="宋体"/>
          <w:b/>
          <w:kern w:val="0"/>
          <w:sz w:val="52"/>
          <w:szCs w:val="52"/>
        </w:rPr>
      </w:pPr>
    </w:p>
    <w:p w14:paraId="6EED1D83">
      <w:pPr>
        <w:spacing w:line="540" w:lineRule="exact"/>
        <w:jc w:val="center"/>
        <w:rPr>
          <w:rFonts w:ascii="华文中宋" w:hAnsi="华文中宋" w:eastAsia="华文中宋" w:cs="宋体"/>
          <w:b/>
          <w:kern w:val="0"/>
          <w:sz w:val="52"/>
          <w:szCs w:val="52"/>
        </w:rPr>
      </w:pPr>
    </w:p>
    <w:p w14:paraId="337540E7">
      <w:pPr>
        <w:spacing w:line="540" w:lineRule="exact"/>
        <w:jc w:val="center"/>
        <w:rPr>
          <w:rFonts w:ascii="华文中宋" w:hAnsi="华文中宋" w:eastAsia="华文中宋" w:cs="宋体"/>
          <w:b/>
          <w:kern w:val="0"/>
          <w:sz w:val="52"/>
          <w:szCs w:val="52"/>
        </w:rPr>
      </w:pPr>
    </w:p>
    <w:p w14:paraId="5E2CB021">
      <w:pPr>
        <w:spacing w:line="540" w:lineRule="exact"/>
        <w:jc w:val="center"/>
        <w:rPr>
          <w:rFonts w:ascii="华文中宋" w:hAnsi="华文中宋" w:eastAsia="华文中宋" w:cs="宋体"/>
          <w:b/>
          <w:kern w:val="0"/>
          <w:sz w:val="52"/>
          <w:szCs w:val="52"/>
        </w:rPr>
      </w:pPr>
    </w:p>
    <w:p w14:paraId="3E738ADE">
      <w:pPr>
        <w:spacing w:line="540" w:lineRule="exact"/>
        <w:jc w:val="center"/>
        <w:rPr>
          <w:rFonts w:ascii="华文中宋" w:hAnsi="华文中宋" w:eastAsia="华文中宋" w:cs="宋体"/>
          <w:b/>
          <w:kern w:val="0"/>
          <w:sz w:val="52"/>
          <w:szCs w:val="52"/>
        </w:rPr>
      </w:pPr>
    </w:p>
    <w:p w14:paraId="44E806B6">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14:paraId="768ABFFA">
      <w:pPr>
        <w:spacing w:line="540" w:lineRule="exact"/>
        <w:jc w:val="center"/>
        <w:rPr>
          <w:rFonts w:ascii="华文中宋" w:hAnsi="华文中宋" w:eastAsia="华文中宋" w:cs="宋体"/>
          <w:b/>
          <w:kern w:val="0"/>
          <w:sz w:val="52"/>
          <w:szCs w:val="52"/>
        </w:rPr>
      </w:pPr>
    </w:p>
    <w:p w14:paraId="40DDD594">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9"/>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5A67477A">
      <w:pPr>
        <w:spacing w:line="540" w:lineRule="exact"/>
        <w:jc w:val="center"/>
        <w:rPr>
          <w:rFonts w:hAnsi="宋体" w:eastAsia="仿宋_GB2312" w:cs="宋体"/>
          <w:kern w:val="0"/>
          <w:sz w:val="30"/>
          <w:szCs w:val="30"/>
        </w:rPr>
      </w:pPr>
    </w:p>
    <w:p w14:paraId="2946795E">
      <w:pPr>
        <w:spacing w:line="540" w:lineRule="exact"/>
        <w:jc w:val="center"/>
        <w:rPr>
          <w:rFonts w:hAnsi="宋体" w:eastAsia="仿宋_GB2312" w:cs="宋体"/>
          <w:kern w:val="0"/>
          <w:sz w:val="30"/>
          <w:szCs w:val="30"/>
        </w:rPr>
      </w:pPr>
    </w:p>
    <w:p w14:paraId="66A82D4A">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14:paraId="46CF623F">
      <w:pPr>
        <w:spacing w:line="540" w:lineRule="exact"/>
        <w:jc w:val="center"/>
        <w:rPr>
          <w:rFonts w:hAnsi="宋体" w:eastAsia="仿宋_GB2312" w:cs="宋体"/>
          <w:kern w:val="0"/>
          <w:sz w:val="30"/>
          <w:szCs w:val="30"/>
        </w:rPr>
      </w:pPr>
    </w:p>
    <w:p w14:paraId="58391989">
      <w:pPr>
        <w:spacing w:line="540" w:lineRule="exact"/>
        <w:jc w:val="center"/>
        <w:rPr>
          <w:rFonts w:hAnsi="宋体" w:eastAsia="仿宋_GB2312" w:cs="宋体"/>
          <w:kern w:val="0"/>
          <w:sz w:val="30"/>
          <w:szCs w:val="30"/>
        </w:rPr>
      </w:pPr>
    </w:p>
    <w:p w14:paraId="51674EA4">
      <w:pPr>
        <w:spacing w:line="540" w:lineRule="exact"/>
        <w:jc w:val="center"/>
        <w:rPr>
          <w:rFonts w:hAnsi="宋体" w:eastAsia="仿宋_GB2312" w:cs="宋体"/>
          <w:kern w:val="0"/>
          <w:sz w:val="30"/>
          <w:szCs w:val="30"/>
        </w:rPr>
      </w:pPr>
    </w:p>
    <w:p w14:paraId="1FB16A04">
      <w:pPr>
        <w:spacing w:line="540" w:lineRule="exact"/>
        <w:rPr>
          <w:rFonts w:hAnsi="宋体" w:eastAsia="仿宋_GB2312" w:cs="宋体"/>
          <w:kern w:val="0"/>
          <w:sz w:val="30"/>
          <w:szCs w:val="30"/>
        </w:rPr>
      </w:pPr>
    </w:p>
    <w:p w14:paraId="37247219">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190FAF8D">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9"/>
          <w:rFonts w:hint="eastAsia" w:ascii="楷体" w:hAnsi="楷体" w:eastAsia="楷体"/>
          <w:spacing w:val="-4"/>
          <w:sz w:val="32"/>
          <w:szCs w:val="32"/>
        </w:rPr>
        <w:t>州域生态环境监测项目</w:t>
      </w:r>
    </w:p>
    <w:p w14:paraId="6D5A4AB6">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9"/>
          <w:rFonts w:hint="eastAsia" w:ascii="楷体" w:hAnsi="楷体" w:eastAsia="楷体"/>
          <w:spacing w:val="-4"/>
          <w:sz w:val="28"/>
          <w:szCs w:val="28"/>
          <w:lang w:eastAsia="zh-CN"/>
        </w:rPr>
        <w:t>巴音郭楞蒙古自治州</w:t>
      </w:r>
      <w:r>
        <w:rPr>
          <w:rStyle w:val="19"/>
          <w:rFonts w:hint="eastAsia" w:ascii="楷体" w:hAnsi="楷体" w:eastAsia="楷体"/>
          <w:spacing w:val="-4"/>
          <w:sz w:val="28"/>
          <w:szCs w:val="28"/>
        </w:rPr>
        <w:t>生态环境局库尉轮联合监测站</w:t>
      </w:r>
    </w:p>
    <w:p w14:paraId="31C55AB3">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9"/>
          <w:rFonts w:hint="eastAsia" w:ascii="楷体" w:hAnsi="楷体" w:eastAsia="楷体"/>
          <w:spacing w:val="-4"/>
          <w:sz w:val="28"/>
          <w:szCs w:val="28"/>
          <w:lang w:eastAsia="zh-CN"/>
        </w:rPr>
        <w:t>巴音郭楞蒙古自治州</w:t>
      </w:r>
      <w:r>
        <w:rPr>
          <w:rStyle w:val="19"/>
          <w:rFonts w:hint="eastAsia" w:ascii="楷体" w:hAnsi="楷体" w:eastAsia="楷体"/>
          <w:spacing w:val="-4"/>
          <w:sz w:val="28"/>
          <w:szCs w:val="28"/>
        </w:rPr>
        <w:t>生态环境局库尉轮联合监测站</w:t>
      </w:r>
    </w:p>
    <w:p w14:paraId="57973DEF">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9"/>
          <w:rFonts w:hint="eastAsia" w:ascii="楷体" w:hAnsi="楷体" w:eastAsia="楷体"/>
          <w:spacing w:val="-4"/>
          <w:sz w:val="32"/>
          <w:szCs w:val="32"/>
        </w:rPr>
        <w:t>青格勒</w:t>
      </w:r>
      <w:bookmarkStart w:id="0" w:name="_GoBack"/>
      <w:bookmarkEnd w:id="0"/>
    </w:p>
    <w:p w14:paraId="2E3A3333">
      <w:pPr>
        <w:spacing w:line="540" w:lineRule="exact"/>
        <w:ind w:left="273" w:firstLine="567"/>
        <w:rPr>
          <w:rStyle w:val="19"/>
          <w:rFonts w:ascii="楷体" w:hAnsi="楷体" w:eastAsia="楷体"/>
          <w:spacing w:val="-4"/>
          <w:sz w:val="32"/>
          <w:szCs w:val="32"/>
        </w:rPr>
      </w:pPr>
      <w:r>
        <w:rPr>
          <w:rFonts w:hint="eastAsia" w:hAnsi="宋体" w:eastAsia="仿宋_GB2312" w:cs="宋体"/>
          <w:kern w:val="0"/>
          <w:sz w:val="36"/>
          <w:szCs w:val="36"/>
        </w:rPr>
        <w:t>填报时间：</w:t>
      </w:r>
      <w:r>
        <w:rPr>
          <w:rStyle w:val="19"/>
          <w:rFonts w:hint="eastAsia" w:ascii="楷体" w:hAnsi="楷体" w:eastAsia="楷体"/>
          <w:spacing w:val="-4"/>
          <w:sz w:val="32"/>
          <w:szCs w:val="32"/>
        </w:rPr>
        <w:t>2025年04月01日</w:t>
      </w:r>
    </w:p>
    <w:p w14:paraId="254D97D4">
      <w:pPr>
        <w:spacing w:line="700" w:lineRule="exact"/>
        <w:ind w:firstLine="708" w:firstLineChars="236"/>
        <w:jc w:val="left"/>
        <w:rPr>
          <w:rFonts w:hAnsi="宋体" w:eastAsia="仿宋_GB2312" w:cs="宋体"/>
          <w:kern w:val="0"/>
          <w:sz w:val="30"/>
          <w:szCs w:val="30"/>
        </w:rPr>
      </w:pPr>
    </w:p>
    <w:p w14:paraId="5AF02703">
      <w:pPr>
        <w:spacing w:line="540" w:lineRule="exact"/>
        <w:rPr>
          <w:rStyle w:val="19"/>
          <w:rFonts w:ascii="黑体" w:hAnsi="黑体" w:eastAsia="黑体"/>
          <w:b w:val="0"/>
          <w:spacing w:val="-4"/>
          <w:sz w:val="32"/>
          <w:szCs w:val="32"/>
        </w:rPr>
      </w:pPr>
    </w:p>
    <w:p w14:paraId="3CA89103">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一、基本情况</w:t>
      </w:r>
    </w:p>
    <w:p w14:paraId="59ACE60C">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（一）项目概况。包括项目背景、主要内容及实施情况、资金投入和使用情况等。</w:t>
      </w:r>
    </w:p>
    <w:p w14:paraId="08335924">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1.项目背景</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为认真贯彻落实生态环境部《关于推进生态环境监测体系与监测能力现代化的若干意见》中“2025年前，区县监测机构应具备有效开展行政区域内执法监测和应急监测的能力”相关要求，立足巴州区域特点，我州顺应自治区生态环境监测体制机制改革要求，在州党委、政府的大力支持下，于2021年成立了巴州生态环境局库尉轮联合监测站。为推动巴州生态环境事业迅速形成监测、监管、执法合力，库尉轮联合监测站按照《全国环境监测站建设标准》（环发〔2007〕56号）中“生态环境监测站西部区域三级标准”,库尉轮联合监测站对水、气、土壤、噪声监测能力可基本满足区域生态环境执法监测工作需要，有了监测运行费用的保障，库尉轮联合监测站将努力打造成一座综合性生态环境监测站，高质量的完成职责范围内的执法监测项目、生态监测项目，做好辖区环境突发事件应急监测保障工作，确保监测工作及时开展、监测数据准确可信。充分发挥生态环境监测在全州污染防治攻坚战中“先锋队”“顶梁柱”作用，为全州生态环境执法、生态环境管理和决策提供强有力的支撑。</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2.项目主要内容：</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主要内容：库尉轮联合监测站整合、利用现有环保资源，分批次购置药品，维护站内仪器设备，开展县市环境监测；通过本项目开展，持续加强质量管理体系建设，规范监测行为，以“监测先行、监测灵敏、监测准确”为导向，重点推进库尉轮联合监测站监测能力提升，充分发挥环境监测在全州生态环境保护中“顶梁柱”“奠基石”“生命线”作用，提高库尉轮联合监测站监测能力现代化水平，为进一步改善巴州生态环境质量提供强有力的技术支撑。通过开展项目，将为“十四五”期间巴州社会经济的科学、健康发展保驾护航，为生态环境执法和应急监测提供有效的数据支撑，同时也是保证巴州地区年度环境监测任务完成的最经济手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实施情况：2024年库尉轮联合监测分批次购置241种药品，维护站内61台仪器设备，开展县市环境监测；通过本项目开展，持续加强质量管理体系建设，规范监测行为，以“监测先行、监测灵敏、监测准确”为导向，重点推进库尉轮联合监测站监测能力提升，充分发挥环境监测在全州生态环境保护中“顶梁柱”“奠基石”“生命线”作用，提高库尉轮联合监测站监测能力现代化水平，为进一步改善巴州生态环境质量提供强有力的技术支撑。</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3.资金投入和使用情况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（1）资金投入情况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该项目年初预算数45万元，全年预算数45万元,该项目资金已全部落实到位，资金来源为财政拨款。</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（2）资金使用情况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该项目年初预算数45万元，全年预算数45万元，全年执行数45万元，预算执行率为100%，主要用于：分批次购置241种药品费用25万元，维护检定站内61台仪器设备费用20万元。</w:t>
      </w:r>
    </w:p>
    <w:p w14:paraId="19BE8C26">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（二）项目绩效目标。包括总体目标和阶段性目标。</w:t>
      </w:r>
    </w:p>
    <w:p w14:paraId="633132B2">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1.总体目标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库尉轮联合监测站整合、利用现有环保资源，分批次购置195种药品，维护站内61台仪器设备，开展县市环境监测；通过本项目开展，持续加强质量管理体系建设，规范监测行为，以“监测先行、监测灵敏、监测准确”为导向，重点推进库尉轮联合监测站监测能力提升，充分发挥环境监测在全州生态环境保护中“顶梁柱”“奠基石”“生命线”作用，提高库尉轮联合监测站监测能力现代化水平，为进一步改善巴州生态环境质量提供强有力的技术支撑。通过开展项目，将为“十四五”期间巴州社会经济的科学、健康发展保驾护航，为生态环境执法和应急监测提供有效的数据支撑，同时也是保证巴州地区年度环境监测任务完成的最经济手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2.阶段性目标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2月底前，对该项目需要采购药剂、维护仪器检定进行询价。相关票据收集、整理、审核；2024年5月按照实际产生费用对原始凭证进行审核，质量进行验收，预计完成支付购买药剂费用10万元、仪器维护检定费8万元。2024年8月按照实际产生费用进行采购、验收，预计完成支付资金的75%，2024年11月30日之前完成资金支付率达到100%。</w:t>
      </w:r>
    </w:p>
    <w:p w14:paraId="7A4F28EA">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二、</w:t>
      </w:r>
      <w:r>
        <w:rPr>
          <w:rStyle w:val="19"/>
          <w:rFonts w:hint="eastAsia"/>
          <w:spacing w:val="-4"/>
          <w:sz w:val="32"/>
          <w:szCs w:val="32"/>
        </w:rPr>
        <w:t>绩效评价工作开展情况</w:t>
      </w:r>
    </w:p>
    <w:p w14:paraId="17B5EC1E">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（一）绩效评价目的、对象和范围。</w:t>
      </w:r>
    </w:p>
    <w:p w14:paraId="2BBF5E7D">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（一）绩效评价目的、对象和范围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1.绩效评价完整性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州域生态环境监测项目预算绩效评价报告在编制过程中，严格遵循相关法规与标准，确保评价内容的全面性与准确性。报告涵盖了项目从预算编制、执行到完成的全过程，对项目的各项绩效指标进行了细致的梳理与评估。</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评价指标体系的构建上，充分考虑了项目的性质、目标以及预期成果，选取了具有代表性和可衡量性的关键指标，涵盖了社会效益、生态效益等多个维度，力求全方位反映项目的绩效状况。同时，对于每个指标的评价标准和数据来源均进行了明确说明，确保评价结果的客观性和可追溯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数据收集与分析环节，采用了多种科学合理的方法，如实地调研、问卷调查、数据分析等，广泛收集了与项目相关的各类数据，并运用专业的统计分析工具对数据进行深入挖掘，以确保评价结论的科学性和可靠性。此外，还对数据的质量和完整性进行了严格把控，对于缺失或异常的数据进行了合理的处理和说明，保证了评价数据的真实性和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报告的撰写结构上，按照统一的格式和规范进行编排，内容层次分明、条理清晰。首先对项目的背景、目标和预算安排进行了简要介绍，为后续的绩效评价提供了必要的背景信息；接着详细阐述了绩效评价的指标体系、评价方法和数据来源，为评价过程的透明性和可复现性奠定了基础；然后对各项绩效指标的完成情况进行了逐一分析和评价，指出了项目在实施过程中存在的问题和不足，并提出了相应的改进建议；最后对整个项目的绩效状况进行了综合总结，给出了明确的评价结论和后续工作的建议，为项目的持续改进和决策提供了有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州域生态环境监测项目预算绩效评价报告在内容、方法和数据等方面均具备较高的完整性，能够真实、客观地反映项目的绩效情况，为项目管理决策提供了有价值的参考依据。在未来的工作中，我们将继续完善绩效评价体系，不断提升评价工作的质量和水平，以更好地服务于项目的管理和优化。</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2.绩效评价的目的</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（1）评估项目实施效果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通过对项目预算执行情况及各项绩效目标达成程度的系统性分析，全面、客观地评估项目在预定周期内的实施效果，包括社会效益、生态效益以及可持续性等多维度指标，为项目后续的改进与优化提供科学依据。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（2）提升资源利用效率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深入剖析项目预算资金的投入与产出关系，识别资金使用过程中的冗余环节与低效领域，挖掘潜在的资源优化配置空间，推动项目在有限的预算资源下实现更高的绩效产出，完成支付购买药剂241种费用25万元、仪器维护检定费20万元，提升整体资源利用效率，确保财政资金的合理、高效运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（3）强化项目管理责任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明确项目各参与主体在预算绩效管理中的职责与任务，借助绩效评价结果对项目管理过程进行监督与问责，促使项目管理者增强责任意识，主动优化管理流程，完善内部控制机制，提高项目管理水平与执行力，保障项目按计划、高质量推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（4）为决策提供支持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为项目主管部门、财政部门及相关决策层提供详实、准确的绩效评价信息，辅助其在项目申报审批、预算安排、政策调整等关键决策环节做出更加科学、合理的判断，促进项目资源的合理分配与有效整合，推动项目管理体系的不断完善与升级，提升公共资源配置的精准度与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（5）促进项目持续改进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基于州域生态环境监测项目绩效评价发现的问题与不足，提出针对性的改进建议与措施，引导项目团队聚焦关键环节，持续优化项目实施方案，加强过程监控与质量把控，形成项目绩效持续改进的良性循环，不断提升项目整体绩效水平，实现项目长期稳定发展的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州域生态环境监测项目预算绩效评价报告的编制以提升项目绩效为核心，旨在通过科学、严谨的评价工作，为项目管理与决策提供全方位、深层次的支持，推动项目在预算约束下实现高质量、可持续发展，充分发挥财政资金的经济效益与社会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3.绩效评价的对象</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的评价对象是2024年州域生态环境监测项目及其预算执行情况。该项目由巴州生态环境局库尉轮联合监测站负责实施，旨在坚持“预防为主、防治结合、依法科学、分级分类”的原则，坚持常态化防控和疫情流行期间应急处置相结合，压实“四方责任”，提高监测预警灵敏性，强化重点人群保护，实现“保健康、防重症”的工作目标，最大程度保护人民生命安全和身体健康，最大限度减少疫情对经济社会发展的影响。2024年州域生态生态环境监测项目预算涵盖从2024年1月1日至2024年12月5日的全部资金投入与支出，涉及资金总额为45万元</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4.绩效评价的范围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（1）项目预算编制与执行：全面审视项目预算的编制依据、合理性、科学性以及实际执行情况。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管理：深入分析项目资金的分配、使用和监管情况，完成项目相关票据收集、整理、审核，并按照要求进行询价，采购，对原始凭证进行认真审核，对质量进行验收，支付购买药剂费用25万元、仪器维护检定费20万元，确保资金使用的合规性、高效性和透明度。</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（3）项目实施进度与产出：评估项目是否按照既定计划顺利推进，购买215种药剂费用25万元、仪器维护检定费20万元等资金是否及时准确进行支付。</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社会、生态影响：考察项目对社会和生态方面的综合影响。如数据是否能为生态环境执法和应急监测提供数据支撑，是否提升环境监测能力工作。</w:t>
      </w:r>
    </w:p>
    <w:p w14:paraId="51090A0D">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（二）绩效评价原则、评价指标体系（附表说明）、评价方法、评价标准等。</w:t>
      </w:r>
    </w:p>
    <w:p w14:paraId="115EAA3E">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1.绩效评价原则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本次项目绩效评价遵循以下基本原则：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（1）科学公正。绩效评价应当运用科学合理的方法，按照规范的程序，对项目绩效进行客观、公正的反映。</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（2）统筹兼顾。单位自评、部门评价和财政评价应职责明确，各有侧重，相互衔接。单位自评应由项目单位自主实施，即“谁支出、谁自评”。部门评价和财政评价应在单位自评的基础上开展。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（3）激励约束。绩效评价结果应与预算安排、政策调整、改进管理实质性挂钩，体现奖优罚劣和激励相容导向，有效要安排、低效要压减、无效要问责。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（4）公开透明。绩效评价结果应依法依规公开，并自觉接受社会监督。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2.评价指标体系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绩效评价框架是开展绩效评价的核心。绩效评价框架包括评价准则、关键评价问题、评价指标、数据来源、数据收集方法等。指标体系建立过程如下：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（1）确定评价指标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采用层次分析法，建立评价指标体系。绩效评价将指标分为项目决策指标、项目过程指标、项目产出指标、项目效益指标四个维度，最终形成一个由多个相互联系的指标组成的多层次指标体系。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（2）确定权重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确定各个指标相对于项目总体绩效的权重分值。在绩效评价指标体系中，项目决策权重为20分，项目过程权重为20分，项目产出权重为40分，项目效益权重为20分。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（3）确定指标标准值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指标标准值是绩效评价指标的尺度，既要反映同类项目的先进水平，又要符合项目的实际绩效水平。具体采用计划标准等确定此次绩效评价指标标准值。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绩效评价总分值100分，根据综合评分结果，90（含）-100分为优、80（含）-90分为良、60（含）-80分为中、60分以下为差。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具体评价指标体系详情见附件1</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3、绩效评价方法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绩效评价从项目决策、项目过程、项目产出、项目效益四个维度进行评价。评价对象为项目目标实施情况，  评价核心为资金的支出完成情况和项目的产出效益。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本次评价指标中，既有定性指标又有定量指标，各类指标因考核内容不同和客观标准不同存在较大差异，因此核定具体指标时采用了因素分析法方法，具体评价方法如下：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因素分析法。是指综合分析影响绩效目标实现、实施效果的内外部因素的方法。主要原因是它能够通过综合分析影响绩效目标实现和实施效果的内外因素，来评价绩效目标的实际达成程度。这种方法帮助实施单位深入了解项目绩效背后的关键因素，从而针对性的采取改进措施，提高项目效率和成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4.评价标准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绩效评价标准通常包括计划标准、用于对绩效指标完成情况进行比较、分析、评价。本次评价主要采用了计划标准。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计划标准。指以预先制定的目标、计划、预算、定额等作为评价标准。主要原因是计划标准为项目提供了衡量工作成果的量化指标，便于进行客观公正的自我评价，为项目管理提供了明确的控制指标，使得项目管理人员能够及时发现偏差并采取相应的调整措施。</w:t>
      </w:r>
    </w:p>
    <w:p w14:paraId="7350811A">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（三）绩效评价工作过程。</w:t>
      </w:r>
    </w:p>
    <w:p w14:paraId="69AB91CE">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（1）前期准备与规划</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2024年州域生态环境监测项目绩效评价工作启动之初，成立了专门的评价工作小组，小组成员由业务科室，财务人员、项目管理人员及相关科室业务人员组成，确保从多角度、全方位对项目绩效进行评价。同时，明确了评价工作的目标、范围、重点及时间安排，制定了详细的工作计划，为评价工作的顺利开展奠定了坚实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（2）指标体系构建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依据2024年州域生态环境监测项目的性质、目标以及预期成果，构建了科学合理的绩效评价指标体系。该指标体系涵盖了项目决策、项目过程、项目产出、项目效益四个维度，选取了具有代表性和可衡量性的关键指标，并为每个指标设定了明确的评价标准与权重，确保评价结果能够全面、准确地反映项目的绩效状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（3）数据收集与整理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广泛收集与项目相关的各类数据，包括药剂采购种类明细表，仪器维护检定台账，发票采购合同，采购验收单，国库支付凭证，财务报表、项目文档、生态环境监测报告数据、监测人员对项目的满意度进行调查反馈等。在数据收集过程中，注重数据的质量与完整性。同时，对收集到的数据进行了系统的整理与分类，为后续的数据分析提供了有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（4）数据分析与评估</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对收集到的数据进行了深入挖掘与分析。通过对各项绩效指标的实际完成情况与预期目标进行对比，计算出指标的达成率，并结合指标权重进行综合评分，从而得出项目的整体绩效评价结果。在分析过程中，注重数据之间的关联性与逻辑性，深入剖析项目绩效背后的原因，识别出项目实施过程中的优势与不足，为提出有针对性的改进建议提供了依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（5）报告撰写与反馈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根据数据分析与评估的结果，按照统一的格式和规范撰写项目预算绩效评价报告。报告内容包括项目背景、评价目的、评价指标体系、数据收集与分析方法、绩效评价结果、存在问题与改进建议等多个部分，力求条理清晰、重点突出、语言简洁明了。在报告撰写完成后，及时向项目实施主体及相关利益相关者进行反馈，充分听取各方意见与建议，对报告内容进行进一步的完善与优化，确保评价报告的质量与实用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（6）后续跟踪与改进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评价报告提交后，我们将持续跟踪项目的改进措施落实情况，定期对项目绩效进行复查与评估，确保项目能够根据评价结果及时调整与优化，实现绩效的持续提升。同时，根据项目实施过程中出现的新情况、新问题，适时调整绩效评价指标体系与方法，保持评价工作的适应性与前瞻性，为项目的长期稳定发展提供有力保障。</w:t>
      </w:r>
    </w:p>
    <w:p w14:paraId="002571F3">
      <w:pPr>
        <w:spacing w:line="540" w:lineRule="exact"/>
        <w:ind w:firstLine="640"/>
        <w:rPr>
          <w:rStyle w:val="19"/>
          <w:rFonts w:hint="eastAsia" w:ascii="黑体" w:hAnsi="黑体" w:eastAsia="黑体"/>
          <w:b w:val="0"/>
          <w:spacing w:val="-4"/>
          <w:sz w:val="32"/>
          <w:szCs w:val="32"/>
        </w:rPr>
      </w:pPr>
      <w:r>
        <w:rPr>
          <w:rStyle w:val="19"/>
          <w:rFonts w:hint="eastAsia" w:ascii="黑体" w:hAnsi="黑体" w:eastAsia="黑体"/>
          <w:b w:val="0"/>
          <w:spacing w:val="-4"/>
          <w:sz w:val="32"/>
          <w:szCs w:val="32"/>
        </w:rPr>
        <w:t>三、</w:t>
      </w:r>
      <w:r>
        <w:rPr>
          <w:rStyle w:val="19"/>
          <w:rFonts w:hint="eastAsia"/>
          <w:spacing w:val="-4"/>
          <w:sz w:val="32"/>
          <w:szCs w:val="32"/>
        </w:rPr>
        <w:t>综合评价情况及评价结论</w:t>
      </w:r>
    </w:p>
    <w:p w14:paraId="0A2B2072">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（一）评价情况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州域生态环境监测项目的综合评价基于对项目各方面绩效的深入分析与评估。从项目目标的达成情况来看，2024年州域生态环境监测项目在资金使用方面表现出色，达到了预期的标准与要求。同时，项目也在资金支付时限取得了显著的成效，如在2024年按财务要求完成支付采购药剂、仪器维护检定相关费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在项目管理方面，州域生态环境监测项目通过有效的规划、组织与协调，项目得以顺利实施，并在预算与时间上保持了良好的控制。</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从项目效益的角度来看，当时州域生态环境监测项目实现了预期的社会效益。具体而言，该工作较好保障了全州生态环境监测工作。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综上所述，州域生态环境监测项目在绩效评价中表现出色，达到了项目的预期目标，并在多个方面取得了显著的成效。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（二）评价结论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运用绩效评价组制定的评价指标体系以及财政部《项目支出绩效评价管理办法》（财预〔2020〕10号）文件的评分标准，通过数据采集、问卷调查及访谈等方式，对2024年州域生态环境监测项目进行客观评价，最终评分结果：总得分为 99.61分，属于“优”。其中，项目决策类指标权重为20分，得分为20分，得分率为 100%。项目过程类指标权重为20分，得分为20分，得分率为 100%。项目产出类指标权重为40分，得分为39.61分，得分率为99.03%。项目效益类指标权重为20分，得分为20分，得分率为100%。</w:t>
      </w:r>
    </w:p>
    <w:p w14:paraId="33F3B87D">
      <w:pPr>
        <w:spacing w:line="540" w:lineRule="exact"/>
        <w:ind w:firstLine="640"/>
        <w:rPr>
          <w:rStyle w:val="19"/>
          <w:rFonts w:ascii="黑体" w:hAnsi="黑体" w:eastAsia="黑体"/>
        </w:rPr>
      </w:pPr>
      <w:r>
        <w:rPr>
          <w:rStyle w:val="19"/>
          <w:rFonts w:hint="eastAsia" w:ascii="黑体" w:hAnsi="黑体" w:eastAsia="黑体"/>
          <w:b w:val="0"/>
          <w:spacing w:val="-4"/>
          <w:sz w:val="32"/>
          <w:szCs w:val="32"/>
        </w:rPr>
        <w:t>四、</w:t>
      </w:r>
      <w:r>
        <w:rPr>
          <w:rStyle w:val="19"/>
          <w:rFonts w:hint="eastAsia"/>
          <w:spacing w:val="-4"/>
          <w:sz w:val="32"/>
          <w:szCs w:val="32"/>
        </w:rPr>
        <w:t>绩效评价指标分析</w:t>
      </w:r>
      <w:r>
        <w:rPr>
          <w:rStyle w:val="19"/>
          <w:rFonts w:hint="eastAsia" w:ascii="黑体" w:hAnsi="黑体" w:eastAsia="黑体"/>
          <w:b w:val="0"/>
          <w:spacing w:val="-4"/>
          <w:sz w:val="32"/>
          <w:szCs w:val="32"/>
        </w:rPr>
        <w:t xml:space="preserve"> </w:t>
      </w:r>
    </w:p>
    <w:p w14:paraId="3C408018">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（一）项目决策情况。</w:t>
      </w:r>
    </w:p>
    <w:p w14:paraId="1731B8DA">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项目决策类指标包括项目立项、绩效目标和资金投入三方面的内容，由6个三级指标构成，权重分值为20分，实际得分20分，得分率为100%。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1.项目立项</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（1）立项依据充分性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依据关于印发《关于推进生态环境监测体系与监测能力现代化的若干意见》文件立项，该项目立项符合相关法律法规及发展政策，符合行业规划要求，围绕本年度工作重点和工作计划制定经费预算，属于公共财政支持范围。2024年州域生态环境监测项目与部门内部其他相关项目不重复。部门发展规划及职能文件等归档完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（2）立项程序规范性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申请、设立过程符合相关要求，严格按照审批流程准备符合要求的文件、材料；根据依据编制工作计划和经费预算，经过与部门项目分管领导沟通、筛选确定经费预算计划，确定最终预算方案。项目的审批文件、材料符合相关要求，项目事前经过必要的绩效评估、集体决策，保障了程序的规范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（1）绩效目标合理性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年初结合实际工作内容设定绩效目标，绩效目标依据充分，符合客观实际，能反映和考核项目绩效目标与项目实施的相符情况，依据绩效目标设定的绩效指标清晰、细化、可衡量，能反映和考核项目绩效目标的明细化情况。绩效目标表经过审核，绩效目标与支付采购药剂费用及维护检定仪器费用的实际工作具有相关性，预算金额确定的项目金额相匹配，对项目任务进行了详细分解。项目预期产出效益及效果符合正常的业绩水平。</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（2）绩效指标明确性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设置了明确的预期产出效益和效果，将绩效目标细化分解为具体的绩效指标，绩效目标表设置一级指标4条，二级指标7条，三级指标11条，其中可量化指标9条，量化率为86.19%，绩效目标与项目目标任务数相对应，绩效目标设定的绩效指标清晰、细化、可衡量。</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3.资金投入</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（1）预算编制科学性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州域生态环境监测项目及时收集、整理、审核相关票据，并按财务规定及时支付新增及升级和易行平台功能模块费用购买云主机服务相关费用。本项目的预算编制过程严谨、科学，充分体现了精细化管理的要求。预算编制之初，进行了全面的成本估算，确保项目所需的各项资源得到合理的预估与分配。同时，预算编制还紧密结合了项目的特点与实际情况，对资金需求进行了详细的分析与计算。</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（2）资金分配合理性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州域生态环境监测项目的资金分配遵循了公平、公正、透明的原则，确保了项目资源的合理配置与高效利用。在资金分配过程中，我们充分考虑了项目的实际需求与目标，对不同任务的资金进行了科学的规划与安排。</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而言，资金分配紧密结合了项目的特点与实际情况，同时，我们也注重了资金的均衡分配，分批次购买241种药剂，保障全州生态环境监测工作顺利进行，为巴州生态环境管理提供了数据支撑，药剂采购及仪器维护检定资金45万元，其中购买药剂费用25万元、仪器维护检定费20万元。此外，资金分配还充分考虑了风险因素，对可能出现的超支情况进行了预留与调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综上所述，本项目的资金分配是合理的、科学的，既符合项目的实际情况，又满足了资金使用的效益最大化要求。资金分配的合理性为项目的成功实施提供了有力的保障，也为项目的绩效评价奠定了坚实的基础。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p>
    <w:p w14:paraId="1C11BD59">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（二）项目过程情况。</w:t>
      </w:r>
    </w:p>
    <w:p w14:paraId="5B8C26E6">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项目过程类指标包括资金管理和组织实施两方面的内容，由5个三级指标构成，权重分值为20分，实际得分20分，得分率为100%。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1.资金管理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（1）资金到位率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2024年州域生态环境监测项目总投资45万元，财政资金及时足额到位，到位率100%，预算资金按计划进度执行。</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（2）预算执行率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预算编制较为详细，项目资金支出总体能够按照预算执行，预算资金支出45万元，预算执行率为100%。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（3）资金使用合规性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州域生态环境监测项目的资金使用严格遵循了《中华人民共和国预算法》《中华人民共和国预算法实施条例》等国家相关法律法规并制定了《行政事业单位财务管理制度》、巴州生态环境局库尉轮联合监测站制定《行政事业单位财务管理制度》、《预决算管理制度》、《政府采购管理办法》、《经费支出管理办法》等财务规章制度，确保了资金的合规性与安全性。在资金使用过程中，我们建立了完善的财务管理体系，对资金的流动进行了全程监控与记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而言，资金使用坚持了专款专用的原则，确保了项目资金不被挪用或截留。同时，我们还加强了对资金使用的审计与监督，定期对财务收支进行自查与自纠，及时发现并纠正可能存在的问题。此外，资金使用还充分考虑了成本效益原则，通过优化资源配置、提高资金使用效率等措施，确保了项目资金的最大化利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2024年州域生态环境监测项目的资金使用是合规的、安全的，既符合国家相关法律法规与财务制度的要求，又满足了项目实施的实际需要。资金使用的合规性为项目的成功实施提供了有力的保障，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2.组织实施</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（1）管理制度健全性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巴州生态环境局库尉轮联合监测站制定《行政事业单位财务管理制度》、《预决算管理制度》、《政府采购管理办法》、《经费支出管理办法》等财务制度，《全国环境监测站建设标准》（环发〔2007〕56号）中“生态环境监测站西部区域三级标准”为项目的成功实施提供了坚实的制度保障。项目管理制度的制定紧密结合了项目的特点与实际情况，涵盖了项目的策划、组织、实施、监控与收尾等各个环节。</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在制度设计上，我们注重了制度的科学性与可操作性，确保制度能够切实指导项目的执行与管理。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外，项目管理制度还充分考虑了风险因素，制定了相应的风险应对措施与预案，以应对项目实施过程中可能出现的各种风险与挑战。管理制度的健全性不仅体现在制度的完善上，还体现在制度的执行与监督上。我们建立了有效的监督机制与反馈机制，对项目的实施情况进行定期检查与评估，及时发现并纠正可能存在的问题。</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巴州生态环境局库尉轮联合监测站的管理制度是健全的、有效的，既符合项目的实际情况，又满足了项目管理的需要。管理制度的健全性为项目的成功实施提供了有力的保障，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（2）制度执行有效性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州域生态环境监测项目在执行过程中，《经费支出管理办法》管理制度得到了全面、有效的落实，为确保项目的顺利实施与目标实现提供了坚实的保障。通过明确责任分工、制定详细执行计划、加强监督考核等措施，确保了管理制度能够得到有效执行。同时，我们还建立了有效的沟通机制与反馈机制，确保项目信息的及时传递与问题的及时解决，进一步提高了制度执行的效率与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综上所述，2024年州域生态环境监测项目的管理制度在执行过程中表现出了高度的有效性，既确保了项目的顺利进行，又实现了项目目标的有效达成。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p>
    <w:p w14:paraId="7438AEE8">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（三）项目产出情况。</w:t>
      </w:r>
    </w:p>
    <w:p w14:paraId="05DA3049">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项目产出类指标包括产出数量、产出质量、产出时效、产出成本四方面的内容，由10个三级指标构成，权重分为40分，实际得分39.61分，得分率为99.03%。具体产出指标完成情况如下：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①数量指标：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指标1：药剂采购种类，指标值：&gt;=195种，实际完成值：241个，指标完成率123.29%。偏差原因：因绩效指标设置不精准，按照实际情况采购241种药剂。</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指标2：仪器维护数量，指标值：&gt;=61台，实际完成值：61台，指标完成率100%。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②质量指标：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指标1：仪器设备校准率，指标值：&gt;=95%，实际完成值：100%，指标完成率100%。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指标2：药剂质量合格率，指标值：&gt;=95%，实际完成值：100%，指标完成率100%。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③时效指标：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指标1：仪器校准及时率，指标值：&gt;=95%，实际完成值：100%，指标完成率100%。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指标2：药剂购买及时率，指标值：&gt;=90%，实际完成值：100%，指标完成率100%。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④成本指标：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指标1：每种药剂采购成本，指标值：&lt;=0.13万元，实际完成值：0.12万元，指标完成率92.31%。</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指标2：每台仪器设备维护成本，指标值：&lt;=0.32万元，实际完成值：0.32万元，指标完成率100%。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此项权重分值为10分，得分为9.61分。</w:t>
      </w:r>
    </w:p>
    <w:p w14:paraId="0896D3E5">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（四）项目效益情况。</w:t>
      </w:r>
    </w:p>
    <w:p w14:paraId="4237729A">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项目效益类指标包括项目实施效益和满意度三方面的内容，由3个三级指标构成，权重分为20分，实际得分20分，得分率为100%。具体效益指标及满意度指标完成情况如下：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1.实施效益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①社会效益指标：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指标1：为生态环境执法和应急监测提供数据支撑，指标值：长期，实际完成值：长期，指标完成率100%。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指标2：环境监测能力，指标值：持续提升，实际完成值：持续提升，指标完成率100%。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p>
    <w:p w14:paraId="1A890ACA">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指标1：药剂使用人员使用人员满意度，指标值：&gt;=90%，实际完成值：100%，指标完成率100%。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p>
    <w:p w14:paraId="427788E0">
      <w:pPr>
        <w:spacing w:line="540" w:lineRule="exact"/>
        <w:ind w:firstLine="640"/>
        <w:rPr>
          <w:rStyle w:val="19"/>
          <w:rFonts w:ascii="黑体" w:hAnsi="黑体" w:eastAsia="黑体"/>
          <w:spacing w:val="-4"/>
          <w:sz w:val="32"/>
          <w:szCs w:val="32"/>
        </w:rPr>
      </w:pPr>
      <w:r>
        <w:rPr>
          <w:rStyle w:val="19"/>
          <w:rFonts w:hint="eastAsia" w:ascii="黑体" w:hAnsi="黑体" w:eastAsia="黑体"/>
          <w:b w:val="0"/>
          <w:spacing w:val="-4"/>
          <w:sz w:val="32"/>
          <w:szCs w:val="32"/>
          <w:lang w:eastAsia="zh-CN"/>
        </w:rPr>
        <w:t>五</w:t>
      </w:r>
      <w:r>
        <w:rPr>
          <w:rStyle w:val="19"/>
          <w:rFonts w:hint="eastAsia" w:ascii="黑体" w:hAnsi="黑体" w:eastAsia="黑体"/>
          <w:b w:val="0"/>
          <w:spacing w:val="-4"/>
          <w:sz w:val="32"/>
          <w:szCs w:val="32"/>
        </w:rPr>
        <w:t>、</w:t>
      </w:r>
      <w:r>
        <w:rPr>
          <w:rStyle w:val="19"/>
          <w:rFonts w:ascii="黑体" w:hAnsi="黑体" w:eastAsia="黑体"/>
          <w:b w:val="0"/>
          <w:spacing w:val="-4"/>
          <w:sz w:val="32"/>
          <w:szCs w:val="32"/>
        </w:rPr>
        <w:t>主要经验及做法、存在的问题及原因分析</w:t>
      </w:r>
    </w:p>
    <w:p w14:paraId="6053058B">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（一）主要经验及做法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为确保2024年州域生态环境监测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（二）存在的问题及原因分析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相关绩效管理方面专业知识的系统性学习有待加强。各项指标的设置要进一步优化、完善，主要在细化、量化上改进。在绩效自评过程中，由干部分人员缺乏相关绩效管理专业知识，自评价工作还存在自我审定的局限性，影响评价质量。</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2.因轮岗、调动等因素使我单位绩效工作人员流动频繁，造成工作衔接不到位的情况。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3.因生态环境监测工作涉及范围广、工作量大，后续对相关材料收集、整理、审核耗费时间较多，申请资金时间晚于预期，导致项目资金未如期完成支付工作。</w:t>
      </w:r>
    </w:p>
    <w:p w14:paraId="41EE7BBB">
      <w:pPr>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六</w:t>
      </w:r>
      <w:r>
        <w:rPr>
          <w:rStyle w:val="19"/>
          <w:rFonts w:ascii="黑体" w:hAnsi="黑体" w:eastAsia="黑体"/>
          <w:b w:val="0"/>
          <w:spacing w:val="-4"/>
          <w:sz w:val="32"/>
          <w:szCs w:val="32"/>
        </w:rPr>
        <w:t>、有关建议</w:t>
      </w:r>
    </w:p>
    <w:p w14:paraId="1E33B993">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1.多进行有关绩效管理工作方面的培训。积极组织第三方开展绩效管理工作培训，进一步夯实业务基础，提高我单位绩效人员水平。</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2.专门设定对绩效工作人员定职、定岗、定责等相关制度措施，进一步提升我单位绩效管理工作业务水平，扎实做好绩效管理工作。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3.进一步完善项目评价过程中有关数据和资料的收集、整理、审核及分析。项目启动时同步做好档案的归纳与整理，及时整理、收集、汇总，健全档案资料。项目后续管理支付有待进一步加强和跟踪。</w:t>
      </w:r>
    </w:p>
    <w:p w14:paraId="23C97BA7">
      <w:pPr>
        <w:spacing w:line="540" w:lineRule="exact"/>
        <w:ind w:firstLine="567"/>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七</w:t>
      </w:r>
      <w:r>
        <w:rPr>
          <w:rStyle w:val="19"/>
          <w:rFonts w:hint="eastAsia" w:ascii="黑体" w:hAnsi="黑体" w:eastAsia="黑体"/>
          <w:b w:val="0"/>
          <w:spacing w:val="-4"/>
          <w:sz w:val="32"/>
          <w:szCs w:val="32"/>
        </w:rPr>
        <w:t>、其他需要说明的问题</w:t>
      </w:r>
    </w:p>
    <w:p w14:paraId="193B2477">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无</w:t>
      </w:r>
    </w:p>
    <w:p w14:paraId="39A92EF0">
      <w:pPr>
        <w:spacing w:line="540" w:lineRule="exact"/>
        <w:ind w:firstLine="567"/>
        <w:rPr>
          <w:rStyle w:val="19"/>
          <w:rFonts w:ascii="仿宋" w:hAnsi="仿宋" w:eastAsia="仿宋"/>
          <w:b w:val="0"/>
          <w:spacing w:val="-4"/>
          <w:sz w:val="32"/>
          <w:szCs w:val="32"/>
        </w:rPr>
      </w:pPr>
    </w:p>
    <w:p w14:paraId="1FB3E0FE">
      <w:pPr>
        <w:spacing w:line="540" w:lineRule="exact"/>
        <w:ind w:firstLine="567"/>
        <w:rPr>
          <w:rStyle w:val="19"/>
          <w:rFonts w:ascii="仿宋" w:hAnsi="仿宋" w:eastAsia="仿宋"/>
          <w:b w:val="0"/>
          <w:spacing w:val="-4"/>
          <w:sz w:val="32"/>
          <w:szCs w:val="32"/>
        </w:rPr>
      </w:pPr>
    </w:p>
    <w:p w14:paraId="2EACC087">
      <w:pPr>
        <w:spacing w:line="540" w:lineRule="exact"/>
        <w:ind w:firstLine="567"/>
        <w:rPr>
          <w:rStyle w:val="19"/>
          <w:rFonts w:ascii="仿宋" w:hAnsi="仿宋" w:eastAsia="仿宋"/>
          <w:b w:val="0"/>
          <w:spacing w:val="-4"/>
          <w:sz w:val="32"/>
          <w:szCs w:val="32"/>
        </w:rPr>
      </w:pPr>
    </w:p>
    <w:p w14:paraId="2B4642B2">
      <w:pPr>
        <w:spacing w:line="540" w:lineRule="exact"/>
        <w:ind w:firstLine="567"/>
        <w:rPr>
          <w:rStyle w:val="19"/>
          <w:rFonts w:ascii="仿宋" w:hAnsi="仿宋" w:eastAsia="仿宋"/>
          <w:b w:val="0"/>
          <w:spacing w:val="-4"/>
          <w:sz w:val="32"/>
          <w:szCs w:val="32"/>
        </w:rPr>
      </w:pPr>
    </w:p>
    <w:p w14:paraId="3AC2BD4E">
      <w:pPr>
        <w:spacing w:line="540" w:lineRule="exact"/>
        <w:ind w:firstLine="567"/>
        <w:rPr>
          <w:rStyle w:val="19"/>
          <w:rFonts w:ascii="仿宋" w:hAnsi="仿宋" w:eastAsia="仿宋"/>
          <w:b w:val="0"/>
          <w:spacing w:val="-4"/>
          <w:sz w:val="32"/>
          <w:szCs w:val="32"/>
        </w:rPr>
      </w:pPr>
    </w:p>
    <w:p w14:paraId="751F23D7">
      <w:pPr>
        <w:spacing w:line="540" w:lineRule="exact"/>
        <w:ind w:firstLine="567"/>
        <w:rPr>
          <w:rStyle w:val="19"/>
          <w:rFonts w:ascii="仿宋" w:hAnsi="仿宋" w:eastAsia="仿宋"/>
          <w:b w:val="0"/>
          <w:spacing w:val="-4"/>
          <w:sz w:val="32"/>
          <w:szCs w:val="32"/>
        </w:rPr>
      </w:pPr>
    </w:p>
    <w:p w14:paraId="72C8AC82">
      <w:pPr>
        <w:spacing w:line="540" w:lineRule="exact"/>
        <w:ind w:firstLine="567"/>
        <w:rPr>
          <w:rStyle w:val="19"/>
          <w:rFonts w:ascii="仿宋" w:hAnsi="仿宋" w:eastAsia="仿宋"/>
          <w:b w:val="0"/>
          <w:spacing w:val="-4"/>
          <w:sz w:val="32"/>
          <w:szCs w:val="32"/>
        </w:rPr>
      </w:pPr>
    </w:p>
    <w:p w14:paraId="15304356">
      <w:pPr>
        <w:spacing w:line="540" w:lineRule="exact"/>
        <w:ind w:firstLine="567"/>
        <w:rPr>
          <w:rStyle w:val="19"/>
          <w:rFonts w:ascii="仿宋" w:hAnsi="仿宋" w:eastAsia="仿宋"/>
          <w:b w:val="0"/>
          <w:spacing w:val="-4"/>
          <w:sz w:val="32"/>
          <w:szCs w:val="32"/>
        </w:rPr>
      </w:pPr>
    </w:p>
    <w:p w14:paraId="04289CAA">
      <w:pPr>
        <w:spacing w:line="540" w:lineRule="exact"/>
        <w:ind w:firstLine="567"/>
        <w:rPr>
          <w:rStyle w:val="19"/>
          <w:rFonts w:ascii="仿宋" w:hAnsi="仿宋" w:eastAsia="仿宋"/>
          <w:b w:val="0"/>
          <w:spacing w:val="-4"/>
          <w:sz w:val="32"/>
          <w:szCs w:val="32"/>
        </w:rPr>
      </w:pPr>
    </w:p>
    <w:p w14:paraId="5C32B263">
      <w:pPr>
        <w:spacing w:line="540" w:lineRule="exact"/>
        <w:ind w:firstLine="567"/>
        <w:rPr>
          <w:rStyle w:val="19"/>
          <w:rFonts w:ascii="仿宋" w:hAnsi="仿宋" w:eastAsia="仿宋"/>
          <w:b w:val="0"/>
          <w:spacing w:val="-4"/>
          <w:sz w:val="32"/>
          <w:szCs w:val="32"/>
        </w:rPr>
      </w:pPr>
    </w:p>
    <w:p w14:paraId="11CBE08D">
      <w:pPr>
        <w:spacing w:line="540" w:lineRule="exact"/>
        <w:ind w:firstLine="567"/>
        <w:rPr>
          <w:rStyle w:val="19"/>
          <w:rFonts w:ascii="仿宋" w:hAnsi="仿宋" w:eastAsia="仿宋"/>
          <w:b w:val="0"/>
          <w:spacing w:val="-4"/>
          <w:sz w:val="32"/>
          <w:szCs w:val="32"/>
        </w:rPr>
      </w:pPr>
    </w:p>
    <w:p w14:paraId="25A53453">
      <w:pPr>
        <w:spacing w:line="540" w:lineRule="exact"/>
        <w:ind w:firstLine="567"/>
        <w:rPr>
          <w:rStyle w:val="19"/>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9762BF3D-454E-4AFE-9780-356113F16ECF}"/>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6E84B9F5-155A-43B8-A830-FBB79C30680B}"/>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embedRegular r:id="rId3" w:fontKey="{5D458A93-D4AA-4528-BEC3-9ED2E7695D78}"/>
  </w:font>
  <w:font w:name="华文中宋">
    <w:panose1 w:val="02010600040101010101"/>
    <w:charset w:val="86"/>
    <w:family w:val="auto"/>
    <w:pitch w:val="default"/>
    <w:sig w:usb0="00000287" w:usb1="080F0000" w:usb2="00000000" w:usb3="00000000" w:csb0="0004009F" w:csb1="DFD70000"/>
    <w:embedRegular r:id="rId4" w:fontKey="{92AE9A6B-F048-46AB-99B8-36AABC3C3DB3}"/>
  </w:font>
  <w:font w:name="方正小标宋_GBK">
    <w:panose1 w:val="02000000000000000000"/>
    <w:charset w:val="86"/>
    <w:family w:val="script"/>
    <w:pitch w:val="default"/>
    <w:sig w:usb0="A00002BF" w:usb1="38CF7CFA" w:usb2="00082016" w:usb3="00000000" w:csb0="00040001" w:csb1="00000000"/>
    <w:embedRegular r:id="rId5" w:fontKey="{97A57818-8D64-40E1-B165-A6147AE74531}"/>
  </w:font>
  <w:font w:name="仿宋_GB2312">
    <w:altName w:val="仿宋"/>
    <w:panose1 w:val="02010609030101010101"/>
    <w:charset w:val="86"/>
    <w:family w:val="modern"/>
    <w:pitch w:val="default"/>
    <w:sig w:usb0="00000000" w:usb1="00000000" w:usb2="00000000" w:usb3="00000000" w:csb0="00040000" w:csb1="00000000"/>
    <w:embedRegular r:id="rId6" w:fontKey="{84F22238-8379-49AE-BDC8-5718F2BCA86E}"/>
  </w:font>
  <w:font w:name="楷体">
    <w:panose1 w:val="02010609060101010101"/>
    <w:charset w:val="86"/>
    <w:family w:val="modern"/>
    <w:pitch w:val="default"/>
    <w:sig w:usb0="800002BF" w:usb1="38CF7CFA" w:usb2="00000016" w:usb3="00000000" w:csb0="00040001" w:csb1="00000000"/>
    <w:embedRegular r:id="rId7" w:fontKey="{9E7B576A-A99C-4587-B421-2A10CA9BFF4C}"/>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14:paraId="7AB7575D">
        <w:pPr>
          <w:pStyle w:val="12"/>
          <w:jc w:val="center"/>
        </w:pPr>
        <w:r>
          <w:fldChar w:fldCharType="begin"/>
        </w:r>
        <w:r>
          <w:instrText xml:space="preserve">PAGE   \* MERGEFORMAT</w:instrText>
        </w:r>
        <w:r>
          <w:fldChar w:fldCharType="separate"/>
        </w:r>
        <w:r>
          <w:rPr>
            <w:lang w:val="zh-CN"/>
          </w:rPr>
          <w:t>1</w:t>
        </w:r>
        <w:r>
          <w:fldChar w:fldCharType="end"/>
        </w:r>
      </w:p>
    </w:sdtContent>
  </w:sdt>
  <w:p w14:paraId="72B4D9DD">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40E6481"/>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qFormat="1"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字符"/>
    <w:basedOn w:val="18"/>
    <w:link w:val="2"/>
    <w:qFormat/>
    <w:uiPriority w:val="9"/>
    <w:rPr>
      <w:rFonts w:asciiTheme="majorHAnsi" w:hAnsiTheme="majorHAnsi" w:eastAsiaTheme="majorEastAsia"/>
      <w:b/>
      <w:bCs/>
      <w:kern w:val="32"/>
      <w:sz w:val="32"/>
      <w:szCs w:val="32"/>
    </w:rPr>
  </w:style>
  <w:style w:type="character" w:customStyle="1" w:styleId="22">
    <w:name w:val="标题 2 字符"/>
    <w:basedOn w:val="18"/>
    <w:link w:val="3"/>
    <w:semiHidden/>
    <w:qFormat/>
    <w:uiPriority w:val="9"/>
    <w:rPr>
      <w:rFonts w:asciiTheme="majorHAnsi" w:hAnsiTheme="majorHAnsi" w:eastAsiaTheme="majorEastAsia"/>
      <w:b/>
      <w:bCs/>
      <w:i/>
      <w:iCs/>
      <w:sz w:val="28"/>
      <w:szCs w:val="28"/>
    </w:rPr>
  </w:style>
  <w:style w:type="character" w:customStyle="1" w:styleId="23">
    <w:name w:val="标题 3 字符"/>
    <w:basedOn w:val="18"/>
    <w:link w:val="4"/>
    <w:semiHidden/>
    <w:qFormat/>
    <w:uiPriority w:val="9"/>
    <w:rPr>
      <w:rFonts w:asciiTheme="majorHAnsi" w:hAnsiTheme="majorHAnsi" w:eastAsiaTheme="majorEastAsia"/>
      <w:b/>
      <w:bCs/>
      <w:sz w:val="26"/>
      <w:szCs w:val="26"/>
    </w:rPr>
  </w:style>
  <w:style w:type="character" w:customStyle="1" w:styleId="24">
    <w:name w:val="标题 4 字符"/>
    <w:basedOn w:val="18"/>
    <w:link w:val="5"/>
    <w:qFormat/>
    <w:uiPriority w:val="9"/>
    <w:rPr>
      <w:b/>
      <w:bCs/>
      <w:sz w:val="28"/>
      <w:szCs w:val="28"/>
    </w:rPr>
  </w:style>
  <w:style w:type="character" w:customStyle="1" w:styleId="25">
    <w:name w:val="标题 5 字符"/>
    <w:basedOn w:val="18"/>
    <w:link w:val="6"/>
    <w:semiHidden/>
    <w:qFormat/>
    <w:uiPriority w:val="9"/>
    <w:rPr>
      <w:b/>
      <w:bCs/>
      <w:i/>
      <w:iCs/>
      <w:sz w:val="26"/>
      <w:szCs w:val="26"/>
    </w:rPr>
  </w:style>
  <w:style w:type="character" w:customStyle="1" w:styleId="26">
    <w:name w:val="标题 6 字符"/>
    <w:basedOn w:val="18"/>
    <w:link w:val="7"/>
    <w:semiHidden/>
    <w:qFormat/>
    <w:uiPriority w:val="9"/>
    <w:rPr>
      <w:b/>
      <w:bCs/>
    </w:rPr>
  </w:style>
  <w:style w:type="character" w:customStyle="1" w:styleId="27">
    <w:name w:val="标题 7 字符"/>
    <w:basedOn w:val="18"/>
    <w:link w:val="8"/>
    <w:semiHidden/>
    <w:qFormat/>
    <w:uiPriority w:val="9"/>
    <w:rPr>
      <w:sz w:val="24"/>
      <w:szCs w:val="24"/>
    </w:rPr>
  </w:style>
  <w:style w:type="character" w:customStyle="1" w:styleId="28">
    <w:name w:val="标题 8 字符"/>
    <w:basedOn w:val="18"/>
    <w:link w:val="9"/>
    <w:semiHidden/>
    <w:qFormat/>
    <w:uiPriority w:val="9"/>
    <w:rPr>
      <w:i/>
      <w:iCs/>
      <w:sz w:val="24"/>
      <w:szCs w:val="24"/>
    </w:rPr>
  </w:style>
  <w:style w:type="character" w:customStyle="1" w:styleId="29">
    <w:name w:val="标题 9 字符"/>
    <w:basedOn w:val="18"/>
    <w:link w:val="10"/>
    <w:semiHidden/>
    <w:qFormat/>
    <w:uiPriority w:val="9"/>
    <w:rPr>
      <w:rFonts w:asciiTheme="majorHAnsi" w:hAnsiTheme="majorHAnsi" w:eastAsiaTheme="majorEastAsia"/>
    </w:rPr>
  </w:style>
  <w:style w:type="character" w:customStyle="1" w:styleId="30">
    <w:name w:val="标题 字符"/>
    <w:basedOn w:val="18"/>
    <w:link w:val="15"/>
    <w:qFormat/>
    <w:uiPriority w:val="10"/>
    <w:rPr>
      <w:rFonts w:asciiTheme="majorHAnsi" w:hAnsiTheme="majorHAnsi" w:eastAsiaTheme="majorEastAsia"/>
      <w:b/>
      <w:bCs/>
      <w:kern w:val="28"/>
      <w:sz w:val="32"/>
      <w:szCs w:val="32"/>
    </w:rPr>
  </w:style>
  <w:style w:type="character" w:customStyle="1" w:styleId="31">
    <w:name w:val="副标题 字符"/>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字符"/>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字符"/>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字符"/>
    <w:basedOn w:val="18"/>
    <w:link w:val="13"/>
    <w:qFormat/>
    <w:uiPriority w:val="99"/>
    <w:rPr>
      <w:rFonts w:ascii="Calibri" w:hAnsi="Calibri" w:eastAsia="宋体"/>
      <w:kern w:val="2"/>
      <w:sz w:val="18"/>
      <w:szCs w:val="18"/>
    </w:rPr>
  </w:style>
  <w:style w:type="character" w:customStyle="1" w:styleId="45">
    <w:name w:val="页脚 字符"/>
    <w:basedOn w:val="18"/>
    <w:link w:val="12"/>
    <w:qFormat/>
    <w:uiPriority w:val="99"/>
    <w:rPr>
      <w:rFonts w:ascii="Calibri" w:hAnsi="Calibri" w:eastAsia="宋体"/>
      <w:kern w:val="2"/>
      <w:sz w:val="18"/>
      <w:szCs w:val="18"/>
    </w:rPr>
  </w:style>
  <w:style w:type="character" w:customStyle="1" w:styleId="46">
    <w:name w:val="批注框文本 字符"/>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160D1BA1944349B08C48068401F6E698</vt:lpwstr>
  </property>
</Properties>
</file>

<file path=customXml/itemProps1.xml><?xml version="1.0" encoding="utf-8"?>
<ds:datastoreItem xmlns:ds="http://schemas.openxmlformats.org/officeDocument/2006/customXml" ds:itemID="{5533e861-bab3-431b-abe1-dc701266a53e}">
  <ds:schemaRefs/>
</ds:datastoreItem>
</file>

<file path=docProps/app.xml><?xml version="1.0" encoding="utf-8"?>
<Properties xmlns="http://schemas.openxmlformats.org/officeDocument/2006/extended-properties" xmlns:vt="http://schemas.openxmlformats.org/officeDocument/2006/docPropsVTypes">
  <Template>Normal.dotm</Template>
  <Pages>22</Pages>
  <Words>10659</Words>
  <Characters>11035</Characters>
  <Lines>5</Lines>
  <Paragraphs>1</Paragraphs>
  <TotalTime>1</TotalTime>
  <ScaleCrop>false</ScaleCrop>
  <LinksUpToDate>false</LinksUpToDate>
  <CharactersWithSpaces>11053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恺_xFF08_预算处_xFF09_</dc:creator>
  <cp:lastModifiedBy>Qxb</cp:lastModifiedBy>
  <cp:lastPrinted>2018-12-31T10:56:00Z</cp:lastPrinted>
  <dcterms:modified xsi:type="dcterms:W3CDTF">2025-09-22T04:58:04Z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160D1BA1944349B08C48068401F6E698</vt:lpwstr>
  </property>
  <property fmtid="{D5CDD505-2E9C-101B-9397-08002B2CF9AE}" pid="4" name="KSOTemplateDocerSaveRecord">
    <vt:lpwstr>eyJoZGlkIjoiNjhiMzgzMWJiNDVmMjc4YmZhYzYxZmZlMGEwZTI0MDIiLCJ1c2VySWQiOiIxMDczMzg0NjQwIn0=</vt:lpwstr>
  </property>
</Properties>
</file>