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巴音郭楞蒙古自治州生态环境保护综合行政执法支队2024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0C82F0">
      <w:r>
        <w:br w:type="page"/>
      </w:r>
    </w:p>
    <w:p w14:paraId="6A275142">
      <w:pPr>
        <w:spacing w:line="640" w:lineRule="exact"/>
        <w:jc w:val="center"/>
        <w:outlineLvl w:val="1"/>
      </w:pPr>
      <w:r>
        <w:rPr>
          <w:rFonts w:ascii="黑体" w:hAnsi="黑体" w:eastAsia="黑体"/>
          <w:sz w:val="32"/>
        </w:rPr>
        <w:t>第一部分 单位概况</w:t>
      </w:r>
    </w:p>
    <w:p w14:paraId="4583EE63">
      <w:pPr>
        <w:spacing w:line="640" w:lineRule="exact"/>
        <w:ind w:firstLine="640"/>
        <w:jc w:val="both"/>
        <w:outlineLvl w:val="2"/>
      </w:pPr>
      <w:r>
        <w:rPr>
          <w:rFonts w:ascii="黑体" w:hAnsi="黑体" w:eastAsia="黑体"/>
          <w:sz w:val="32"/>
        </w:rPr>
        <w:t>一、主要职能</w:t>
      </w:r>
    </w:p>
    <w:p w14:paraId="256D6DE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负责贯彻执行国家和地方生态环境保护的有关法律、法规、规章和规范性文件。</w:t>
      </w:r>
    </w:p>
    <w:p w14:paraId="7BF97038">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受巴州生态环境局委托，依法对辖区内单位或个人执行生态环境保护法律、法规、规章和规范性文件的情况进行现场监督、检查和处理。</w:t>
      </w:r>
    </w:p>
    <w:p w14:paraId="1355326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按照巴州生态环境局的统一安排，对辖区内重大建设项目（中石油塔里木油田公司、中石化西北油田公司、河南油田等）和自治州重点污染源企业执行环境影响评价和“三同时”制度、污染物达标排放、污染防治设施运行、排污口规范化整治及排污许可证执行情况等进行监督检查。</w:t>
      </w:r>
    </w:p>
    <w:p w14:paraId="7A51B0B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负责现场监督检查辖区内自然保护区、畜禽养殖污染防治等生态和农村环境保护法律法规执行情况，对严重污染环境和破坏生态问题进行督查；配合局机关做好集中式饮用水源保护区的环境监管工作。</w:t>
      </w:r>
    </w:p>
    <w:p w14:paraId="14A6A03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负责查办、转办、督办辖区内关于环境污染和生态破坏的群众投诉、举报案件；按照职责分工，负责辖区内环境污染和生态破坏纠纷的调解处理工作。</w:t>
      </w:r>
    </w:p>
    <w:p w14:paraId="046803D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负责指导辖区内重点污染源企业环境安全隐患排查工作；参与突发生态环境事件（故）的现场应急处置。</w:t>
      </w:r>
    </w:p>
    <w:p w14:paraId="77FB5C25">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负责辖区内污染源远程自动在线监控平台的建设和日常管理；负责第三方自动在线监控系统运维工作的考核；建立健全相关档案，及时采集、通报异常排污数据信息。</w:t>
      </w:r>
    </w:p>
    <w:p w14:paraId="78B7013C">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负责开展全州环境稽查工作；指导、检查全州环境监察机构自身建设和执法情况。</w:t>
      </w:r>
    </w:p>
    <w:p w14:paraId="38B093C3">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负责组织全州环境监察人员的业务培训，总结交流环境监察工作经验；负责全州环境监察业务统计、指导、汇总和上报工作。</w:t>
      </w:r>
    </w:p>
    <w:p w14:paraId="02AE8ABA">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承担法律、法规、规章和规范性文件规定的其他职责。承担巴州生态环境局和上级环境监察机构委托的其他任务。</w:t>
      </w:r>
    </w:p>
    <w:p w14:paraId="15AF53E5">
      <w:pPr>
        <w:spacing w:line="640" w:lineRule="exact"/>
        <w:ind w:firstLine="640"/>
        <w:jc w:val="both"/>
        <w:outlineLvl w:val="2"/>
      </w:pPr>
      <w:r>
        <w:rPr>
          <w:rFonts w:ascii="黑体" w:hAnsi="黑体" w:eastAsia="黑体"/>
          <w:sz w:val="32"/>
        </w:rPr>
        <w:t>二、机构设置及人员情况</w:t>
      </w:r>
    </w:p>
    <w:p w14:paraId="5E228151">
      <w:pPr>
        <w:spacing w:line="580" w:lineRule="exact"/>
        <w:ind w:firstLine="640"/>
        <w:jc w:val="both"/>
      </w:pPr>
      <w:bookmarkStart w:id="0" w:name="_GoBack"/>
      <w:r>
        <w:rPr>
          <w:rFonts w:ascii="仿宋_GB2312" w:hAnsi="仿宋_GB2312" w:eastAsia="仿宋_GB2312"/>
          <w:sz w:val="32"/>
        </w:rPr>
        <w:t>巴音郭楞</w:t>
      </w:r>
      <w:bookmarkEnd w:id="0"/>
      <w:r>
        <w:rPr>
          <w:rFonts w:ascii="仿宋_GB2312" w:hAnsi="仿宋_GB2312" w:eastAsia="仿宋_GB2312"/>
          <w:sz w:val="32"/>
        </w:rPr>
        <w:t>蒙古自治州生态环境保护综合行政执法支队2024年度，实有人数16人，其中：在职人员11人，减少4人；离休人员0人，增加0人；退休人员5人,增加1人。</w:t>
      </w:r>
    </w:p>
    <w:p w14:paraId="46A1CB0C">
      <w:pPr>
        <w:spacing w:line="580" w:lineRule="exact"/>
        <w:ind w:firstLine="640"/>
        <w:jc w:val="both"/>
      </w:pPr>
      <w:r>
        <w:rPr>
          <w:rFonts w:ascii="仿宋_GB2312" w:hAnsi="仿宋_GB2312" w:eastAsia="仿宋_GB2312"/>
          <w:sz w:val="32"/>
        </w:rPr>
        <w:t>巴音郭楞蒙古自治州生态环境保护综合行政执法支队无下属预算单位，下设6个科室，分别是：一大队、二大队、综合业务室、环境稽查室、污染源在线监控中心、12369举报中心。</w:t>
      </w:r>
    </w:p>
    <w:p w14:paraId="7B8864E1">
      <w:r>
        <w:br w:type="page"/>
      </w:r>
    </w:p>
    <w:p w14:paraId="4A8BED56">
      <w:pPr>
        <w:spacing w:line="240" w:lineRule="auto"/>
        <w:jc w:val="center"/>
        <w:outlineLvl w:val="1"/>
      </w:pPr>
      <w:r>
        <w:rPr>
          <w:rFonts w:ascii="黑体" w:hAnsi="黑体" w:eastAsia="黑体"/>
          <w:sz w:val="32"/>
        </w:rPr>
        <w:t>第二部分 部门决算情况说明</w:t>
      </w:r>
    </w:p>
    <w:p w14:paraId="574EBADF">
      <w:pPr>
        <w:spacing w:line="640" w:lineRule="exact"/>
        <w:ind w:firstLine="640"/>
        <w:jc w:val="both"/>
        <w:outlineLvl w:val="2"/>
      </w:pPr>
      <w:r>
        <w:rPr>
          <w:rFonts w:ascii="黑体" w:hAnsi="黑体" w:eastAsia="黑体"/>
          <w:sz w:val="32"/>
        </w:rPr>
        <w:t>一、收入支出决算总体情况说明</w:t>
      </w:r>
    </w:p>
    <w:p w14:paraId="72A2BE3A">
      <w:pPr>
        <w:spacing w:line="580" w:lineRule="exact"/>
        <w:ind w:firstLine="640"/>
        <w:jc w:val="both"/>
      </w:pPr>
      <w:r>
        <w:rPr>
          <w:rFonts w:ascii="仿宋_GB2312" w:hAnsi="仿宋_GB2312" w:eastAsia="仿宋_GB2312"/>
          <w:b/>
          <w:sz w:val="32"/>
        </w:rPr>
        <w:t>2024年度收入总计437.77万元，</w:t>
      </w:r>
      <w:r>
        <w:rPr>
          <w:rFonts w:ascii="仿宋_GB2312" w:hAnsi="仿宋_GB2312" w:eastAsia="仿宋_GB2312"/>
          <w:b w:val="0"/>
          <w:sz w:val="32"/>
        </w:rPr>
        <w:t>其中：本年收入合计380.09万元，使用非财政拨款结余（含专用结余）0.00万元，年初结转和结余57.68万元。</w:t>
      </w:r>
    </w:p>
    <w:p w14:paraId="29ABC9F7">
      <w:pPr>
        <w:spacing w:line="580" w:lineRule="exact"/>
        <w:ind w:firstLine="640"/>
        <w:jc w:val="both"/>
      </w:pPr>
      <w:r>
        <w:rPr>
          <w:rFonts w:ascii="仿宋_GB2312" w:hAnsi="仿宋_GB2312" w:eastAsia="仿宋_GB2312"/>
          <w:b/>
          <w:sz w:val="32"/>
        </w:rPr>
        <w:t>2024年度支出总计437.77万元，</w:t>
      </w:r>
      <w:r>
        <w:rPr>
          <w:rFonts w:ascii="仿宋_GB2312" w:hAnsi="仿宋_GB2312" w:eastAsia="仿宋_GB2312"/>
          <w:b w:val="0"/>
          <w:sz w:val="32"/>
        </w:rPr>
        <w:t>其中：本年支出合计380.06万元，结余分配0.00万元，年末结转和结余57.70万元。</w:t>
      </w:r>
    </w:p>
    <w:p w14:paraId="25A95BFD">
      <w:pPr>
        <w:spacing w:line="580" w:lineRule="exact"/>
        <w:ind w:firstLine="640"/>
        <w:jc w:val="both"/>
      </w:pPr>
      <w:r>
        <w:rPr>
          <w:rFonts w:ascii="仿宋_GB2312" w:hAnsi="仿宋_GB2312" w:eastAsia="仿宋_GB2312"/>
          <w:b w:val="0"/>
          <w:sz w:val="32"/>
        </w:rPr>
        <w:t>收入支出总体与上年相比，减少136.70万元，下降23.80%，主要原因是：本年减少自治区水污染防治资金、生态环境综合执法经费；本年在职人员减少，相关人员经费较上年减少。</w:t>
      </w:r>
    </w:p>
    <w:p w14:paraId="396A5AC9">
      <w:pPr>
        <w:spacing w:line="640" w:lineRule="exact"/>
        <w:ind w:firstLine="640"/>
        <w:jc w:val="both"/>
        <w:outlineLvl w:val="2"/>
      </w:pPr>
      <w:r>
        <w:rPr>
          <w:rFonts w:ascii="黑体" w:hAnsi="黑体" w:eastAsia="黑体"/>
          <w:sz w:val="32"/>
        </w:rPr>
        <w:t>二、收入决算情况说明</w:t>
      </w:r>
    </w:p>
    <w:p w14:paraId="55728A68">
      <w:pPr>
        <w:spacing w:line="580" w:lineRule="exact"/>
        <w:ind w:firstLine="640"/>
        <w:jc w:val="both"/>
      </w:pPr>
      <w:r>
        <w:rPr>
          <w:rFonts w:ascii="仿宋_GB2312" w:hAnsi="仿宋_GB2312" w:eastAsia="仿宋_GB2312"/>
          <w:b/>
          <w:sz w:val="32"/>
        </w:rPr>
        <w:t>本年收入380.09万元，</w:t>
      </w:r>
      <w:r>
        <w:rPr>
          <w:rFonts w:ascii="仿宋_GB2312" w:hAnsi="仿宋_GB2312" w:eastAsia="仿宋_GB2312"/>
          <w:b w:val="0"/>
          <w:sz w:val="32"/>
        </w:rPr>
        <w:t>其中：财政拨款收入380.03万元，占99.98%；上级补助收入0.00万元，占0.00%；事业收入0.00万元，占0.00%；经营收入0.00万元，占0.00%；附属单位上缴收入0.00万元，占0.00%；其他收入0.06万元，占0.02%。</w:t>
      </w:r>
    </w:p>
    <w:p w14:paraId="75FE1F7D">
      <w:pPr>
        <w:spacing w:line="640" w:lineRule="exact"/>
        <w:ind w:firstLine="640"/>
        <w:jc w:val="both"/>
        <w:outlineLvl w:val="2"/>
      </w:pPr>
      <w:r>
        <w:rPr>
          <w:rFonts w:ascii="黑体" w:hAnsi="黑体" w:eastAsia="黑体"/>
          <w:sz w:val="32"/>
        </w:rPr>
        <w:t>三、支出决算情况说明</w:t>
      </w:r>
    </w:p>
    <w:p w14:paraId="576E1D62">
      <w:pPr>
        <w:spacing w:line="580" w:lineRule="exact"/>
        <w:ind w:firstLine="640"/>
        <w:jc w:val="both"/>
      </w:pPr>
      <w:r>
        <w:rPr>
          <w:rFonts w:ascii="仿宋_GB2312" w:hAnsi="仿宋_GB2312" w:eastAsia="仿宋_GB2312"/>
          <w:b/>
          <w:sz w:val="32"/>
        </w:rPr>
        <w:t>本年支出380.06万元，</w:t>
      </w:r>
      <w:r>
        <w:rPr>
          <w:rFonts w:ascii="仿宋_GB2312" w:hAnsi="仿宋_GB2312" w:eastAsia="仿宋_GB2312"/>
          <w:b w:val="0"/>
          <w:sz w:val="32"/>
        </w:rPr>
        <w:t>其中：基本支出326.06万元，占85.79%；项目支出54.00万元，占14.21%；上缴上级支出0.00万元，占0.00%；经营支出0.00万元，占0.00%；对附属单位补助支出0.00万元，占0.00%。</w:t>
      </w:r>
    </w:p>
    <w:p w14:paraId="34D56257">
      <w:pPr>
        <w:spacing w:line="640" w:lineRule="exact"/>
        <w:ind w:firstLine="640"/>
        <w:jc w:val="both"/>
        <w:outlineLvl w:val="2"/>
      </w:pPr>
      <w:r>
        <w:rPr>
          <w:rFonts w:ascii="黑体" w:hAnsi="黑体" w:eastAsia="黑体"/>
          <w:sz w:val="32"/>
        </w:rPr>
        <w:t>四、财政拨款收入支出决算总体情况说明</w:t>
      </w:r>
    </w:p>
    <w:p w14:paraId="54C7D825">
      <w:pPr>
        <w:spacing w:line="580" w:lineRule="exact"/>
        <w:ind w:firstLine="640"/>
        <w:jc w:val="both"/>
      </w:pPr>
      <w:r>
        <w:rPr>
          <w:rFonts w:ascii="仿宋_GB2312" w:hAnsi="仿宋_GB2312" w:eastAsia="仿宋_GB2312"/>
          <w:b/>
          <w:sz w:val="32"/>
        </w:rPr>
        <w:t>2024年度财政拨款收入总计380.03万元，</w:t>
      </w:r>
      <w:r>
        <w:rPr>
          <w:rFonts w:ascii="仿宋_GB2312" w:hAnsi="仿宋_GB2312" w:eastAsia="仿宋_GB2312"/>
          <w:b w:val="0"/>
          <w:sz w:val="32"/>
        </w:rPr>
        <w:t>其中：年初财政拨款结转和结余0.00万元，本年财政拨款收入380.03万元。</w:t>
      </w:r>
      <w:r>
        <w:rPr>
          <w:rFonts w:ascii="仿宋_GB2312" w:hAnsi="仿宋_GB2312" w:eastAsia="仿宋_GB2312"/>
          <w:b/>
          <w:sz w:val="32"/>
        </w:rPr>
        <w:t>财政拨款支出总计380.03万元，</w:t>
      </w:r>
      <w:r>
        <w:rPr>
          <w:rFonts w:ascii="仿宋_GB2312" w:hAnsi="仿宋_GB2312" w:eastAsia="仿宋_GB2312"/>
          <w:b w:val="0"/>
          <w:sz w:val="32"/>
        </w:rPr>
        <w:t>其中：年末财政拨款结转和结余0.00万元，本年财政拨款支出380.03万元。</w:t>
      </w:r>
    </w:p>
    <w:p w14:paraId="2D400F6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减少123.98万元，下降24.60%，主要原因是：本年减少自治区水污染防治资金、生态环境综合执法经费；本年在职人员减少，相关人员经费较上年减少。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年初预算数406.50万元，决算数380.03万元，预决算差异率-6.51%，主要原因是：本年在职人员减少，年中调减人员经费，导致预决算存在差异。</w:t>
      </w:r>
    </w:p>
    <w:p w14:paraId="68923F99">
      <w:pPr>
        <w:spacing w:line="640" w:lineRule="exact"/>
        <w:ind w:firstLine="640"/>
        <w:jc w:val="both"/>
        <w:outlineLvl w:val="2"/>
      </w:pPr>
      <w:r>
        <w:rPr>
          <w:rFonts w:ascii="黑体" w:hAnsi="黑体" w:eastAsia="黑体"/>
          <w:sz w:val="32"/>
        </w:rPr>
        <w:t>五、一般公共预算财政拨款支出决算情况说明</w:t>
      </w:r>
    </w:p>
    <w:p w14:paraId="6839F41F">
      <w:pPr>
        <w:spacing w:line="640" w:lineRule="exact"/>
        <w:ind w:firstLine="640"/>
        <w:jc w:val="both"/>
        <w:outlineLvl w:val="3"/>
      </w:pPr>
      <w:r>
        <w:rPr>
          <w:rFonts w:ascii="楷体_GB2312" w:hAnsi="楷体_GB2312" w:eastAsia="楷体_GB2312"/>
          <w:b/>
          <w:sz w:val="32"/>
        </w:rPr>
        <w:t>（一）一般公共预算财政拨款支出决算总体情况</w:t>
      </w:r>
    </w:p>
    <w:p w14:paraId="2E6B56F3">
      <w:pPr>
        <w:spacing w:line="580" w:lineRule="exact"/>
        <w:ind w:firstLine="640"/>
        <w:jc w:val="both"/>
      </w:pPr>
      <w:r>
        <w:rPr>
          <w:rFonts w:ascii="仿宋_GB2312" w:hAnsi="仿宋_GB2312" w:eastAsia="仿宋_GB2312"/>
          <w:b/>
          <w:sz w:val="32"/>
        </w:rPr>
        <w:t>2024年度一般公共预算财政拨款支出380.03万元，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减少123.98万元，下降24.60%，主要原因是：本年减少自治区水污染防治资金、生态环境综合执法经费；本年在职人员减少，相关人员经费较上年减少。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年初预算数406.50万元，决算数380.03万元，预决算差异率-6.51%，主要原因是：本年在职人员减少，年中调减人员经费，导致预决算存在差异。</w:t>
      </w:r>
    </w:p>
    <w:p w14:paraId="703DF886">
      <w:pPr>
        <w:spacing w:line="640" w:lineRule="exact"/>
        <w:ind w:firstLine="640"/>
        <w:jc w:val="both"/>
        <w:outlineLvl w:val="3"/>
      </w:pPr>
      <w:r>
        <w:rPr>
          <w:rFonts w:ascii="楷体_GB2312" w:hAnsi="楷体_GB2312" w:eastAsia="楷体_GB2312"/>
          <w:b/>
          <w:sz w:val="32"/>
        </w:rPr>
        <w:t>（二）一般公共预算财政拨款支出决算结构情况</w:t>
      </w:r>
    </w:p>
    <w:p w14:paraId="44D8E4BE">
      <w:pPr>
        <w:spacing w:line="580" w:lineRule="exact"/>
        <w:ind w:firstLine="640"/>
        <w:jc w:val="both"/>
      </w:pPr>
      <w:r>
        <w:rPr>
          <w:rFonts w:ascii="仿宋_GB2312" w:hAnsi="仿宋_GB2312" w:eastAsia="仿宋_GB2312"/>
          <w:b w:val="0"/>
          <w:sz w:val="32"/>
        </w:rPr>
        <w:t>1.教育支出(类)0.51万元,占0.13%。</w:t>
      </w:r>
    </w:p>
    <w:p w14:paraId="67D4C4ED">
      <w:pPr>
        <w:spacing w:line="580" w:lineRule="exact"/>
        <w:ind w:firstLine="640"/>
        <w:jc w:val="both"/>
      </w:pPr>
      <w:r>
        <w:rPr>
          <w:rFonts w:ascii="仿宋_GB2312" w:hAnsi="仿宋_GB2312" w:eastAsia="仿宋_GB2312"/>
          <w:b w:val="0"/>
          <w:sz w:val="32"/>
        </w:rPr>
        <w:t>2.社会保障和就业支出(类)44.31万元,占11.66%。</w:t>
      </w:r>
    </w:p>
    <w:p w14:paraId="1F8F1150">
      <w:pPr>
        <w:spacing w:line="580" w:lineRule="exact"/>
        <w:ind w:firstLine="640"/>
        <w:jc w:val="both"/>
      </w:pPr>
      <w:r>
        <w:rPr>
          <w:rFonts w:ascii="仿宋_GB2312" w:hAnsi="仿宋_GB2312" w:eastAsia="仿宋_GB2312"/>
          <w:b w:val="0"/>
          <w:sz w:val="32"/>
        </w:rPr>
        <w:t>3.卫生健康支出(类)15.35万元,占4.04%。</w:t>
      </w:r>
    </w:p>
    <w:p w14:paraId="35E02F5B">
      <w:pPr>
        <w:spacing w:line="580" w:lineRule="exact"/>
        <w:ind w:firstLine="640"/>
        <w:jc w:val="both"/>
      </w:pPr>
      <w:r>
        <w:rPr>
          <w:rFonts w:ascii="仿宋_GB2312" w:hAnsi="仿宋_GB2312" w:eastAsia="仿宋_GB2312"/>
          <w:b w:val="0"/>
          <w:sz w:val="32"/>
        </w:rPr>
        <w:t>4.节能环保支出(类)300.35万元,占79.03%。</w:t>
      </w:r>
    </w:p>
    <w:p w14:paraId="6F79F609">
      <w:pPr>
        <w:spacing w:line="580" w:lineRule="exact"/>
        <w:ind w:firstLine="640"/>
        <w:jc w:val="both"/>
      </w:pPr>
      <w:r>
        <w:rPr>
          <w:rFonts w:ascii="仿宋_GB2312" w:hAnsi="仿宋_GB2312" w:eastAsia="仿宋_GB2312"/>
          <w:b w:val="0"/>
          <w:sz w:val="32"/>
        </w:rPr>
        <w:t>5.住房保障支出(类)19.51万元,占5.13%。</w:t>
      </w:r>
    </w:p>
    <w:p w14:paraId="6FD63DA7">
      <w:pPr>
        <w:spacing w:line="640" w:lineRule="exact"/>
        <w:ind w:firstLine="640"/>
        <w:jc w:val="both"/>
        <w:outlineLvl w:val="3"/>
      </w:pPr>
      <w:r>
        <w:rPr>
          <w:rFonts w:ascii="楷体_GB2312" w:hAnsi="楷体_GB2312" w:eastAsia="楷体_GB2312"/>
          <w:b/>
          <w:sz w:val="32"/>
        </w:rPr>
        <w:t>（三）一般公共预算财政拨款支出决算具体情况</w:t>
      </w:r>
    </w:p>
    <w:p w14:paraId="261AA3C9">
      <w:pPr>
        <w:spacing w:line="580" w:lineRule="exact"/>
        <w:ind w:firstLine="640"/>
        <w:jc w:val="both"/>
      </w:pPr>
      <w:r>
        <w:rPr>
          <w:rFonts w:ascii="仿宋_GB2312" w:hAnsi="仿宋_GB2312" w:eastAsia="仿宋_GB2312"/>
          <w:b w:val="0"/>
          <w:sz w:val="32"/>
        </w:rPr>
        <w:t>1.教育支出(类)进修及培训(款)培训支出(项):支出决算数为0.51万元，比上年决算减少0.46万元，下降47.42%,主要原因是：本年度相关业务培训减少，故培训支出减少。</w:t>
      </w:r>
    </w:p>
    <w:p w14:paraId="17184877">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2.社会保障和就业支出(类)行政事业单位养老支出(款)行政单位离退休(项):支出决算数为4.54万元，比上年决算增加1.02万元，增长28.98%,主要原因是：本年增加退休人员，增加退休人员基础绩效奖，退休费支出增加。</w:t>
      </w:r>
    </w:p>
    <w:p w14:paraId="240E5E0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25.82万元，比上年决算增加1.12万元，增长4.53%,主要原因是：本年在职人员工资基数调增，养老缴费基数上涨，相应支出增加。</w:t>
      </w:r>
    </w:p>
    <w:p w14:paraId="36318C3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4.社会保障和就业支出(类)行政事业单位养老支出(款)机关事业单位职业年金缴费支出(项):支出决算数为13.95万元，比上年决算增加13.95万元，增长100.00%,主要原因是：本年新增退休人员，职业年金缴费支出增加。</w:t>
      </w:r>
    </w:p>
    <w:p w14:paraId="2C5181A9">
      <w:pPr>
        <w:spacing w:line="580" w:lineRule="exact"/>
        <w:ind w:firstLine="640"/>
        <w:jc w:val="both"/>
      </w:pPr>
      <w:r>
        <w:rPr>
          <w:rFonts w:ascii="仿宋_GB2312" w:hAnsi="仿宋_GB2312" w:eastAsia="仿宋_GB2312"/>
          <w:b w:val="0"/>
          <w:sz w:val="32"/>
        </w:rPr>
        <w:t>5.卫生健康支出(类)行政事业单位医疗(款)行政单位医疗(项):支出决算数为9.93万元，比上年决算增加0.23万元，增长2.37%,主要原因是：本年在职人员工资基数调增，医疗缴费基数上涨，相应支出增加。</w:t>
      </w:r>
    </w:p>
    <w:p w14:paraId="07D3B974">
      <w:pPr>
        <w:spacing w:line="580" w:lineRule="exact"/>
        <w:ind w:firstLine="640"/>
        <w:jc w:val="both"/>
      </w:pPr>
      <w:r>
        <w:rPr>
          <w:rFonts w:ascii="仿宋_GB2312" w:hAnsi="仿宋_GB2312" w:eastAsia="仿宋_GB2312"/>
          <w:b w:val="0"/>
          <w:sz w:val="32"/>
        </w:rPr>
        <w:t>6.卫生健康支出(类)行政事业单位医疗(款)事业单位医疗(项):支出决算数为0.77万元，比上年决算减少0.34万元，下降30.63%,主要原因是：本年度事业人员减少，故事业单位医疗支出减少。</w:t>
      </w:r>
    </w:p>
    <w:p w14:paraId="22517A6C">
      <w:pPr>
        <w:spacing w:line="580" w:lineRule="exact"/>
        <w:ind w:firstLine="640"/>
        <w:jc w:val="both"/>
      </w:pPr>
      <w:r>
        <w:rPr>
          <w:rFonts w:ascii="仿宋_GB2312" w:hAnsi="仿宋_GB2312" w:eastAsia="仿宋_GB2312"/>
          <w:b w:val="0"/>
          <w:sz w:val="32"/>
        </w:rPr>
        <w:t>7.卫生健康支出(类)行政事业单位医疗(款)公务员医疗补助(项):支出决算数为4.26万元，比上年决算增加0.10万元，增长2.40%,主要原因是：本年在职人员工资基数调增，医疗缴费基数上涨，相应支出增加。</w:t>
      </w:r>
    </w:p>
    <w:p w14:paraId="766D8137">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8.卫生健康支出(类)行政事业单位医疗(款)其他行政事业单位医疗支出(项):支出决算数为0.38万元，比上年决算减少0.09万元，下降19.15%,主要原因是：本年度事业人员减少，故其他行政事业单位医疗支出减少。</w:t>
      </w:r>
    </w:p>
    <w:p w14:paraId="47F72C9D">
      <w:pPr>
        <w:spacing w:line="580" w:lineRule="exact"/>
        <w:ind w:firstLine="640"/>
        <w:jc w:val="both"/>
      </w:pPr>
      <w:r>
        <w:rPr>
          <w:rFonts w:ascii="仿宋_GB2312" w:hAnsi="仿宋_GB2312" w:eastAsia="仿宋_GB2312"/>
          <w:b w:val="0"/>
          <w:sz w:val="32"/>
        </w:rPr>
        <w:t>9.节能环保支出(类)环境保护管理事务(款)行政运行(项):支出决算数为233.79万元，比上年决算增加34.27万元，增长17.18%,主要原因是：本年在职人员工资调增，导致相关人员经费较上年有所增加。</w:t>
      </w:r>
    </w:p>
    <w:p w14:paraId="487B45F4">
      <w:pPr>
        <w:spacing w:line="580" w:lineRule="exact"/>
        <w:ind w:firstLine="640"/>
        <w:jc w:val="both"/>
      </w:pPr>
      <w:r>
        <w:rPr>
          <w:rFonts w:ascii="仿宋_GB2312" w:hAnsi="仿宋_GB2312" w:eastAsia="仿宋_GB2312"/>
          <w:b w:val="0"/>
          <w:sz w:val="32"/>
        </w:rPr>
        <w:t>10.节能环保支出(类)环境保护管理事务(款)一般行政管理事务(项):支出决算数为54.00万元，比上年决算减少43.00万元，下降44.33%,主要原因是：本年减少生态环境综合执法经费。</w:t>
      </w:r>
    </w:p>
    <w:p w14:paraId="3F4AECF6">
      <w:pPr>
        <w:spacing w:line="580" w:lineRule="exact"/>
        <w:ind w:firstLine="640"/>
        <w:jc w:val="both"/>
      </w:pPr>
      <w:r>
        <w:rPr>
          <w:rFonts w:ascii="仿宋_GB2312" w:hAnsi="仿宋_GB2312" w:eastAsia="仿宋_GB2312"/>
          <w:b w:val="0"/>
          <w:sz w:val="32"/>
        </w:rPr>
        <w:t>11.节能环保支出(类)环境保护管理事务(款)其他环境保护管理事务支出(项):支出决算数为12.57万元，比上年决算减少5.57万元，下降30.71%,主要原因是：本年事业人员减少，导致相关人员经费减少。</w:t>
      </w:r>
    </w:p>
    <w:p w14:paraId="2653D346">
      <w:pPr>
        <w:spacing w:line="580" w:lineRule="exact"/>
        <w:ind w:firstLine="640"/>
        <w:jc w:val="both"/>
      </w:pPr>
      <w:r>
        <w:rPr>
          <w:rFonts w:ascii="仿宋_GB2312" w:hAnsi="仿宋_GB2312" w:eastAsia="仿宋_GB2312"/>
          <w:b w:val="0"/>
          <w:sz w:val="32"/>
        </w:rPr>
        <w:t>12.节能环保支出(类)污染防治(款)水体(项):支出决算数为0.00万元，比上年决算减少126.70万元，下降100.00%,主要原因是：本年减少自治区水污染防治资金。</w:t>
      </w:r>
    </w:p>
    <w:p w14:paraId="5267257C">
      <w:pPr>
        <w:spacing w:line="580" w:lineRule="exact"/>
        <w:ind w:firstLine="640"/>
        <w:jc w:val="both"/>
      </w:pPr>
      <w:r>
        <w:rPr>
          <w:rFonts w:ascii="仿宋_GB2312" w:hAnsi="仿宋_GB2312" w:eastAsia="仿宋_GB2312"/>
          <w:b w:val="0"/>
          <w:sz w:val="32"/>
        </w:rPr>
        <w:t>13.住房保障支出(类)住房改革支出(款)住房公积金(项):支出决算数为19.51万元，比上年决算增加1.48万元，增长8.21%,主要原因是：本年在职人员工资基数调增，公积金缴费基数上涨，相应支出增加。</w:t>
      </w:r>
    </w:p>
    <w:p w14:paraId="0CB114A0">
      <w:pPr>
        <w:spacing w:line="640" w:lineRule="exact"/>
        <w:ind w:firstLine="640"/>
        <w:jc w:val="both"/>
        <w:outlineLvl w:val="2"/>
      </w:pPr>
      <w:r>
        <w:rPr>
          <w:rFonts w:ascii="黑体" w:hAnsi="黑体" w:eastAsia="黑体"/>
          <w:sz w:val="32"/>
        </w:rPr>
        <w:t>六、一般公共预算财政拨款基本支出决算情况说明</w:t>
      </w:r>
    </w:p>
    <w:p w14:paraId="47030129">
      <w:pPr>
        <w:spacing w:line="580" w:lineRule="exact"/>
        <w:ind w:firstLine="640"/>
        <w:jc w:val="both"/>
      </w:pPr>
      <w:r>
        <w:rPr>
          <w:rFonts w:ascii="仿宋_GB2312" w:hAnsi="仿宋_GB2312" w:eastAsia="仿宋_GB2312"/>
          <w:b w:val="0"/>
          <w:sz w:val="32"/>
        </w:rPr>
        <w:t>2024年度一般公共预算财政拨款基本支出326.03万元，其中：</w:t>
      </w:r>
      <w:r>
        <w:rPr>
          <w:rFonts w:ascii="仿宋_GB2312" w:hAnsi="仿宋_GB2312" w:eastAsia="仿宋_GB2312"/>
          <w:b/>
          <w:sz w:val="32"/>
        </w:rPr>
        <w:t>人员经费258.22万元，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包括：基本工资、津贴补贴、奖金、伙食补助费、机关事业单位基本养老保险缴费、职业年金缴费、职工基本医疗保险缴费、公务员医疗补助缴费、其他社会保障缴费、住房公积金、退休费、奖励金。</w:t>
      </w:r>
    </w:p>
    <w:p w14:paraId="2712290B">
      <w:pPr>
        <w:spacing w:line="580" w:lineRule="exact"/>
        <w:ind w:firstLine="640"/>
        <w:jc w:val="both"/>
      </w:pPr>
      <w:r>
        <w:rPr>
          <w:rFonts w:ascii="仿宋_GB2312" w:hAnsi="仿宋_GB2312" w:eastAsia="仿宋_GB2312"/>
          <w:b/>
          <w:sz w:val="32"/>
        </w:rPr>
        <w:t>公用经费67.80万元，</w:t>
      </w:r>
      <w:r>
        <w:rPr>
          <w:rFonts w:ascii="仿宋_GB2312" w:hAnsi="仿宋_GB2312" w:eastAsia="仿宋_GB2312"/>
          <w:b w:val="0"/>
          <w:sz w:val="32"/>
        </w:rPr>
        <w:t>包括：办公费、水费、电费、取暖费、物业管理费、差旅费、培训费、劳务费、工会经费、福利费、公务用车运行维护费。</w:t>
      </w:r>
    </w:p>
    <w:p w14:paraId="75659751">
      <w:pPr>
        <w:spacing w:line="640" w:lineRule="exact"/>
        <w:ind w:firstLine="640"/>
        <w:jc w:val="both"/>
        <w:outlineLvl w:val="2"/>
      </w:pPr>
      <w:r>
        <w:rPr>
          <w:rFonts w:ascii="黑体" w:hAnsi="黑体" w:eastAsia="黑体"/>
          <w:sz w:val="32"/>
        </w:rPr>
        <w:t>七、政府性基金预算财政拨款收入支出决算情况说明</w:t>
      </w:r>
    </w:p>
    <w:p w14:paraId="2F5C1E0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16264F">
      <w:pPr>
        <w:spacing w:line="640" w:lineRule="exact"/>
        <w:ind w:firstLine="640"/>
        <w:jc w:val="both"/>
        <w:outlineLvl w:val="2"/>
      </w:pPr>
      <w:r>
        <w:rPr>
          <w:rFonts w:ascii="黑体" w:hAnsi="黑体" w:eastAsia="黑体"/>
          <w:sz w:val="32"/>
        </w:rPr>
        <w:t>八、国有资本经营预算财政拨款收入支出决算情况说明</w:t>
      </w:r>
    </w:p>
    <w:p w14:paraId="74E296C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CAC244">
      <w:pPr>
        <w:spacing w:line="640" w:lineRule="exact"/>
        <w:ind w:firstLine="640"/>
        <w:jc w:val="both"/>
        <w:outlineLvl w:val="2"/>
      </w:pPr>
      <w:r>
        <w:rPr>
          <w:rFonts w:ascii="黑体" w:hAnsi="黑体" w:eastAsia="黑体"/>
          <w:sz w:val="32"/>
        </w:rPr>
        <w:t>九、财政拨款“三公”经费支出决算情况说明</w:t>
      </w:r>
    </w:p>
    <w:p w14:paraId="7B12451D">
      <w:pPr>
        <w:spacing w:line="580" w:lineRule="exact"/>
        <w:ind w:firstLine="640"/>
        <w:jc w:val="both"/>
      </w:pPr>
      <w:r>
        <w:rPr>
          <w:rFonts w:ascii="仿宋_GB2312" w:hAnsi="仿宋_GB2312" w:eastAsia="仿宋_GB2312"/>
          <w:b/>
          <w:sz w:val="32"/>
        </w:rPr>
        <w:t>2024年度财政拨款“三公”经费支出11.20万元，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11.20万元，占100.00%，比上年增加0.00万元，增长0.00%，主要原因是：本单位公务用车运行维护费与上年一致无变化。公务接待费支出0.00万元，占0.00%，比上年增加0.00万元，增长0.00%，主要原因是：2023年与2024年均未安排公务接待费支出。</w:t>
      </w:r>
    </w:p>
    <w:p w14:paraId="31F15658">
      <w:pPr>
        <w:spacing w:line="580" w:lineRule="exact"/>
        <w:ind w:firstLine="640"/>
        <w:jc w:val="both"/>
      </w:pPr>
      <w:r>
        <w:rPr>
          <w:rFonts w:ascii="仿宋_GB2312" w:hAnsi="仿宋_GB2312" w:eastAsia="仿宋_GB2312"/>
          <w:b/>
          <w:sz w:val="32"/>
        </w:rPr>
        <w:t>具体情况如下：</w:t>
      </w:r>
    </w:p>
    <w:p w14:paraId="01F865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264545F">
      <w:pPr>
        <w:spacing w:line="580" w:lineRule="exact"/>
        <w:ind w:firstLine="640"/>
        <w:jc w:val="both"/>
      </w:pPr>
      <w:r>
        <w:rPr>
          <w:rFonts w:ascii="仿宋_GB2312" w:hAnsi="仿宋_GB2312" w:eastAsia="仿宋_GB2312"/>
          <w:b w:val="0"/>
          <w:sz w:val="32"/>
        </w:rPr>
        <w:t>公务用车购置及运行维护费11.20万元，其中：公务用车购置费0.00万元，公务用车运行维护费11.20万元。公务用车运行维护费开支内容包括车辆燃油费、保险费及过路费。公务用车购置数0辆，公务用车保有量9辆。国有资产占用情况中固定资产车辆9辆，与公务用车保有量差异原因是：本单位固定资产车辆与公务用车保有量一致无差异。</w:t>
      </w:r>
    </w:p>
    <w:p w14:paraId="6432537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CBDF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11.20万元，决算数11.20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11.20万元，决算数11.20万元，预决算差异率0.00%，主要原因是：严格按照预算执行，预决算无差异。公务接待费全年预算数0.00万元，决算数0.00万元，预决算差异率0.00%，主要原因是：本单位无公务接待费。</w:t>
      </w:r>
    </w:p>
    <w:p w14:paraId="57E32CD3">
      <w:pPr>
        <w:spacing w:line="640" w:lineRule="exact"/>
        <w:ind w:firstLine="640"/>
        <w:jc w:val="both"/>
        <w:outlineLvl w:val="2"/>
      </w:pPr>
      <w:r>
        <w:rPr>
          <w:rFonts w:ascii="黑体" w:hAnsi="黑体" w:eastAsia="黑体"/>
          <w:sz w:val="32"/>
        </w:rPr>
        <w:t>十、其他重要事项的情况说明</w:t>
      </w:r>
    </w:p>
    <w:p w14:paraId="7EA7B076">
      <w:pPr>
        <w:spacing w:line="640" w:lineRule="exact"/>
        <w:ind w:firstLine="640"/>
        <w:jc w:val="both"/>
        <w:outlineLvl w:val="3"/>
      </w:pPr>
      <w:r>
        <w:rPr>
          <w:rFonts w:ascii="楷体_GB2312" w:hAnsi="楷体_GB2312" w:eastAsia="楷体_GB2312"/>
          <w:b/>
          <w:sz w:val="32"/>
        </w:rPr>
        <w:t>（一）机关运行经费及公用经费支出情况</w:t>
      </w:r>
    </w:p>
    <w:p w14:paraId="3B1D2B92">
      <w:pPr>
        <w:spacing w:line="580" w:lineRule="exact"/>
        <w:ind w:firstLine="640"/>
        <w:jc w:val="both"/>
      </w:pPr>
      <w:r>
        <w:rPr>
          <w:rFonts w:ascii="仿宋_GB2312" w:hAnsi="仿宋_GB2312" w:eastAsia="仿宋_GB2312"/>
          <w:b w:val="0"/>
          <w:sz w:val="32"/>
        </w:rPr>
        <w:t>2024年度巴音郭楞蒙古自治州生态环境保护综合行政执法支队（行政单位和参照公务员法管理事业单位）机关运行经费支出67.80万元，比上年增加42.58万元，增长168.83%，主要原因是：本年度增加劳务费，导致机关运行经费支出增加。</w:t>
      </w:r>
    </w:p>
    <w:p w14:paraId="12FCC4C0">
      <w:pPr>
        <w:spacing w:line="640" w:lineRule="exact"/>
        <w:ind w:firstLine="640"/>
        <w:jc w:val="both"/>
        <w:outlineLvl w:val="3"/>
      </w:pPr>
      <w:r>
        <w:rPr>
          <w:rFonts w:ascii="楷体_GB2312" w:hAnsi="楷体_GB2312" w:eastAsia="楷体_GB2312"/>
          <w:b/>
          <w:sz w:val="32"/>
        </w:rPr>
        <w:t>（二）政府采购情况</w:t>
      </w:r>
    </w:p>
    <w:p w14:paraId="7DBDAFFF">
      <w:pPr>
        <w:spacing w:line="580" w:lineRule="exact"/>
        <w:ind w:firstLine="640"/>
        <w:jc w:val="both"/>
      </w:pPr>
      <w:r>
        <w:rPr>
          <w:rFonts w:ascii="仿宋_GB2312" w:hAnsi="仿宋_GB2312" w:eastAsia="仿宋_GB2312"/>
          <w:b w:val="0"/>
          <w:sz w:val="32"/>
        </w:rPr>
        <w:t>2024年度政府采购支出总额4.26万元，其中：政府采购货物支出0.00万元、政府采购工程支出0.00万元、政府采购服务支出4.26万元。</w:t>
      </w:r>
    </w:p>
    <w:p w14:paraId="0AB69F39">
      <w:pPr>
        <w:spacing w:line="580" w:lineRule="exact"/>
        <w:ind w:firstLine="640"/>
        <w:jc w:val="both"/>
      </w:pPr>
      <w:r>
        <w:rPr>
          <w:rFonts w:ascii="仿宋_GB2312" w:hAnsi="仿宋_GB2312" w:eastAsia="仿宋_GB2312"/>
          <w:b w:val="0"/>
          <w:sz w:val="32"/>
        </w:rPr>
        <w:t>授予中小企业合同金额3.56万元，占政府采购支出总额的83.57%，其中：授予小微企业合同金额3.56万元，占政府采购支出总额的83.57%。</w:t>
      </w:r>
    </w:p>
    <w:p w14:paraId="22871506">
      <w:pPr>
        <w:spacing w:line="640" w:lineRule="exact"/>
        <w:ind w:firstLine="640"/>
        <w:jc w:val="both"/>
        <w:outlineLvl w:val="3"/>
      </w:pPr>
      <w:r>
        <w:rPr>
          <w:rFonts w:ascii="楷体_GB2312" w:hAnsi="楷体_GB2312" w:eastAsia="楷体_GB2312"/>
          <w:b/>
          <w:sz w:val="32"/>
        </w:rPr>
        <w:t>（三）国有资产占用情况说明</w:t>
      </w:r>
    </w:p>
    <w:p w14:paraId="6F5271AD">
      <w:pPr>
        <w:spacing w:line="580" w:lineRule="exact"/>
        <w:ind w:firstLine="640"/>
        <w:jc w:val="both"/>
      </w:pPr>
      <w:r>
        <w:rPr>
          <w:rFonts w:ascii="仿宋_GB2312" w:hAnsi="仿宋_GB2312" w:eastAsia="仿宋_GB2312"/>
          <w:b w:val="0"/>
          <w:sz w:val="32"/>
        </w:rPr>
        <w:t>截至2024年12月31日，房屋102.00平方米，价值10.21万元。车辆9辆，价值235.93万元，其中：副部（省）级及以上领导用车0辆、主要负责人用车0辆、机要通信用车0辆、应急保障用车0辆、执法执勤用车4辆、特种专业技术用车0辆、离退休干部服务用车0辆、其他用车5辆，其他用车主要是：一般公务用车。单价100万元（含）以上设备（不含车辆）0台（套）。</w:t>
      </w:r>
    </w:p>
    <w:p w14:paraId="30C96C4C">
      <w:pPr>
        <w:spacing w:line="640" w:lineRule="exact"/>
        <w:ind w:firstLine="640"/>
        <w:jc w:val="both"/>
        <w:outlineLvl w:val="2"/>
      </w:pPr>
      <w:r>
        <w:rPr>
          <w:rFonts w:ascii="黑体" w:hAnsi="黑体" w:eastAsia="黑体"/>
          <w:sz w:val="32"/>
        </w:rPr>
        <w:t>十一、预算绩效的情况说明</w:t>
      </w:r>
    </w:p>
    <w:p w14:paraId="65D7CFEA">
      <w:pPr>
        <w:spacing w:line="580" w:lineRule="exact"/>
        <w:ind w:firstLine="640"/>
        <w:jc w:val="both"/>
      </w:pPr>
      <w:r>
        <w:rPr>
          <w:rFonts w:ascii="仿宋_GB2312" w:hAnsi="仿宋_GB2312" w:eastAsia="仿宋_GB2312"/>
          <w:b w:val="0"/>
          <w:sz w:val="32"/>
        </w:rPr>
        <w:t>根据预算绩效管理要求，本单位预算绩效评价项目1个，全年预算数54.00万元，全年执行数54.00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w:t>
      </w:r>
    </w:p>
    <w:p w14:paraId="216CA0E3">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5"/>
        <w:gridCol w:w="776"/>
        <w:gridCol w:w="613"/>
        <w:gridCol w:w="619"/>
        <w:gridCol w:w="619"/>
        <w:gridCol w:w="613"/>
        <w:gridCol w:w="613"/>
        <w:gridCol w:w="696"/>
        <w:gridCol w:w="776"/>
        <w:gridCol w:w="631"/>
        <w:gridCol w:w="631"/>
      </w:tblGrid>
      <w:tr w14:paraId="37B28367">
        <w:tc>
          <w:tcPr>
            <w:tcW w:w="8848" w:type="dxa"/>
            <w:gridSpan w:val="14"/>
            <w:vAlign w:val="center"/>
          </w:tcPr>
          <w:p w14:paraId="4C5159D4">
            <w:pPr>
              <w:jc w:val="center"/>
            </w:pPr>
            <w:r>
              <w:rPr>
                <w:rFonts w:ascii="宋体" w:hAnsi="宋体" w:eastAsia="宋体"/>
                <w:sz w:val="24"/>
              </w:rPr>
              <w:t>项目支出绩效自评表</w:t>
            </w:r>
          </w:p>
        </w:tc>
      </w:tr>
      <w:tr w14:paraId="3E218F00">
        <w:tblPrEx>
          <w:tblCellMar>
            <w:top w:w="0" w:type="dxa"/>
            <w:left w:w="108" w:type="dxa"/>
            <w:bottom w:w="0" w:type="dxa"/>
            <w:right w:w="108" w:type="dxa"/>
          </w:tblCellMar>
        </w:tblPrEx>
        <w:tc>
          <w:tcPr>
            <w:tcW w:w="8848" w:type="dxa"/>
            <w:gridSpan w:val="14"/>
            <w:vAlign w:val="center"/>
          </w:tcPr>
          <w:p w14:paraId="20801EFD">
            <w:pPr>
              <w:jc w:val="center"/>
            </w:pPr>
            <w:r>
              <w:rPr>
                <w:rFonts w:ascii="宋体" w:hAnsi="宋体" w:eastAsia="宋体"/>
                <w:sz w:val="24"/>
              </w:rPr>
              <w:t>(2024年度)</w:t>
            </w:r>
          </w:p>
        </w:tc>
      </w:tr>
      <w:tr w14:paraId="254E7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52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F82D15">
            <w:pPr>
              <w:jc w:val="center"/>
            </w:pPr>
            <w:r>
              <w:rPr>
                <w:rFonts w:ascii="宋体" w:hAnsi="宋体" w:eastAsia="宋体"/>
                <w:sz w:val="16"/>
              </w:rPr>
              <w:t>生态环境综合执法项目</w:t>
            </w:r>
          </w:p>
        </w:tc>
      </w:tr>
      <w:tr w14:paraId="45B19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5E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DF4E9">
            <w:pPr>
              <w:jc w:val="center"/>
            </w:pPr>
            <w:r>
              <w:rPr>
                <w:rFonts w:ascii="宋体" w:hAnsi="宋体" w:eastAsia="宋体"/>
                <w:sz w:val="16"/>
              </w:rPr>
              <w:t>巴音郭楞蒙古自治州生态环境保护综合行政执法支队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1F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5C631A">
            <w:pPr>
              <w:jc w:val="center"/>
            </w:pPr>
            <w:r>
              <w:rPr>
                <w:rFonts w:ascii="宋体" w:hAnsi="宋体" w:eastAsia="宋体"/>
                <w:sz w:val="16"/>
              </w:rPr>
              <w:t>巴音郭楞蒙古自治州生态环境保护综合行政执法支队</w:t>
            </w:r>
          </w:p>
        </w:tc>
      </w:tr>
      <w:tr w14:paraId="7EEDFE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5237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AD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10C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52C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5B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879D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CB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258B">
            <w:pPr>
              <w:jc w:val="center"/>
            </w:pPr>
            <w:r>
              <w:rPr>
                <w:rFonts w:ascii="宋体" w:hAnsi="宋体" w:eastAsia="宋体"/>
                <w:sz w:val="16"/>
              </w:rPr>
              <w:t>得分</w:t>
            </w:r>
          </w:p>
        </w:tc>
      </w:tr>
      <w:tr w14:paraId="5B7DDB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827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C8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E4AD2">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1564">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076D7">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391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27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C684">
            <w:pPr>
              <w:jc w:val="center"/>
            </w:pPr>
            <w:r>
              <w:rPr>
                <w:rFonts w:ascii="宋体" w:hAnsi="宋体" w:eastAsia="宋体"/>
                <w:sz w:val="16"/>
              </w:rPr>
              <w:t>10.00</w:t>
            </w:r>
          </w:p>
        </w:tc>
      </w:tr>
      <w:tr w14:paraId="57101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ED9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D07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C20F1">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99FDD">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F6BB1">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EA2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6B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2B9B">
            <w:pPr>
              <w:jc w:val="center"/>
            </w:pPr>
            <w:r>
              <w:rPr>
                <w:rFonts w:ascii="宋体" w:hAnsi="宋体" w:eastAsia="宋体"/>
                <w:sz w:val="16"/>
              </w:rPr>
              <w:t>-</w:t>
            </w:r>
          </w:p>
        </w:tc>
      </w:tr>
      <w:tr w14:paraId="6038B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96B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0B86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CB3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D4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4D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8E5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B5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6F54">
            <w:pPr>
              <w:jc w:val="center"/>
            </w:pPr>
            <w:r>
              <w:rPr>
                <w:rFonts w:ascii="宋体" w:hAnsi="宋体" w:eastAsia="宋体"/>
                <w:sz w:val="16"/>
              </w:rPr>
              <w:t>-</w:t>
            </w:r>
          </w:p>
        </w:tc>
      </w:tr>
      <w:tr w14:paraId="018CD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4F7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9DBD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A7D1A">
            <w:pPr>
              <w:jc w:val="center"/>
            </w:pPr>
            <w:r>
              <w:rPr>
                <w:rFonts w:ascii="宋体" w:hAnsi="宋体" w:eastAsia="宋体"/>
                <w:sz w:val="16"/>
              </w:rPr>
              <w:t>总体目标完成情况</w:t>
            </w:r>
          </w:p>
        </w:tc>
      </w:tr>
      <w:tr w14:paraId="40664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EEC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5ACC2">
            <w:pPr>
              <w:jc w:val="both"/>
            </w:pPr>
            <w:r>
              <w:rPr>
                <w:rFonts w:ascii="宋体" w:hAnsi="宋体" w:eastAsia="宋体"/>
                <w:sz w:val="16"/>
              </w:rPr>
              <w:t>1.监督指导辖区各县市、各部门对国家生态环境政策、法规和标准的执行，提升各族群众生态环境保护意识和环境权益意识。2.通过开展“双随机、一公开”检查次数10次及环境稽查3次，实现环境执法监管能力和水平。促进全州环境质量持续改善。3.加强环境应急预案管理和环境风险管理，做好全州突发生态环境事件现场查处工作。及时妥善处理各类环境信访举报案件，维护各族群众环境权益。4.通过聘请第三方服务单位保障日常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741700">
            <w:pPr>
              <w:jc w:val="both"/>
            </w:pPr>
            <w:r>
              <w:rPr>
                <w:rFonts w:ascii="宋体" w:hAnsi="宋体" w:eastAsia="宋体"/>
                <w:sz w:val="16"/>
              </w:rPr>
              <w:t>2024年完成“双随机、一公开”执法检查12次，检查企业1342家次，覆盖全州8县1市行政区域；按照年初计划完成对库尔勒市分局、尉犁县分局、经开区环保局等3家单位环境执法稽查工作，2024年完成自治区级重点河流“一河一图一策”突发环境事件应急演练，组织县市分局执法人员排查企业739家，排查出一般隐患91个，并督促企业全部改正。全年生态环境微信投诉举报平台受理信访投诉案件65件，已全部办结。与联通、电信互联网服务单位签订合同，保证了全局通讯通畅，聘请首邦律师事务所为</w:t>
            </w:r>
            <w:r>
              <w:rPr>
                <w:rFonts w:hint="eastAsia" w:ascii="宋体" w:hAnsi="宋体"/>
                <w:sz w:val="16"/>
                <w:lang w:eastAsia="zh-CN"/>
              </w:rPr>
              <w:t>本单位</w:t>
            </w:r>
            <w:r>
              <w:rPr>
                <w:rFonts w:ascii="宋体" w:hAnsi="宋体" w:eastAsia="宋体"/>
                <w:sz w:val="16"/>
              </w:rPr>
              <w:t>法律顾问，保障全局工作合法合规开展。年度预期目标全部圆满完成。聘请第三方财务公司进行记账，保证财务工作合法合规。</w:t>
            </w:r>
          </w:p>
        </w:tc>
      </w:tr>
      <w:tr w14:paraId="53B273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42C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A2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65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D2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0B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EE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A9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FD9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FAE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0E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A93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59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B0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3672">
            <w:pPr>
              <w:jc w:val="center"/>
            </w:pPr>
            <w:r>
              <w:rPr>
                <w:rFonts w:ascii="宋体" w:hAnsi="宋体" w:eastAsia="宋体"/>
                <w:sz w:val="16"/>
              </w:rPr>
              <w:t>偏差原因分析及改进措施</w:t>
            </w:r>
          </w:p>
        </w:tc>
      </w:tr>
      <w:tr w14:paraId="093FF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B7C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542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DE2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DD31">
            <w:pPr>
              <w:jc w:val="center"/>
            </w:pPr>
            <w:r>
              <w:rPr>
                <w:rFonts w:ascii="宋体" w:hAnsi="宋体" w:eastAsia="宋体"/>
                <w:sz w:val="16"/>
              </w:rPr>
              <w:t>聘请第三方服务单位个数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5A78">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F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B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17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6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6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01B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AD06">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C201">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99C9">
            <w:pPr>
              <w:jc w:val="center"/>
            </w:pPr>
            <w:r>
              <w:rPr>
                <w:rFonts w:ascii="宋体" w:hAnsi="宋体" w:eastAsia="宋体"/>
                <w:sz w:val="16"/>
              </w:rPr>
              <w:t>根据工作需求，实际聘请第三方服务单位为4个。</w:t>
            </w:r>
          </w:p>
        </w:tc>
      </w:tr>
      <w:tr w14:paraId="63A5F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0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4B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0F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666F">
            <w:pPr>
              <w:jc w:val="center"/>
            </w:pPr>
            <w:r>
              <w:rPr>
                <w:rFonts w:ascii="宋体" w:hAnsi="宋体" w:eastAsia="宋体"/>
                <w:sz w:val="16"/>
              </w:rPr>
              <w:t>环境稽查次数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D11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E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F214">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07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D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C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64A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2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33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B0D6">
            <w:pPr>
              <w:jc w:val="center"/>
            </w:pPr>
          </w:p>
        </w:tc>
      </w:tr>
      <w:tr w14:paraId="44474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62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BC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B4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2836">
            <w:pPr>
              <w:jc w:val="center"/>
            </w:pPr>
            <w:r>
              <w:rPr>
                <w:rFonts w:ascii="宋体" w:hAnsi="宋体" w:eastAsia="宋体"/>
                <w:sz w:val="16"/>
              </w:rPr>
              <w:t>“双随机、一公开”检查次数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A2A4">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4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D88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2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B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C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63C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D6E6">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A6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859C">
            <w:pPr>
              <w:jc w:val="center"/>
            </w:pPr>
            <w:r>
              <w:rPr>
                <w:rFonts w:ascii="宋体" w:hAnsi="宋体" w:eastAsia="宋体"/>
                <w:sz w:val="16"/>
              </w:rPr>
              <w:t>根据生态环境部、自治区生态环境厅工作要求，“双随机、一公开”日常执法每月派发任务一次，全年开展12次。</w:t>
            </w:r>
          </w:p>
        </w:tc>
      </w:tr>
      <w:tr w14:paraId="23FA2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BA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2F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211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136F">
            <w:pPr>
              <w:jc w:val="center"/>
            </w:pPr>
            <w:r>
              <w:rPr>
                <w:rFonts w:ascii="宋体" w:hAnsi="宋体" w:eastAsia="宋体"/>
                <w:sz w:val="16"/>
              </w:rPr>
              <w:t>环境信访案件办结率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14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1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A7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D1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9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E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D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6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A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8EA6">
            <w:pPr>
              <w:jc w:val="center"/>
            </w:pPr>
          </w:p>
        </w:tc>
      </w:tr>
      <w:tr w14:paraId="6AF00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35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C1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00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2242">
            <w:pPr>
              <w:jc w:val="center"/>
            </w:pPr>
            <w:r>
              <w:rPr>
                <w:rFonts w:ascii="宋体" w:hAnsi="宋体" w:eastAsia="宋体"/>
                <w:sz w:val="16"/>
              </w:rPr>
              <w:t>“双随机、一公开”检查覆盖率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D6D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1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5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5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4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6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9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3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56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5A69">
            <w:pPr>
              <w:jc w:val="center"/>
            </w:pPr>
          </w:p>
        </w:tc>
      </w:tr>
      <w:tr w14:paraId="45200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1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59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AB8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EC4">
            <w:pPr>
              <w:jc w:val="center"/>
            </w:pPr>
            <w:r>
              <w:rPr>
                <w:rFonts w:ascii="宋体" w:hAnsi="宋体" w:eastAsia="宋体"/>
                <w:sz w:val="16"/>
              </w:rPr>
              <w:t>聘请第三方资金支付及时率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73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8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EB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4E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3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6B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2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D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C5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0258">
            <w:pPr>
              <w:jc w:val="center"/>
            </w:pPr>
          </w:p>
        </w:tc>
      </w:tr>
      <w:tr w14:paraId="2731D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2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01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FE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B3CB">
            <w:pPr>
              <w:jc w:val="center"/>
            </w:pPr>
            <w:r>
              <w:rPr>
                <w:rFonts w:ascii="宋体" w:hAnsi="宋体" w:eastAsia="宋体"/>
                <w:sz w:val="16"/>
              </w:rPr>
              <w:t>“双随机、一公开”检查按时完成率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05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D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9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DF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2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1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9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0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50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C164">
            <w:pPr>
              <w:jc w:val="center"/>
            </w:pPr>
          </w:p>
        </w:tc>
      </w:tr>
      <w:tr w14:paraId="3D311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58B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5C0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7A5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B6CE">
            <w:pPr>
              <w:jc w:val="center"/>
            </w:pPr>
            <w:r>
              <w:rPr>
                <w:rFonts w:ascii="宋体" w:hAnsi="宋体" w:eastAsia="宋体"/>
                <w:sz w:val="16"/>
              </w:rPr>
              <w:t>聘请第三方服务费用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A1BE">
            <w:pPr>
              <w:jc w:val="center"/>
            </w:pPr>
            <w:r>
              <w:rPr>
                <w:rFonts w:ascii="宋体" w:hAnsi="宋体" w:eastAsia="宋体"/>
                <w:sz w:val="16"/>
              </w:rPr>
              <w:t>&lt;=22.93万元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6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1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3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7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95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6A2D">
            <w:pPr>
              <w:jc w:val="center"/>
            </w:pPr>
            <w:r>
              <w:rPr>
                <w:rFonts w:ascii="宋体" w:hAnsi="宋体" w:eastAsia="宋体"/>
                <w:sz w:val="16"/>
              </w:rPr>
              <w:t>=22.93万元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C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77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A2C2">
            <w:pPr>
              <w:jc w:val="center"/>
            </w:pPr>
          </w:p>
        </w:tc>
      </w:tr>
      <w:tr w14:paraId="56C64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A9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B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2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377F">
            <w:pPr>
              <w:jc w:val="center"/>
            </w:pPr>
            <w:r>
              <w:rPr>
                <w:rFonts w:ascii="宋体" w:hAnsi="宋体" w:eastAsia="宋体"/>
                <w:sz w:val="16"/>
              </w:rPr>
              <w:t>环境执法检查成本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13CB">
            <w:pPr>
              <w:jc w:val="center"/>
            </w:pPr>
            <w:r>
              <w:rPr>
                <w:rFonts w:ascii="宋体" w:hAnsi="宋体" w:eastAsia="宋体"/>
                <w:sz w:val="16"/>
              </w:rPr>
              <w:t>&lt;=31.07万元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5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F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62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3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7B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FE7E">
            <w:pPr>
              <w:jc w:val="center"/>
            </w:pPr>
            <w:r>
              <w:rPr>
                <w:rFonts w:ascii="宋体" w:hAnsi="宋体" w:eastAsia="宋体"/>
                <w:sz w:val="16"/>
              </w:rPr>
              <w:t>=31.07万元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AD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5984">
            <w:pPr>
              <w:jc w:val="center"/>
            </w:pPr>
          </w:p>
        </w:tc>
      </w:tr>
      <w:tr w14:paraId="28DCA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C9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58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E2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84CD">
            <w:pPr>
              <w:jc w:val="center"/>
            </w:pPr>
            <w:r>
              <w:rPr>
                <w:rFonts w:ascii="宋体" w:hAnsi="宋体" w:eastAsia="宋体"/>
                <w:sz w:val="16"/>
              </w:rPr>
              <w:t>人居生活环境质量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B84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18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F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27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AD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DB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E95B">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4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99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C342">
            <w:pPr>
              <w:jc w:val="center"/>
            </w:pPr>
          </w:p>
        </w:tc>
      </w:tr>
      <w:tr w14:paraId="4E4A7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D5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E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0C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9511">
            <w:pPr>
              <w:jc w:val="center"/>
            </w:pPr>
            <w:r>
              <w:rPr>
                <w:rFonts w:ascii="宋体" w:hAnsi="宋体" w:eastAsia="宋体"/>
                <w:sz w:val="16"/>
              </w:rPr>
              <w:t>环境信访案件群众办结满意度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41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7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998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5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78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2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702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6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0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BB89">
            <w:pPr>
              <w:jc w:val="center"/>
            </w:pPr>
          </w:p>
        </w:tc>
      </w:tr>
      <w:tr w14:paraId="18A93B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48BC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55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F8F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D7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D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83E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E4A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E63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44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CBD8">
            <w:pPr>
              <w:jc w:val="center"/>
            </w:pPr>
            <w:r>
              <w:rPr>
                <w:rFonts w:ascii="宋体" w:hAnsi="宋体" w:eastAsia="宋体"/>
                <w:sz w:val="16"/>
              </w:rPr>
              <w:t>96.33分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41598"/>
        </w:tc>
      </w:tr>
    </w:tbl>
    <w:p w14:paraId="6AFD74FC">
      <w:r>
        <w:br w:type="page"/>
      </w:r>
    </w:p>
    <w:p w14:paraId="6D9A71F9">
      <w:pPr>
        <w:spacing w:line="640" w:lineRule="exact"/>
        <w:ind w:firstLine="640"/>
        <w:jc w:val="both"/>
        <w:outlineLvl w:val="2"/>
      </w:pPr>
      <w:r>
        <w:rPr>
          <w:rFonts w:ascii="黑体" w:hAnsi="黑体" w:eastAsia="黑体"/>
          <w:sz w:val="32"/>
        </w:rPr>
        <w:t>十二、其他需说明的事项</w:t>
      </w:r>
    </w:p>
    <w:p w14:paraId="1534D05C">
      <w:pPr>
        <w:spacing w:line="580" w:lineRule="exact"/>
        <w:ind w:firstLine="640"/>
        <w:jc w:val="both"/>
      </w:pPr>
      <w:r>
        <w:rPr>
          <w:rFonts w:ascii="仿宋_GB2312" w:hAnsi="仿宋_GB2312" w:eastAsia="仿宋_GB2312"/>
          <w:b w:val="0"/>
          <w:sz w:val="32"/>
        </w:rPr>
        <w:t>本年度本单位整体绩效自评表由主管部门编报并公开。</w:t>
      </w:r>
    </w:p>
    <w:p w14:paraId="4C8FE1CE">
      <w:r>
        <w:br w:type="page"/>
      </w:r>
    </w:p>
    <w:p w14:paraId="4B247122">
      <w:pPr>
        <w:spacing w:line="240" w:lineRule="auto"/>
        <w:jc w:val="center"/>
        <w:outlineLvl w:val="1"/>
      </w:pPr>
      <w:r>
        <w:rPr>
          <w:rFonts w:ascii="黑体" w:hAnsi="黑体" w:eastAsia="黑体"/>
          <w:sz w:val="32"/>
        </w:rPr>
        <w:t>第三部分 专业名词解释</w:t>
      </w:r>
    </w:p>
    <w:p w14:paraId="31A640C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369B8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CD05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4E769E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FA885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0B7A1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953518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908FE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FBDD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B4408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7C5C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0CDE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5A7D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EB916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5C0B5FB">
      <w:r>
        <w:br w:type="page"/>
      </w:r>
    </w:p>
    <w:p w14:paraId="2ABE16EC">
      <w:pPr>
        <w:spacing w:line="240" w:lineRule="auto"/>
        <w:jc w:val="center"/>
        <w:outlineLvl w:val="1"/>
      </w:pPr>
      <w:r>
        <w:rPr>
          <w:rFonts w:ascii="黑体" w:hAnsi="黑体" w:eastAsia="黑体"/>
          <w:sz w:val="32"/>
        </w:rPr>
        <w:t>第四部分 部门决算报表（见附表）</w:t>
      </w:r>
    </w:p>
    <w:p w14:paraId="462F2B2A">
      <w:pPr>
        <w:spacing w:line="240" w:lineRule="auto"/>
        <w:ind w:firstLine="640"/>
        <w:jc w:val="both"/>
      </w:pPr>
      <w:r>
        <w:rPr>
          <w:rFonts w:ascii="仿宋_GB2312" w:hAnsi="仿宋_GB2312" w:eastAsia="仿宋_GB2312"/>
          <w:b w:val="0"/>
          <w:sz w:val="32"/>
        </w:rPr>
        <w:t>一、《收入支出决算总表》</w:t>
      </w:r>
    </w:p>
    <w:p w14:paraId="1E539E31">
      <w:pPr>
        <w:spacing w:line="240" w:lineRule="auto"/>
        <w:ind w:firstLine="640"/>
        <w:jc w:val="both"/>
      </w:pPr>
      <w:r>
        <w:rPr>
          <w:rFonts w:ascii="仿宋_GB2312" w:hAnsi="仿宋_GB2312" w:eastAsia="仿宋_GB2312"/>
          <w:b w:val="0"/>
          <w:sz w:val="32"/>
        </w:rPr>
        <w:t>二、《收入决算表》</w:t>
      </w:r>
    </w:p>
    <w:p w14:paraId="3C4141C6">
      <w:pPr>
        <w:spacing w:line="240" w:lineRule="auto"/>
        <w:ind w:firstLine="640"/>
        <w:jc w:val="both"/>
      </w:pPr>
      <w:r>
        <w:rPr>
          <w:rFonts w:ascii="仿宋_GB2312" w:hAnsi="仿宋_GB2312" w:eastAsia="仿宋_GB2312"/>
          <w:b w:val="0"/>
          <w:sz w:val="32"/>
        </w:rPr>
        <w:t>三、《支出决算表》</w:t>
      </w:r>
    </w:p>
    <w:p w14:paraId="2397B28B">
      <w:pPr>
        <w:spacing w:line="240" w:lineRule="auto"/>
        <w:ind w:firstLine="640"/>
        <w:jc w:val="both"/>
      </w:pPr>
      <w:r>
        <w:rPr>
          <w:rFonts w:ascii="仿宋_GB2312" w:hAnsi="仿宋_GB2312" w:eastAsia="仿宋_GB2312"/>
          <w:b w:val="0"/>
          <w:sz w:val="32"/>
        </w:rPr>
        <w:t>四、《财政拨款收入支出决算总表》</w:t>
      </w:r>
    </w:p>
    <w:p w14:paraId="2F31949B">
      <w:pPr>
        <w:spacing w:line="240" w:lineRule="auto"/>
        <w:ind w:firstLine="640"/>
        <w:jc w:val="both"/>
      </w:pPr>
      <w:r>
        <w:rPr>
          <w:rFonts w:ascii="仿宋_GB2312" w:hAnsi="仿宋_GB2312" w:eastAsia="仿宋_GB2312"/>
          <w:b w:val="0"/>
          <w:sz w:val="32"/>
        </w:rPr>
        <w:t>五、《一般公共预算财政拨款支出决算表》</w:t>
      </w:r>
    </w:p>
    <w:p w14:paraId="04792BA2">
      <w:pPr>
        <w:spacing w:line="240" w:lineRule="auto"/>
        <w:ind w:firstLine="640"/>
        <w:jc w:val="both"/>
      </w:pPr>
      <w:r>
        <w:rPr>
          <w:rFonts w:ascii="仿宋_GB2312" w:hAnsi="仿宋_GB2312" w:eastAsia="仿宋_GB2312"/>
          <w:b w:val="0"/>
          <w:sz w:val="32"/>
        </w:rPr>
        <w:t>六、《一般公共预算财政拨款基本支出决算表》</w:t>
      </w:r>
    </w:p>
    <w:p w14:paraId="38818420">
      <w:pPr>
        <w:spacing w:line="240" w:lineRule="auto"/>
        <w:ind w:firstLine="640"/>
        <w:jc w:val="both"/>
      </w:pPr>
      <w:r>
        <w:rPr>
          <w:rFonts w:ascii="仿宋_GB2312" w:hAnsi="仿宋_GB2312" w:eastAsia="仿宋_GB2312"/>
          <w:b w:val="0"/>
          <w:sz w:val="32"/>
        </w:rPr>
        <w:t>七、《政府性基金预算财政拨款收入支出决算表》</w:t>
      </w:r>
    </w:p>
    <w:p w14:paraId="56906459">
      <w:pPr>
        <w:spacing w:line="240" w:lineRule="auto"/>
        <w:ind w:firstLine="640"/>
        <w:jc w:val="both"/>
      </w:pPr>
      <w:r>
        <w:rPr>
          <w:rFonts w:ascii="仿宋_GB2312" w:hAnsi="仿宋_GB2312" w:eastAsia="仿宋_GB2312"/>
          <w:b w:val="0"/>
          <w:sz w:val="32"/>
        </w:rPr>
        <w:t>八、《国有资本经营预算财政拨款收入支出决算表》</w:t>
      </w:r>
    </w:p>
    <w:p w14:paraId="3FB3017A">
      <w:pPr>
        <w:spacing w:line="240" w:lineRule="auto"/>
        <w:ind w:firstLine="640"/>
        <w:jc w:val="both"/>
      </w:pPr>
      <w:r>
        <w:rPr>
          <w:rFonts w:ascii="仿宋_GB2312" w:hAnsi="仿宋_GB2312" w:eastAsia="仿宋_GB2312"/>
          <w:b w:val="0"/>
          <w:sz w:val="32"/>
        </w:rPr>
        <w:t>九、《财政拨款“三公”经费支出决算表》</w:t>
      </w:r>
    </w:p>
    <w:p w14:paraId="0E81735D">
      <w:pPr>
        <w:spacing w:line="240" w:lineRule="auto"/>
        <w:ind w:firstLine="640"/>
        <w:jc w:val="both"/>
      </w:pPr>
    </w:p>
    <w:p w14:paraId="2C4571D7">
      <w:pPr>
        <w:spacing w:line="240" w:lineRule="auto"/>
        <w:ind w:firstLine="640"/>
        <w:jc w:val="both"/>
      </w:pPr>
    </w:p>
    <w:p w14:paraId="7746A3EA">
      <w:pPr>
        <w:spacing w:line="240" w:lineRule="auto"/>
        <w:ind w:firstLine="640"/>
        <w:jc w:val="both"/>
      </w:pPr>
    </w:p>
    <w:p w14:paraId="7C1E30B0">
      <w:pPr>
        <w:spacing w:line="240" w:lineRule="auto"/>
        <w:ind w:firstLine="640"/>
        <w:jc w:val="both"/>
      </w:pPr>
    </w:p>
    <w:p w14:paraId="3351627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E5F52C-1680-42CE-B134-8F784FF713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5D49924-C23D-46FE-889D-DD5764961EAF}"/>
  </w:font>
  <w:font w:name="仿宋_GB2312">
    <w:panose1 w:val="02010609030101010101"/>
    <w:charset w:val="86"/>
    <w:family w:val="modern"/>
    <w:pitch w:val="default"/>
    <w:sig w:usb0="00000001" w:usb1="080E0000" w:usb2="00000000" w:usb3="00000000" w:csb0="00040000" w:csb1="00000000"/>
    <w:embedRegular r:id="rId3" w:fontKey="{675D6D61-DAAA-49FB-AC6E-C4ED2F238DBF}"/>
  </w:font>
  <w:font w:name="楷体_GB2312">
    <w:panose1 w:val="02010609030101010101"/>
    <w:charset w:val="86"/>
    <w:family w:val="auto"/>
    <w:pitch w:val="default"/>
    <w:sig w:usb0="00000001" w:usb1="080E0000" w:usb2="00000000" w:usb3="00000000" w:csb0="00040000" w:csb1="00000000"/>
    <w:embedRegular r:id="rId4" w:fontKey="{851AEC67-6893-44F3-B8DB-58C8DF5787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BC142A"/>
    <w:rsid w:val="5AFC6609"/>
    <w:rsid w:val="5FA17648"/>
    <w:rsid w:val="5FD320BD"/>
    <w:rsid w:val="60DE4D57"/>
    <w:rsid w:val="613409CB"/>
    <w:rsid w:val="61A46A97"/>
    <w:rsid w:val="62DD7D21"/>
    <w:rsid w:val="65D97752"/>
    <w:rsid w:val="664C500C"/>
    <w:rsid w:val="670702E6"/>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5671</Words>
  <Characters>6409</Characters>
  <Lines>0</Lines>
  <Paragraphs>0</Paragraphs>
  <TotalTime>2</TotalTime>
  <ScaleCrop>false</ScaleCrop>
  <LinksUpToDate>false</LinksUpToDate>
  <CharactersWithSpaces>6418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